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4536" w:type="dxa"/>
        <w:jc w:val="right"/>
        <w:tblLook w:val="04A0" w:firstRow="1" w:lastRow="0" w:firstColumn="1" w:lastColumn="0" w:noHBand="0" w:noVBand="1"/>
      </w:tblPr>
      <w:tblGrid>
        <w:gridCol w:w="4536"/>
      </w:tblGrid>
      <w:tr w:rsidR="002B400D" w:rsidRPr="00F74BC1" w14:paraId="2C321B19" w14:textId="77777777" w:rsidTr="00910446">
        <w:trPr>
          <w:trHeight w:val="5954"/>
          <w:jc w:val="right"/>
        </w:trPr>
        <w:tc>
          <w:tcPr>
            <w:tcW w:w="4536" w:type="dxa"/>
            <w:tcBorders>
              <w:top w:val="nil"/>
              <w:left w:val="nil"/>
              <w:bottom w:val="nil"/>
              <w:right w:val="nil"/>
            </w:tcBorders>
          </w:tcPr>
          <w:p w14:paraId="407ADA64" w14:textId="77777777" w:rsidR="002B400D" w:rsidRPr="00F74BC1" w:rsidRDefault="002B400D" w:rsidP="00910446">
            <w:pPr>
              <w:spacing w:before="100" w:beforeAutospacing="1" w:after="100" w:afterAutospacing="1"/>
              <w:jc w:val="both"/>
              <w:rPr>
                <w:rFonts w:ascii="Arial" w:hAnsi="Arial" w:cs="Arial"/>
                <w:b/>
              </w:rPr>
            </w:pPr>
            <w:bookmarkStart w:id="0" w:name="_Hlk38996680"/>
            <w:r w:rsidRPr="00F74BC1">
              <w:rPr>
                <w:rFonts w:ascii="Arial" w:hAnsi="Arial" w:cs="Arial"/>
                <w:b/>
              </w:rPr>
              <w:t xml:space="preserve">RECURSO DE </w:t>
            </w:r>
            <w:r>
              <w:rPr>
                <w:rFonts w:ascii="Arial" w:hAnsi="Arial" w:cs="Arial"/>
                <w:b/>
              </w:rPr>
              <w:t>RECONSIDERACIÓN</w:t>
            </w:r>
          </w:p>
          <w:p w14:paraId="4418F68F" w14:textId="77777777" w:rsidR="002B400D" w:rsidRPr="00BF1D1B" w:rsidRDefault="002B400D" w:rsidP="00910446">
            <w:pPr>
              <w:pStyle w:val="Cuerpo"/>
              <w:spacing w:before="100" w:beforeAutospacing="1" w:after="100" w:afterAutospacing="1"/>
              <w:jc w:val="both"/>
              <w:rPr>
                <w:rFonts w:ascii="Arial" w:eastAsia="Calibri" w:hAnsi="Arial" w:cs="Arial"/>
                <w:lang w:val="es-ES_tradnl"/>
              </w:rPr>
            </w:pPr>
            <w:r w:rsidRPr="00F74BC1">
              <w:rPr>
                <w:rFonts w:ascii="Arial" w:hAnsi="Arial" w:cs="Arial"/>
                <w:b/>
              </w:rPr>
              <w:t>EXPEDIENTE:</w:t>
            </w:r>
            <w:r w:rsidRPr="00F74BC1">
              <w:rPr>
                <w:rFonts w:ascii="Arial" w:hAnsi="Arial" w:cs="Arial"/>
              </w:rPr>
              <w:t xml:space="preserve"> </w:t>
            </w:r>
            <w:r w:rsidRPr="00F74BC1">
              <w:rPr>
                <w:rStyle w:val="Ninguno"/>
                <w:rFonts w:ascii="Arial" w:eastAsia="Calibri" w:hAnsi="Arial" w:cs="Arial"/>
              </w:rPr>
              <w:t>SUP-RE</w:t>
            </w:r>
            <w:r>
              <w:rPr>
                <w:rStyle w:val="Ninguno"/>
                <w:rFonts w:ascii="Arial" w:eastAsia="Calibri" w:hAnsi="Arial" w:cs="Arial"/>
              </w:rPr>
              <w:t>C</w:t>
            </w:r>
            <w:r w:rsidRPr="00F74BC1">
              <w:rPr>
                <w:rStyle w:val="Ninguno"/>
                <w:rFonts w:ascii="Arial" w:eastAsia="Calibri" w:hAnsi="Arial" w:cs="Arial"/>
              </w:rPr>
              <w:t>-</w:t>
            </w:r>
            <w:r>
              <w:rPr>
                <w:rStyle w:val="Ninguno"/>
                <w:rFonts w:ascii="Arial" w:eastAsia="Calibri" w:hAnsi="Arial" w:cs="Arial"/>
              </w:rPr>
              <w:t>88</w:t>
            </w:r>
            <w:r w:rsidRPr="00F74BC1">
              <w:rPr>
                <w:rStyle w:val="Ninguno"/>
                <w:rFonts w:ascii="Arial" w:eastAsia="Calibri" w:hAnsi="Arial" w:cs="Arial"/>
              </w:rPr>
              <w:t>/20</w:t>
            </w:r>
            <w:r>
              <w:rPr>
                <w:rStyle w:val="Ninguno"/>
                <w:rFonts w:ascii="Arial" w:eastAsia="Calibri" w:hAnsi="Arial" w:cs="Arial"/>
              </w:rPr>
              <w:t>20</w:t>
            </w:r>
          </w:p>
          <w:p w14:paraId="0CB7A9B0" w14:textId="77777777" w:rsidR="002B400D" w:rsidRPr="00F74BC1" w:rsidRDefault="002B400D" w:rsidP="00910446">
            <w:pPr>
              <w:spacing w:before="100" w:beforeAutospacing="1" w:after="100" w:afterAutospacing="1"/>
              <w:jc w:val="both"/>
              <w:rPr>
                <w:rFonts w:ascii="Arial" w:hAnsi="Arial" w:cs="Arial"/>
              </w:rPr>
            </w:pPr>
            <w:r>
              <w:rPr>
                <w:rFonts w:ascii="Arial" w:hAnsi="Arial" w:cs="Arial"/>
                <w:b/>
              </w:rPr>
              <w:t>RECURRENTE</w:t>
            </w:r>
            <w:r w:rsidRPr="00F74BC1">
              <w:rPr>
                <w:rFonts w:ascii="Arial" w:hAnsi="Arial" w:cs="Arial"/>
                <w:b/>
              </w:rPr>
              <w:t>:</w:t>
            </w:r>
            <w:r w:rsidRPr="00F74BC1">
              <w:rPr>
                <w:rFonts w:ascii="Arial" w:hAnsi="Arial" w:cs="Arial"/>
              </w:rPr>
              <w:t xml:space="preserve"> </w:t>
            </w:r>
            <w:r>
              <w:rPr>
                <w:rFonts w:ascii="Arial" w:hAnsi="Arial" w:cs="Arial"/>
              </w:rPr>
              <w:t>MORENA</w:t>
            </w:r>
          </w:p>
          <w:p w14:paraId="7CF58154" w14:textId="77777777" w:rsidR="002B400D" w:rsidRPr="00F74BC1" w:rsidRDefault="002B400D" w:rsidP="00910446">
            <w:pPr>
              <w:spacing w:before="100" w:beforeAutospacing="1" w:after="100" w:afterAutospacing="1"/>
              <w:jc w:val="both"/>
              <w:rPr>
                <w:rFonts w:ascii="Arial" w:hAnsi="Arial" w:cs="Arial"/>
              </w:rPr>
            </w:pPr>
            <w:r w:rsidRPr="00F74BC1">
              <w:rPr>
                <w:rFonts w:ascii="Arial" w:hAnsi="Arial" w:cs="Arial"/>
                <w:b/>
              </w:rPr>
              <w:t>RESPONSABLE:</w:t>
            </w:r>
            <w:r w:rsidRPr="00F74BC1">
              <w:rPr>
                <w:rFonts w:ascii="Arial" w:hAnsi="Arial" w:cs="Arial"/>
              </w:rPr>
              <w:t xml:space="preserve"> </w:t>
            </w:r>
            <w:r>
              <w:rPr>
                <w:rFonts w:ascii="Arial" w:hAnsi="Arial" w:cs="Arial"/>
              </w:rPr>
              <w:t>SALA REGIONAL DEL TRIBUNAL ELECTORAL DEL PODER JUDICIAL DE LA FEDERACIÓN, CORRESPONDIENTE A LA CUARTA</w:t>
            </w:r>
            <w:r w:rsidRPr="0072498B">
              <w:rPr>
                <w:rFonts w:ascii="Arial" w:hAnsi="Arial" w:cs="Arial"/>
              </w:rPr>
              <w:t xml:space="preserve"> CIRCU</w:t>
            </w:r>
            <w:r>
              <w:rPr>
                <w:rFonts w:ascii="Arial" w:hAnsi="Arial" w:cs="Arial"/>
              </w:rPr>
              <w:t>N</w:t>
            </w:r>
            <w:r w:rsidRPr="0072498B">
              <w:rPr>
                <w:rFonts w:ascii="Arial" w:hAnsi="Arial" w:cs="Arial"/>
              </w:rPr>
              <w:t>SCRIPCIÓN PLURINOMINAL, CON SEDE EN</w:t>
            </w:r>
            <w:r>
              <w:rPr>
                <w:rFonts w:ascii="Arial" w:hAnsi="Arial" w:cs="Arial"/>
              </w:rPr>
              <w:t xml:space="preserve"> LA CIUDAD DE MÉXICO </w:t>
            </w:r>
          </w:p>
          <w:p w14:paraId="716F5CCA" w14:textId="77777777" w:rsidR="002B400D" w:rsidRDefault="002B400D" w:rsidP="00910446">
            <w:pPr>
              <w:spacing w:before="100" w:beforeAutospacing="1" w:after="100" w:afterAutospacing="1"/>
              <w:jc w:val="both"/>
              <w:rPr>
                <w:rFonts w:ascii="Arial" w:hAnsi="Arial" w:cs="Arial"/>
              </w:rPr>
            </w:pPr>
            <w:r w:rsidRPr="00F74BC1">
              <w:rPr>
                <w:rFonts w:ascii="Arial" w:hAnsi="Arial" w:cs="Arial"/>
                <w:b/>
              </w:rPr>
              <w:t xml:space="preserve">MAGISTRADO </w:t>
            </w:r>
            <w:r w:rsidR="003A47E0">
              <w:rPr>
                <w:rFonts w:ascii="Arial" w:hAnsi="Arial" w:cs="Arial"/>
                <w:b/>
              </w:rPr>
              <w:t>INSTRUCTOR</w:t>
            </w:r>
            <w:r w:rsidRPr="00F74BC1">
              <w:rPr>
                <w:rFonts w:ascii="Arial" w:hAnsi="Arial" w:cs="Arial"/>
                <w:b/>
              </w:rPr>
              <w:t>:</w:t>
            </w:r>
            <w:r w:rsidRPr="00F74BC1">
              <w:rPr>
                <w:rFonts w:ascii="Arial" w:hAnsi="Arial" w:cs="Arial"/>
              </w:rPr>
              <w:t xml:space="preserve"> REYES RODRÍGUEZ MONDRAGÓN</w:t>
            </w:r>
          </w:p>
          <w:p w14:paraId="5847932A" w14:textId="77777777" w:rsidR="007066D9" w:rsidRPr="00F74BC1" w:rsidRDefault="007066D9" w:rsidP="00910446">
            <w:pPr>
              <w:spacing w:before="100" w:beforeAutospacing="1" w:after="100" w:afterAutospacing="1"/>
              <w:jc w:val="both"/>
              <w:rPr>
                <w:rFonts w:ascii="Arial" w:hAnsi="Arial" w:cs="Arial"/>
              </w:rPr>
            </w:pPr>
            <w:r w:rsidRPr="007066D9">
              <w:rPr>
                <w:rFonts w:ascii="Arial" w:hAnsi="Arial" w:cs="Arial"/>
                <w:b/>
              </w:rPr>
              <w:t>TERCEROS INTERESADOS</w:t>
            </w:r>
            <w:r>
              <w:rPr>
                <w:rFonts w:ascii="Arial" w:hAnsi="Arial" w:cs="Arial"/>
              </w:rPr>
              <w:t xml:space="preserve">: </w:t>
            </w:r>
            <w:r w:rsidR="00F861CB" w:rsidRPr="00F861CB">
              <w:rPr>
                <w:rFonts w:ascii="Arial" w:hAnsi="Arial" w:cs="Arial"/>
              </w:rPr>
              <w:t xml:space="preserve">JUAN CARLOS GUERRERO ANAYA Y DIANA REYES ÁNGELES </w:t>
            </w:r>
          </w:p>
          <w:p w14:paraId="4CE58DBF" w14:textId="4ABC4609" w:rsidR="000F73EC" w:rsidRDefault="002B400D" w:rsidP="000F73EC">
            <w:pPr>
              <w:spacing w:before="100" w:beforeAutospacing="1" w:after="100" w:afterAutospacing="1"/>
              <w:jc w:val="both"/>
              <w:rPr>
                <w:rFonts w:ascii="Arial" w:hAnsi="Arial" w:cs="Arial"/>
              </w:rPr>
            </w:pPr>
            <w:r w:rsidRPr="00F74BC1">
              <w:rPr>
                <w:rFonts w:ascii="Arial" w:hAnsi="Arial" w:cs="Arial"/>
                <w:b/>
              </w:rPr>
              <w:t>SECRETARI</w:t>
            </w:r>
            <w:r>
              <w:rPr>
                <w:rFonts w:ascii="Arial" w:hAnsi="Arial" w:cs="Arial"/>
                <w:b/>
              </w:rPr>
              <w:t>ADO</w:t>
            </w:r>
            <w:r w:rsidRPr="00F74BC1">
              <w:rPr>
                <w:rFonts w:ascii="Arial" w:hAnsi="Arial" w:cs="Arial"/>
                <w:b/>
              </w:rPr>
              <w:t>:</w:t>
            </w:r>
            <w:r w:rsidRPr="00F74BC1">
              <w:rPr>
                <w:rFonts w:ascii="Arial" w:hAnsi="Arial" w:cs="Arial"/>
              </w:rPr>
              <w:t xml:space="preserve"> </w:t>
            </w:r>
            <w:r>
              <w:rPr>
                <w:rFonts w:ascii="Arial" w:hAnsi="Arial" w:cs="Arial"/>
              </w:rPr>
              <w:t>ALEXANDRA DANIELLE AVENA KOENIGSBERGER, ANA CECILIA LÓPEZ DÁVILA, RODOLFO ARCE CORRAL</w:t>
            </w:r>
            <w:r w:rsidR="000F73EC">
              <w:rPr>
                <w:rFonts w:ascii="Arial" w:hAnsi="Arial" w:cs="Arial"/>
              </w:rPr>
              <w:t xml:space="preserve">, </w:t>
            </w:r>
            <w:r>
              <w:rPr>
                <w:rFonts w:ascii="Arial" w:hAnsi="Arial" w:cs="Arial"/>
              </w:rPr>
              <w:t>JOSÉ ALBERTO MONTES DE OCA SÁNCHEZ</w:t>
            </w:r>
            <w:r w:rsidR="000F73EC">
              <w:rPr>
                <w:rFonts w:ascii="Arial" w:hAnsi="Arial" w:cs="Arial"/>
              </w:rPr>
              <w:t xml:space="preserve"> Y JAVIER MIGUEL ORT</w:t>
            </w:r>
            <w:r w:rsidR="001D527B">
              <w:rPr>
                <w:rFonts w:ascii="Arial" w:hAnsi="Arial" w:cs="Arial"/>
              </w:rPr>
              <w:t>I</w:t>
            </w:r>
            <w:r w:rsidR="000F73EC">
              <w:rPr>
                <w:rFonts w:ascii="Arial" w:hAnsi="Arial" w:cs="Arial"/>
              </w:rPr>
              <w:t>Z FLORES</w:t>
            </w:r>
          </w:p>
          <w:p w14:paraId="1D7BA9E9" w14:textId="77777777" w:rsidR="00561A61" w:rsidRPr="00BF1D1B" w:rsidRDefault="00561A61" w:rsidP="000F73EC">
            <w:pPr>
              <w:spacing w:before="100" w:beforeAutospacing="1" w:after="100" w:afterAutospacing="1"/>
              <w:jc w:val="both"/>
              <w:rPr>
                <w:rFonts w:ascii="Arial" w:hAnsi="Arial" w:cs="Arial"/>
              </w:rPr>
            </w:pPr>
            <w:r w:rsidRPr="00561A61">
              <w:rPr>
                <w:rFonts w:ascii="Arial" w:hAnsi="Arial" w:cs="Arial"/>
                <w:b/>
              </w:rPr>
              <w:t>COLABORARON:</w:t>
            </w:r>
            <w:r>
              <w:rPr>
                <w:rFonts w:ascii="Arial" w:hAnsi="Arial" w:cs="Arial"/>
              </w:rPr>
              <w:t xml:space="preserve"> EDITH CELESTE GARCÍA RAMÍREZ, HIRAM OCTAVIO PIÑA TORRES</w:t>
            </w:r>
            <w:r w:rsidR="002F0786">
              <w:rPr>
                <w:rFonts w:ascii="Arial" w:hAnsi="Arial" w:cs="Arial"/>
              </w:rPr>
              <w:t>,</w:t>
            </w:r>
            <w:r w:rsidR="008A5D31">
              <w:rPr>
                <w:rFonts w:ascii="Arial" w:hAnsi="Arial" w:cs="Arial"/>
              </w:rPr>
              <w:t xml:space="preserve"> </w:t>
            </w:r>
            <w:r>
              <w:rPr>
                <w:rFonts w:ascii="Arial" w:hAnsi="Arial" w:cs="Arial"/>
              </w:rPr>
              <w:t>ALBERTO DEAQUINO REYES</w:t>
            </w:r>
            <w:r w:rsidR="000F73EC">
              <w:rPr>
                <w:rFonts w:ascii="Arial" w:hAnsi="Arial" w:cs="Arial"/>
              </w:rPr>
              <w:t xml:space="preserve"> </w:t>
            </w:r>
            <w:r w:rsidR="002F0786">
              <w:rPr>
                <w:rFonts w:ascii="Arial" w:hAnsi="Arial" w:cs="Arial"/>
              </w:rPr>
              <w:t>Y REGINA SANTINELLI VILLALOBOS</w:t>
            </w:r>
          </w:p>
        </w:tc>
      </w:tr>
    </w:tbl>
    <w:p w14:paraId="1946648D" w14:textId="77777777" w:rsidR="002B400D" w:rsidRPr="00F74BC1" w:rsidRDefault="002B400D" w:rsidP="002B400D">
      <w:pPr>
        <w:spacing w:before="100" w:beforeAutospacing="1" w:after="100" w:afterAutospacing="1" w:line="360" w:lineRule="auto"/>
        <w:jc w:val="both"/>
        <w:rPr>
          <w:rFonts w:ascii="Arial" w:hAnsi="Arial" w:cs="Arial"/>
          <w:lang w:val="es-MX" w:eastAsia="es-MX"/>
        </w:rPr>
      </w:pPr>
      <w:r w:rsidRPr="00F74BC1">
        <w:rPr>
          <w:rFonts w:ascii="Arial" w:hAnsi="Arial" w:cs="Arial"/>
          <w:lang w:val="es-MX" w:eastAsia="es-MX"/>
        </w:rPr>
        <w:t xml:space="preserve">Ciudad de México, a </w:t>
      </w:r>
      <w:r w:rsidR="002F0786">
        <w:rPr>
          <w:rFonts w:ascii="Arial" w:hAnsi="Arial" w:cs="Arial"/>
          <w:lang w:val="es-MX" w:eastAsia="es-MX"/>
        </w:rPr>
        <w:t xml:space="preserve">catorce </w:t>
      </w:r>
      <w:r w:rsidRPr="00F74BC1">
        <w:rPr>
          <w:rFonts w:ascii="Arial" w:hAnsi="Arial" w:cs="Arial"/>
          <w:lang w:val="es-MX" w:eastAsia="es-MX"/>
        </w:rPr>
        <w:t xml:space="preserve">de </w:t>
      </w:r>
      <w:r w:rsidR="002F0786">
        <w:rPr>
          <w:rFonts w:ascii="Arial" w:hAnsi="Arial" w:cs="Arial"/>
          <w:lang w:val="es-MX" w:eastAsia="es-MX"/>
        </w:rPr>
        <w:t>agosto</w:t>
      </w:r>
      <w:r>
        <w:rPr>
          <w:rFonts w:ascii="Arial" w:hAnsi="Arial" w:cs="Arial"/>
          <w:lang w:val="es-MX" w:eastAsia="es-MX"/>
        </w:rPr>
        <w:t xml:space="preserve"> de </w:t>
      </w:r>
      <w:r w:rsidRPr="00F74BC1">
        <w:rPr>
          <w:rFonts w:ascii="Arial" w:hAnsi="Arial" w:cs="Arial"/>
          <w:lang w:val="es-MX" w:eastAsia="es-MX"/>
        </w:rPr>
        <w:t xml:space="preserve">dos mil </w:t>
      </w:r>
      <w:r>
        <w:rPr>
          <w:rFonts w:ascii="Arial" w:hAnsi="Arial" w:cs="Arial"/>
          <w:lang w:val="es-MX" w:eastAsia="es-MX"/>
        </w:rPr>
        <w:t xml:space="preserve">veinte </w:t>
      </w:r>
    </w:p>
    <w:p w14:paraId="3C8C403A" w14:textId="78FD1F0E" w:rsidR="008B56E8" w:rsidRDefault="002B400D" w:rsidP="00125C3A">
      <w:pPr>
        <w:spacing w:line="360" w:lineRule="auto"/>
        <w:jc w:val="both"/>
        <w:rPr>
          <w:rFonts w:ascii="Arial" w:hAnsi="Arial" w:cs="Arial"/>
          <w:lang w:val="es-MX" w:eastAsia="es-MX"/>
        </w:rPr>
      </w:pPr>
      <w:r w:rsidRPr="00F74BC1">
        <w:rPr>
          <w:rFonts w:ascii="Arial" w:hAnsi="Arial" w:cs="Arial"/>
          <w:b/>
          <w:lang w:val="es-MX" w:eastAsia="es-MX"/>
        </w:rPr>
        <w:t>Sentencia</w:t>
      </w:r>
      <w:r w:rsidRPr="00F74BC1">
        <w:rPr>
          <w:rFonts w:ascii="Arial" w:hAnsi="Arial" w:cs="Arial"/>
          <w:lang w:val="es-MX" w:eastAsia="es-MX"/>
        </w:rPr>
        <w:t xml:space="preserve"> que </w:t>
      </w:r>
      <w:r w:rsidR="0088691E">
        <w:rPr>
          <w:rFonts w:ascii="Arial" w:hAnsi="Arial" w:cs="Arial"/>
          <w:b/>
          <w:lang w:val="es-MX" w:eastAsia="es-MX"/>
        </w:rPr>
        <w:t xml:space="preserve">modifica </w:t>
      </w:r>
      <w:r>
        <w:rPr>
          <w:rFonts w:ascii="Arial" w:hAnsi="Arial" w:cs="Arial"/>
          <w:lang w:val="es-MX" w:eastAsia="es-MX"/>
        </w:rPr>
        <w:t xml:space="preserve">lo resuelto por la Sala Regional </w:t>
      </w:r>
      <w:r w:rsidR="007066D9" w:rsidRPr="00E87AF6">
        <w:rPr>
          <w:rFonts w:ascii="Arial" w:hAnsi="Arial" w:cs="Arial"/>
          <w:lang w:val="es-MX" w:eastAsia="es-MX"/>
        </w:rPr>
        <w:t>Ciudad de México</w:t>
      </w:r>
      <w:r>
        <w:rPr>
          <w:rFonts w:ascii="Arial" w:hAnsi="Arial" w:cs="Arial"/>
          <w:lang w:val="es-MX" w:eastAsia="es-MX"/>
        </w:rPr>
        <w:t xml:space="preserve"> en el expediente </w:t>
      </w:r>
      <w:bookmarkStart w:id="1" w:name="_Hlk38410920"/>
      <w:r w:rsidRPr="002665B5">
        <w:rPr>
          <w:rFonts w:ascii="Arial" w:hAnsi="Arial" w:cs="Arial"/>
          <w:b/>
          <w:lang w:val="es-MX" w:eastAsia="es-MX"/>
        </w:rPr>
        <w:t>S</w:t>
      </w:r>
      <w:r w:rsidR="00125C3A" w:rsidRPr="002665B5">
        <w:rPr>
          <w:rFonts w:ascii="Arial" w:hAnsi="Arial" w:cs="Arial"/>
          <w:b/>
          <w:lang w:val="es-MX" w:eastAsia="es-MX"/>
        </w:rPr>
        <w:t>CM</w:t>
      </w:r>
      <w:r w:rsidRPr="002665B5">
        <w:rPr>
          <w:rFonts w:ascii="Arial" w:hAnsi="Arial" w:cs="Arial"/>
          <w:b/>
          <w:lang w:val="es-MX" w:eastAsia="es-MX"/>
        </w:rPr>
        <w:t>-JDC-</w:t>
      </w:r>
      <w:r w:rsidR="00125C3A" w:rsidRPr="002665B5">
        <w:rPr>
          <w:rFonts w:ascii="Arial" w:hAnsi="Arial" w:cs="Arial"/>
          <w:b/>
          <w:lang w:val="es-MX" w:eastAsia="es-MX"/>
        </w:rPr>
        <w:t>27</w:t>
      </w:r>
      <w:r w:rsidRPr="002665B5">
        <w:rPr>
          <w:rFonts w:ascii="Arial" w:hAnsi="Arial" w:cs="Arial"/>
          <w:b/>
          <w:lang w:val="es-MX" w:eastAsia="es-MX"/>
        </w:rPr>
        <w:t>/2020</w:t>
      </w:r>
      <w:bookmarkEnd w:id="1"/>
      <w:r w:rsidR="00607B34" w:rsidRPr="00607B34">
        <w:rPr>
          <w:rFonts w:ascii="Arial" w:hAnsi="Arial" w:cs="Arial"/>
          <w:bCs/>
          <w:lang w:val="es-MX" w:eastAsia="es-MX"/>
        </w:rPr>
        <w:t>, en virtud de las</w:t>
      </w:r>
      <w:r w:rsidR="004E33CD">
        <w:rPr>
          <w:rFonts w:ascii="Arial" w:hAnsi="Arial" w:cs="Arial"/>
          <w:lang w:val="es-MX" w:eastAsia="es-MX"/>
        </w:rPr>
        <w:t xml:space="preserve"> siguientes razones</w:t>
      </w:r>
      <w:r w:rsidR="00E51B55">
        <w:rPr>
          <w:rFonts w:ascii="Arial" w:hAnsi="Arial" w:cs="Arial"/>
          <w:lang w:val="es-MX" w:eastAsia="es-MX"/>
        </w:rPr>
        <w:t>:</w:t>
      </w:r>
      <w:r>
        <w:rPr>
          <w:rFonts w:ascii="Arial" w:hAnsi="Arial" w:cs="Arial"/>
          <w:lang w:val="es-MX" w:eastAsia="es-MX"/>
        </w:rPr>
        <w:t xml:space="preserve"> </w:t>
      </w:r>
    </w:p>
    <w:p w14:paraId="7FD93ED6" w14:textId="1ECEE43D" w:rsidR="000567B5" w:rsidRDefault="00E51B55" w:rsidP="00125C3A">
      <w:pPr>
        <w:spacing w:line="360" w:lineRule="auto"/>
        <w:jc w:val="both"/>
        <w:rPr>
          <w:rFonts w:ascii="Arial" w:hAnsi="Arial" w:cs="Arial"/>
          <w:lang w:val="es-MX" w:eastAsia="es-MX"/>
        </w:rPr>
      </w:pPr>
      <w:r w:rsidRPr="001316AA">
        <w:rPr>
          <w:rFonts w:ascii="Arial" w:hAnsi="Arial" w:cs="Arial"/>
          <w:b/>
          <w:lang w:val="es-MX" w:eastAsia="es-MX"/>
        </w:rPr>
        <w:t xml:space="preserve">1) </w:t>
      </w:r>
      <w:r w:rsidR="009104F9" w:rsidRPr="001316AA">
        <w:rPr>
          <w:rFonts w:ascii="Arial" w:hAnsi="Arial" w:cs="Arial"/>
          <w:b/>
          <w:lang w:val="es-MX" w:eastAsia="es-MX"/>
        </w:rPr>
        <w:t>Se inaplica</w:t>
      </w:r>
      <w:r w:rsidR="00125C3A" w:rsidRPr="001316AA">
        <w:rPr>
          <w:rFonts w:ascii="Arial" w:hAnsi="Arial" w:cs="Arial"/>
          <w:lang w:val="es-MX" w:eastAsia="es-MX"/>
        </w:rPr>
        <w:t xml:space="preserve"> </w:t>
      </w:r>
      <w:r w:rsidR="00CB62F6" w:rsidRPr="001316AA">
        <w:rPr>
          <w:rFonts w:ascii="Arial" w:hAnsi="Arial" w:cs="Arial"/>
          <w:lang w:val="es-MX" w:eastAsia="es-MX"/>
        </w:rPr>
        <w:t>el</w:t>
      </w:r>
      <w:r w:rsidR="00CB62F6">
        <w:rPr>
          <w:rFonts w:ascii="Arial" w:hAnsi="Arial" w:cs="Arial"/>
          <w:lang w:val="es-MX" w:eastAsia="es-MX"/>
        </w:rPr>
        <w:t xml:space="preserve"> decreto</w:t>
      </w:r>
      <w:r w:rsidR="00E87AF6" w:rsidRPr="00E87AF6">
        <w:rPr>
          <w:rFonts w:ascii="Arial" w:hAnsi="Arial" w:cs="Arial"/>
          <w:lang w:val="es-MX" w:eastAsia="es-MX"/>
        </w:rPr>
        <w:t xml:space="preserve"> </w:t>
      </w:r>
      <w:r w:rsidR="00BE0ED1">
        <w:rPr>
          <w:rFonts w:ascii="Arial" w:hAnsi="Arial" w:cs="Arial"/>
          <w:lang w:val="es-MX" w:eastAsia="es-MX"/>
        </w:rPr>
        <w:t>del Congreso</w:t>
      </w:r>
      <w:r w:rsidR="000567B5">
        <w:rPr>
          <w:rFonts w:ascii="Arial" w:hAnsi="Arial" w:cs="Arial"/>
          <w:lang w:val="es-MX" w:eastAsia="es-MX"/>
        </w:rPr>
        <w:t xml:space="preserve"> de la</w:t>
      </w:r>
      <w:r w:rsidR="00BE0ED1">
        <w:rPr>
          <w:rFonts w:ascii="Arial" w:hAnsi="Arial" w:cs="Arial"/>
          <w:lang w:val="es-MX" w:eastAsia="es-MX"/>
        </w:rPr>
        <w:t xml:space="preserve"> </w:t>
      </w:r>
      <w:r w:rsidR="000567B5" w:rsidRPr="00FF4DEE">
        <w:rPr>
          <w:rFonts w:ascii="Arial" w:hAnsi="Arial" w:cs="Arial"/>
          <w:lang w:val="es-MX" w:eastAsia="es-MX"/>
        </w:rPr>
        <w:t>Ciudad de México</w:t>
      </w:r>
      <w:r w:rsidR="000567B5">
        <w:rPr>
          <w:rFonts w:ascii="Arial" w:hAnsi="Arial" w:cs="Arial"/>
          <w:lang w:val="es-MX" w:eastAsia="es-MX"/>
        </w:rPr>
        <w:t xml:space="preserve"> </w:t>
      </w:r>
      <w:r w:rsidR="00CC52AE">
        <w:rPr>
          <w:rFonts w:ascii="Arial" w:hAnsi="Arial" w:cs="Arial"/>
          <w:lang w:val="es-MX" w:eastAsia="es-MX"/>
        </w:rPr>
        <w:t>que derogó</w:t>
      </w:r>
      <w:r w:rsidR="00CB62F6">
        <w:rPr>
          <w:rFonts w:ascii="Arial" w:hAnsi="Arial" w:cs="Arial"/>
          <w:lang w:val="es-MX" w:eastAsia="es-MX"/>
        </w:rPr>
        <w:t xml:space="preserve"> la figura de la diputación migrante</w:t>
      </w:r>
      <w:r w:rsidR="00BE0ED1">
        <w:rPr>
          <w:rFonts w:ascii="Arial" w:hAnsi="Arial" w:cs="Arial"/>
          <w:lang w:val="es-MX" w:eastAsia="es-MX"/>
        </w:rPr>
        <w:t xml:space="preserve"> </w:t>
      </w:r>
      <w:r w:rsidR="000567B5">
        <w:rPr>
          <w:rFonts w:ascii="Arial" w:hAnsi="Arial" w:cs="Arial"/>
          <w:lang w:val="es-MX" w:eastAsia="es-MX"/>
        </w:rPr>
        <w:t>de su</w:t>
      </w:r>
      <w:r w:rsidR="00BE0ED1">
        <w:rPr>
          <w:rFonts w:ascii="Arial" w:hAnsi="Arial" w:cs="Arial"/>
          <w:lang w:val="es-MX" w:eastAsia="es-MX"/>
        </w:rPr>
        <w:t xml:space="preserve"> </w:t>
      </w:r>
      <w:r w:rsidR="00BE0ED1" w:rsidRPr="00FF4DEE">
        <w:rPr>
          <w:rFonts w:ascii="Arial" w:hAnsi="Arial" w:cs="Arial"/>
          <w:lang w:val="es-MX" w:eastAsia="es-MX"/>
        </w:rPr>
        <w:t>Código de Instituciones y Procedimientos Electorales</w:t>
      </w:r>
      <w:r w:rsidR="001139BE">
        <w:rPr>
          <w:rFonts w:ascii="Arial" w:hAnsi="Arial" w:cs="Arial"/>
          <w:lang w:val="es-MX" w:eastAsia="es-MX"/>
        </w:rPr>
        <w:t>.</w:t>
      </w:r>
      <w:r w:rsidR="000567B5">
        <w:rPr>
          <w:rFonts w:ascii="Arial" w:hAnsi="Arial" w:cs="Arial"/>
          <w:lang w:val="es-MX" w:eastAsia="es-MX"/>
        </w:rPr>
        <w:t xml:space="preserve"> </w:t>
      </w:r>
      <w:r w:rsidR="00F0710A">
        <w:rPr>
          <w:rFonts w:ascii="Arial" w:hAnsi="Arial" w:cs="Arial"/>
          <w:lang w:val="es-MX" w:eastAsia="es-MX"/>
        </w:rPr>
        <w:t>La derogación de esa figura</w:t>
      </w:r>
      <w:r w:rsidR="00CC1E65">
        <w:rPr>
          <w:rFonts w:ascii="Arial" w:hAnsi="Arial" w:cs="Arial"/>
          <w:lang w:val="es-MX" w:eastAsia="es-MX"/>
        </w:rPr>
        <w:t xml:space="preserve"> </w:t>
      </w:r>
      <w:r w:rsidR="00F0710A">
        <w:rPr>
          <w:rFonts w:ascii="Arial" w:hAnsi="Arial" w:cs="Arial"/>
          <w:lang w:val="es-MX" w:eastAsia="es-MX"/>
        </w:rPr>
        <w:t>res</w:t>
      </w:r>
      <w:r w:rsidR="00A958BE">
        <w:rPr>
          <w:rFonts w:ascii="Arial" w:hAnsi="Arial" w:cs="Arial"/>
          <w:lang w:val="es-MX" w:eastAsia="es-MX"/>
        </w:rPr>
        <w:t>ulta</w:t>
      </w:r>
      <w:r w:rsidR="00F0710A">
        <w:rPr>
          <w:rFonts w:ascii="Arial" w:hAnsi="Arial" w:cs="Arial"/>
          <w:lang w:val="es-MX" w:eastAsia="es-MX"/>
        </w:rPr>
        <w:t xml:space="preserve"> en </w:t>
      </w:r>
      <w:r w:rsidR="00CC1E65">
        <w:rPr>
          <w:rFonts w:ascii="Arial" w:hAnsi="Arial" w:cs="Arial"/>
          <w:lang w:val="es-MX" w:eastAsia="es-MX"/>
        </w:rPr>
        <w:t>la supresión injustifi</w:t>
      </w:r>
      <w:r w:rsidR="00D63110">
        <w:rPr>
          <w:rFonts w:ascii="Arial" w:hAnsi="Arial" w:cs="Arial"/>
          <w:lang w:val="es-MX" w:eastAsia="es-MX"/>
        </w:rPr>
        <w:t xml:space="preserve">cada </w:t>
      </w:r>
      <w:r w:rsidR="00FB7043">
        <w:rPr>
          <w:rFonts w:ascii="Arial" w:hAnsi="Arial" w:cs="Arial"/>
          <w:lang w:val="es-MX" w:eastAsia="es-MX"/>
        </w:rPr>
        <w:t>de derecho</w:t>
      </w:r>
      <w:r w:rsidR="005044D4">
        <w:rPr>
          <w:rFonts w:ascii="Arial" w:hAnsi="Arial" w:cs="Arial"/>
          <w:lang w:val="es-MX" w:eastAsia="es-MX"/>
        </w:rPr>
        <w:t>s</w:t>
      </w:r>
      <w:r w:rsidR="00FB7043">
        <w:rPr>
          <w:rFonts w:ascii="Arial" w:hAnsi="Arial" w:cs="Arial"/>
          <w:lang w:val="es-MX" w:eastAsia="es-MX"/>
        </w:rPr>
        <w:t xml:space="preserve"> humano</w:t>
      </w:r>
      <w:r w:rsidR="005044D4">
        <w:rPr>
          <w:rFonts w:ascii="Arial" w:hAnsi="Arial" w:cs="Arial"/>
          <w:lang w:val="es-MX" w:eastAsia="es-MX"/>
        </w:rPr>
        <w:t>s</w:t>
      </w:r>
      <w:r w:rsidR="00FB7043">
        <w:rPr>
          <w:rFonts w:ascii="Arial" w:hAnsi="Arial" w:cs="Arial"/>
          <w:lang w:val="es-MX" w:eastAsia="es-MX"/>
        </w:rPr>
        <w:t xml:space="preserve"> </w:t>
      </w:r>
      <w:r w:rsidR="005044D4">
        <w:rPr>
          <w:rFonts w:ascii="Arial" w:hAnsi="Arial" w:cs="Arial"/>
          <w:lang w:val="es-MX" w:eastAsia="es-MX"/>
        </w:rPr>
        <w:t xml:space="preserve">políticos y </w:t>
      </w:r>
      <w:r w:rsidR="003F0085">
        <w:rPr>
          <w:rFonts w:ascii="Arial" w:hAnsi="Arial" w:cs="Arial"/>
          <w:lang w:val="es-MX" w:eastAsia="es-MX"/>
        </w:rPr>
        <w:t>electoral</w:t>
      </w:r>
      <w:r w:rsidR="005044D4">
        <w:rPr>
          <w:rFonts w:ascii="Arial" w:hAnsi="Arial" w:cs="Arial"/>
          <w:lang w:val="es-MX" w:eastAsia="es-MX"/>
        </w:rPr>
        <w:t>es</w:t>
      </w:r>
      <w:r w:rsidR="00F50F58" w:rsidRPr="00F50F58">
        <w:rPr>
          <w:rFonts w:ascii="Arial" w:hAnsi="Arial" w:cs="Arial"/>
          <w:lang w:val="es-MX" w:eastAsia="es-MX"/>
        </w:rPr>
        <w:t xml:space="preserve"> </w:t>
      </w:r>
      <w:r w:rsidR="00F50F58">
        <w:rPr>
          <w:rFonts w:ascii="Arial" w:hAnsi="Arial" w:cs="Arial"/>
          <w:lang w:val="es-MX" w:eastAsia="es-MX"/>
        </w:rPr>
        <w:t xml:space="preserve">de la ciudadanía originaria de la Ciudad de México residente en el extranjero, </w:t>
      </w:r>
      <w:r w:rsidR="00D63110">
        <w:rPr>
          <w:rFonts w:ascii="Arial" w:hAnsi="Arial" w:cs="Arial"/>
          <w:lang w:val="es-MX" w:eastAsia="es-MX"/>
        </w:rPr>
        <w:t xml:space="preserve">como lo </w:t>
      </w:r>
      <w:r w:rsidR="003E44C2">
        <w:rPr>
          <w:rFonts w:ascii="Arial" w:hAnsi="Arial" w:cs="Arial"/>
          <w:lang w:val="es-MX" w:eastAsia="es-MX"/>
        </w:rPr>
        <w:t>son</w:t>
      </w:r>
      <w:r w:rsidR="00D63110">
        <w:rPr>
          <w:rFonts w:ascii="Arial" w:hAnsi="Arial" w:cs="Arial"/>
          <w:lang w:val="es-MX" w:eastAsia="es-MX"/>
        </w:rPr>
        <w:t xml:space="preserve"> </w:t>
      </w:r>
      <w:r w:rsidR="007E63E8">
        <w:rPr>
          <w:rFonts w:ascii="Arial" w:hAnsi="Arial" w:cs="Arial"/>
          <w:lang w:val="es-MX" w:eastAsia="es-MX"/>
        </w:rPr>
        <w:t xml:space="preserve">los </w:t>
      </w:r>
      <w:r w:rsidR="00D63110">
        <w:rPr>
          <w:rFonts w:ascii="Arial" w:hAnsi="Arial" w:cs="Arial"/>
          <w:lang w:val="es-MX" w:eastAsia="es-MX"/>
        </w:rPr>
        <w:t>derecho</w:t>
      </w:r>
      <w:r w:rsidR="007E63E8">
        <w:rPr>
          <w:rFonts w:ascii="Arial" w:hAnsi="Arial" w:cs="Arial"/>
          <w:lang w:val="es-MX" w:eastAsia="es-MX"/>
        </w:rPr>
        <w:t>s</w:t>
      </w:r>
      <w:r w:rsidR="00D63110">
        <w:rPr>
          <w:rFonts w:ascii="Arial" w:hAnsi="Arial" w:cs="Arial"/>
          <w:lang w:val="es-MX" w:eastAsia="es-MX"/>
        </w:rPr>
        <w:t xml:space="preserve"> a la participación </w:t>
      </w:r>
      <w:r w:rsidR="00BD552A">
        <w:rPr>
          <w:rFonts w:ascii="Arial" w:hAnsi="Arial" w:cs="Arial"/>
          <w:lang w:val="es-MX" w:eastAsia="es-MX"/>
        </w:rPr>
        <w:t xml:space="preserve">y representación </w:t>
      </w:r>
      <w:r w:rsidR="00D63110">
        <w:rPr>
          <w:rFonts w:ascii="Arial" w:hAnsi="Arial" w:cs="Arial"/>
          <w:lang w:val="es-MX" w:eastAsia="es-MX"/>
        </w:rPr>
        <w:t>política</w:t>
      </w:r>
      <w:r w:rsidR="00092DE3">
        <w:rPr>
          <w:rFonts w:ascii="Arial" w:hAnsi="Arial" w:cs="Arial"/>
          <w:lang w:val="es-MX" w:eastAsia="es-MX"/>
        </w:rPr>
        <w:t>, así como el derecho a votar y ser votado</w:t>
      </w:r>
      <w:r>
        <w:rPr>
          <w:rFonts w:ascii="Arial" w:hAnsi="Arial" w:cs="Arial"/>
          <w:lang w:val="es-MX" w:eastAsia="es-MX"/>
        </w:rPr>
        <w:t>;</w:t>
      </w:r>
    </w:p>
    <w:p w14:paraId="4C4C97A5" w14:textId="1CD4A8FD" w:rsidR="00592AAB" w:rsidRDefault="00E51B55" w:rsidP="00125C3A">
      <w:pPr>
        <w:spacing w:line="360" w:lineRule="auto"/>
        <w:jc w:val="both"/>
        <w:rPr>
          <w:rFonts w:ascii="Arial" w:hAnsi="Arial" w:cs="Arial"/>
          <w:lang w:val="es-MX" w:eastAsia="es-MX"/>
        </w:rPr>
      </w:pPr>
      <w:r w:rsidRPr="000567B5">
        <w:rPr>
          <w:rFonts w:ascii="Arial" w:hAnsi="Arial" w:cs="Arial"/>
          <w:b/>
          <w:lang w:val="es-MX" w:eastAsia="es-MX"/>
        </w:rPr>
        <w:lastRenderedPageBreak/>
        <w:t>2)</w:t>
      </w:r>
      <w:r w:rsidRPr="000567B5">
        <w:rPr>
          <w:rFonts w:ascii="Arial" w:hAnsi="Arial" w:cs="Arial"/>
          <w:lang w:val="es-MX" w:eastAsia="es-MX"/>
        </w:rPr>
        <w:t xml:space="preserve"> </w:t>
      </w:r>
      <w:r w:rsidR="000567B5" w:rsidRPr="000567B5">
        <w:rPr>
          <w:rFonts w:ascii="Arial" w:hAnsi="Arial" w:cs="Arial"/>
          <w:lang w:eastAsia="es-MX"/>
        </w:rPr>
        <w:t>S</w:t>
      </w:r>
      <w:r w:rsidRPr="000567B5">
        <w:rPr>
          <w:rFonts w:ascii="Arial" w:hAnsi="Arial" w:cs="Arial"/>
          <w:lang w:eastAsia="es-MX"/>
        </w:rPr>
        <w:t xml:space="preserve">e dispone la </w:t>
      </w:r>
      <w:r w:rsidRPr="000567B5">
        <w:rPr>
          <w:rFonts w:ascii="Arial" w:hAnsi="Arial" w:cs="Arial"/>
          <w:b/>
          <w:lang w:eastAsia="es-MX"/>
        </w:rPr>
        <w:t>reviviscencia</w:t>
      </w:r>
      <w:r w:rsidRPr="000567B5">
        <w:rPr>
          <w:rFonts w:ascii="Arial" w:hAnsi="Arial" w:cs="Arial"/>
          <w:lang w:eastAsia="es-MX"/>
        </w:rPr>
        <w:t xml:space="preserve"> de los artículos 4, apartado B, fracción III; 6, fracción I, 13, 76 y Vigésimo Quinto Transitorio del </w:t>
      </w:r>
      <w:r w:rsidRPr="000567B5">
        <w:rPr>
          <w:rFonts w:ascii="Arial" w:hAnsi="Arial" w:cs="Arial"/>
        </w:rPr>
        <w:t>Código de Instituciones y Procedimientos Electorales de la Ciudad de México</w:t>
      </w:r>
      <w:r w:rsidR="00327726">
        <w:rPr>
          <w:rFonts w:ascii="Arial" w:hAnsi="Arial" w:cs="Arial"/>
        </w:rPr>
        <w:t>,</w:t>
      </w:r>
      <w:r w:rsidRPr="000567B5">
        <w:rPr>
          <w:rFonts w:ascii="Arial" w:hAnsi="Arial" w:cs="Arial"/>
          <w:lang w:eastAsia="es-MX"/>
        </w:rPr>
        <w:t xml:space="preserve"> únicamente para el proceso electoral 2020-2021</w:t>
      </w:r>
      <w:r w:rsidR="00A221A9" w:rsidRPr="000567B5">
        <w:rPr>
          <w:rFonts w:ascii="Arial" w:hAnsi="Arial" w:cs="Arial"/>
          <w:lang w:val="es-MX" w:eastAsia="es-MX"/>
        </w:rPr>
        <w:t xml:space="preserve">, en virtud de que la </w:t>
      </w:r>
      <w:r w:rsidR="00EC23EC" w:rsidRPr="000567B5">
        <w:rPr>
          <w:rFonts w:ascii="Arial" w:hAnsi="Arial" w:cs="Arial"/>
          <w:lang w:val="es-MX" w:eastAsia="es-MX"/>
        </w:rPr>
        <w:t>eliminación de</w:t>
      </w:r>
      <w:r w:rsidR="0057344E" w:rsidRPr="000567B5">
        <w:rPr>
          <w:rFonts w:ascii="Arial" w:hAnsi="Arial" w:cs="Arial"/>
          <w:lang w:val="es-MX" w:eastAsia="es-MX"/>
        </w:rPr>
        <w:t xml:space="preserve"> la </w:t>
      </w:r>
      <w:r w:rsidR="00AA7617">
        <w:rPr>
          <w:rFonts w:ascii="Arial" w:hAnsi="Arial" w:cs="Arial"/>
          <w:lang w:val="es-MX" w:eastAsia="es-MX"/>
        </w:rPr>
        <w:t xml:space="preserve">figura de </w:t>
      </w:r>
      <w:r w:rsidR="0073153A">
        <w:rPr>
          <w:rFonts w:ascii="Arial" w:hAnsi="Arial" w:cs="Arial"/>
          <w:lang w:val="es-MX" w:eastAsia="es-MX"/>
        </w:rPr>
        <w:t xml:space="preserve">la </w:t>
      </w:r>
      <w:r w:rsidR="0057344E" w:rsidRPr="000567B5">
        <w:rPr>
          <w:rFonts w:ascii="Arial" w:hAnsi="Arial" w:cs="Arial"/>
          <w:lang w:val="es-MX" w:eastAsia="es-MX"/>
        </w:rPr>
        <w:t xml:space="preserve">diputación migrante </w:t>
      </w:r>
      <w:r w:rsidR="00174B31" w:rsidRPr="000567B5">
        <w:rPr>
          <w:rFonts w:ascii="Arial" w:hAnsi="Arial" w:cs="Arial"/>
          <w:lang w:val="es-MX" w:eastAsia="es-MX"/>
        </w:rPr>
        <w:t>reconocid</w:t>
      </w:r>
      <w:r w:rsidR="0057344E" w:rsidRPr="000567B5">
        <w:rPr>
          <w:rFonts w:ascii="Arial" w:hAnsi="Arial" w:cs="Arial"/>
          <w:lang w:val="es-MX" w:eastAsia="es-MX"/>
        </w:rPr>
        <w:t>a</w:t>
      </w:r>
      <w:r w:rsidR="00174B31" w:rsidRPr="000567B5">
        <w:rPr>
          <w:rFonts w:ascii="Arial" w:hAnsi="Arial" w:cs="Arial"/>
          <w:lang w:val="es-MX" w:eastAsia="es-MX"/>
        </w:rPr>
        <w:t xml:space="preserve"> en favor de </w:t>
      </w:r>
      <w:r w:rsidR="00FF4D91" w:rsidRPr="000567B5">
        <w:rPr>
          <w:rFonts w:ascii="Arial" w:hAnsi="Arial" w:cs="Arial"/>
          <w:lang w:val="es-MX" w:eastAsia="es-MX"/>
        </w:rPr>
        <w:t>ese</w:t>
      </w:r>
      <w:r w:rsidR="00174B31" w:rsidRPr="000567B5">
        <w:rPr>
          <w:rFonts w:ascii="Arial" w:hAnsi="Arial" w:cs="Arial"/>
          <w:lang w:val="es-MX" w:eastAsia="es-MX"/>
        </w:rPr>
        <w:t xml:space="preserve"> grupo sub</w:t>
      </w:r>
      <w:r w:rsidR="00675E9F" w:rsidRPr="000567B5">
        <w:rPr>
          <w:rFonts w:ascii="Arial" w:hAnsi="Arial" w:cs="Arial"/>
          <w:lang w:val="es-MX" w:eastAsia="es-MX"/>
        </w:rPr>
        <w:t>re</w:t>
      </w:r>
      <w:r w:rsidR="00174B31" w:rsidRPr="000567B5">
        <w:rPr>
          <w:rFonts w:ascii="Arial" w:hAnsi="Arial" w:cs="Arial"/>
          <w:lang w:val="es-MX" w:eastAsia="es-MX"/>
        </w:rPr>
        <w:t>p</w:t>
      </w:r>
      <w:r w:rsidR="00675E9F" w:rsidRPr="000567B5">
        <w:rPr>
          <w:rFonts w:ascii="Arial" w:hAnsi="Arial" w:cs="Arial"/>
          <w:lang w:val="es-MX" w:eastAsia="es-MX"/>
        </w:rPr>
        <w:t>res</w:t>
      </w:r>
      <w:r w:rsidR="00174B31" w:rsidRPr="000567B5">
        <w:rPr>
          <w:rFonts w:ascii="Arial" w:hAnsi="Arial" w:cs="Arial"/>
          <w:lang w:val="es-MX" w:eastAsia="es-MX"/>
        </w:rPr>
        <w:t xml:space="preserve">entado </w:t>
      </w:r>
      <w:r w:rsidR="0097064C" w:rsidRPr="000567B5">
        <w:rPr>
          <w:rFonts w:ascii="Arial" w:hAnsi="Arial" w:cs="Arial"/>
          <w:lang w:val="es-MX" w:eastAsia="es-MX"/>
        </w:rPr>
        <w:t xml:space="preserve">violó </w:t>
      </w:r>
      <w:r w:rsidRPr="000567B5">
        <w:rPr>
          <w:rFonts w:ascii="Arial" w:hAnsi="Arial" w:cs="Arial"/>
          <w:lang w:val="es-MX" w:eastAsia="es-MX"/>
        </w:rPr>
        <w:t xml:space="preserve">el principio constitucional de progresividad </w:t>
      </w:r>
      <w:r w:rsidR="00D840B2">
        <w:rPr>
          <w:rFonts w:ascii="Arial" w:hAnsi="Arial" w:cs="Arial"/>
          <w:lang w:val="es-MX" w:eastAsia="es-MX"/>
        </w:rPr>
        <w:t>en relación con</w:t>
      </w:r>
      <w:r w:rsidRPr="000567B5">
        <w:rPr>
          <w:rFonts w:ascii="Arial" w:hAnsi="Arial" w:cs="Arial"/>
          <w:lang w:val="es-MX" w:eastAsia="es-MX"/>
        </w:rPr>
        <w:t xml:space="preserve"> </w:t>
      </w:r>
      <w:r w:rsidR="00FF4D91" w:rsidRPr="000567B5">
        <w:rPr>
          <w:rFonts w:ascii="Arial" w:hAnsi="Arial" w:cs="Arial"/>
          <w:lang w:val="es-MX" w:eastAsia="es-MX"/>
        </w:rPr>
        <w:t>su</w:t>
      </w:r>
      <w:r w:rsidRPr="000567B5">
        <w:rPr>
          <w:rFonts w:ascii="Arial" w:hAnsi="Arial" w:cs="Arial"/>
          <w:lang w:val="es-MX" w:eastAsia="es-MX"/>
        </w:rPr>
        <w:t>s</w:t>
      </w:r>
      <w:r w:rsidR="00FF4D91" w:rsidRPr="000567B5">
        <w:rPr>
          <w:rFonts w:ascii="Arial" w:hAnsi="Arial" w:cs="Arial"/>
          <w:lang w:val="es-MX" w:eastAsia="es-MX"/>
        </w:rPr>
        <w:t xml:space="preserve"> derecho</w:t>
      </w:r>
      <w:r w:rsidR="00A63939" w:rsidRPr="000567B5">
        <w:rPr>
          <w:rFonts w:ascii="Arial" w:hAnsi="Arial" w:cs="Arial"/>
          <w:lang w:val="es-MX" w:eastAsia="es-MX"/>
        </w:rPr>
        <w:t>s</w:t>
      </w:r>
      <w:r w:rsidR="00094F15" w:rsidRPr="000567B5">
        <w:rPr>
          <w:rFonts w:ascii="Arial" w:hAnsi="Arial" w:cs="Arial"/>
          <w:lang w:val="es-MX" w:eastAsia="es-MX"/>
        </w:rPr>
        <w:t xml:space="preserve"> de participación política</w:t>
      </w:r>
      <w:r w:rsidR="0057344E" w:rsidRPr="000567B5">
        <w:rPr>
          <w:rFonts w:ascii="Arial" w:hAnsi="Arial" w:cs="Arial"/>
          <w:lang w:val="es-MX" w:eastAsia="es-MX"/>
        </w:rPr>
        <w:t xml:space="preserve"> como </w:t>
      </w:r>
      <w:r w:rsidR="00773528">
        <w:rPr>
          <w:rFonts w:ascii="Arial" w:hAnsi="Arial" w:cs="Arial"/>
          <w:lang w:val="es-MX" w:eastAsia="es-MX"/>
        </w:rPr>
        <w:t xml:space="preserve">ciudadanas y ciudadanos </w:t>
      </w:r>
      <w:r w:rsidR="003122A7" w:rsidRPr="000567B5">
        <w:rPr>
          <w:rFonts w:ascii="Arial" w:hAnsi="Arial" w:cs="Arial"/>
          <w:lang w:val="es-MX" w:eastAsia="es-MX"/>
        </w:rPr>
        <w:t>pertenecientes a</w:t>
      </w:r>
      <w:r w:rsidR="001E5C79" w:rsidRPr="000567B5">
        <w:rPr>
          <w:rFonts w:ascii="Arial" w:hAnsi="Arial" w:cs="Arial"/>
          <w:lang w:val="es-MX" w:eastAsia="es-MX"/>
        </w:rPr>
        <w:t xml:space="preserve"> la </w:t>
      </w:r>
      <w:r w:rsidR="003122A7" w:rsidRPr="000567B5">
        <w:rPr>
          <w:rFonts w:ascii="Arial" w:hAnsi="Arial" w:cs="Arial"/>
          <w:lang w:val="es-MX" w:eastAsia="es-MX"/>
        </w:rPr>
        <w:t xml:space="preserve">comunidad </w:t>
      </w:r>
      <w:r w:rsidR="001E5C79" w:rsidRPr="000567B5">
        <w:rPr>
          <w:rFonts w:ascii="Arial" w:hAnsi="Arial" w:cs="Arial"/>
          <w:lang w:val="es-MX" w:eastAsia="es-MX"/>
        </w:rPr>
        <w:t>política de la Ciudad de México</w:t>
      </w:r>
      <w:r w:rsidR="00F10EB3" w:rsidRPr="000567B5">
        <w:rPr>
          <w:rFonts w:ascii="Arial" w:hAnsi="Arial" w:cs="Arial"/>
          <w:lang w:val="es-MX" w:eastAsia="es-MX"/>
        </w:rPr>
        <w:t>.</w:t>
      </w:r>
    </w:p>
    <w:p w14:paraId="3162712E" w14:textId="77777777" w:rsidR="00FF4DEE" w:rsidRDefault="00FF4DEE" w:rsidP="002B400D">
      <w:pPr>
        <w:spacing w:line="360" w:lineRule="auto"/>
        <w:jc w:val="center"/>
        <w:rPr>
          <w:rFonts w:ascii="Arial" w:hAnsi="Arial" w:cs="Arial"/>
          <w:b/>
          <w:lang w:val="es-MX" w:eastAsia="es-MX"/>
        </w:rPr>
      </w:pPr>
    </w:p>
    <w:p w14:paraId="289CBC31" w14:textId="77777777" w:rsidR="002B400D" w:rsidRPr="00F74BC1" w:rsidRDefault="002B400D" w:rsidP="002B400D">
      <w:pPr>
        <w:spacing w:line="360" w:lineRule="auto"/>
        <w:jc w:val="center"/>
        <w:rPr>
          <w:rFonts w:ascii="Arial" w:hAnsi="Arial" w:cs="Arial"/>
          <w:b/>
          <w:lang w:val="es-MX" w:eastAsia="es-MX"/>
        </w:rPr>
      </w:pPr>
      <w:r w:rsidRPr="00F74BC1">
        <w:rPr>
          <w:rFonts w:ascii="Arial" w:hAnsi="Arial" w:cs="Arial"/>
          <w:b/>
          <w:lang w:val="es-MX" w:eastAsia="es-MX"/>
        </w:rPr>
        <w:t>CONTENIDO</w:t>
      </w:r>
    </w:p>
    <w:sdt>
      <w:sdtPr>
        <w:rPr>
          <w:rFonts w:ascii="Times New Roman" w:eastAsia="Times New Roman" w:hAnsi="Times New Roman" w:cs="Times New Roman"/>
          <w:color w:val="auto"/>
          <w:sz w:val="24"/>
          <w:szCs w:val="24"/>
          <w:lang w:val="es-ES" w:eastAsia="es-ES"/>
        </w:rPr>
        <w:id w:val="831418848"/>
        <w:docPartObj>
          <w:docPartGallery w:val="Table of Contents"/>
          <w:docPartUnique/>
        </w:docPartObj>
      </w:sdtPr>
      <w:sdtEndPr>
        <w:rPr>
          <w:rFonts w:ascii="Arial" w:hAnsi="Arial" w:cs="Arial"/>
          <w:b/>
          <w:bCs/>
          <w:sz w:val="22"/>
          <w:szCs w:val="22"/>
        </w:rPr>
      </w:sdtEndPr>
      <w:sdtContent>
        <w:p w14:paraId="1FEC6C69" w14:textId="77777777" w:rsidR="002B400D" w:rsidRPr="00C164D8" w:rsidRDefault="002B400D" w:rsidP="002B400D">
          <w:pPr>
            <w:pStyle w:val="TtuloTDC"/>
            <w:rPr>
              <w:rFonts w:ascii="Arial" w:hAnsi="Arial" w:cs="Arial"/>
              <w:b/>
              <w:sz w:val="20"/>
              <w:szCs w:val="20"/>
            </w:rPr>
          </w:pPr>
        </w:p>
        <w:p w14:paraId="4C07ABFF" w14:textId="77777777" w:rsidR="00C164D8" w:rsidRPr="00C164D8" w:rsidRDefault="002B400D">
          <w:pPr>
            <w:pStyle w:val="TDC1"/>
            <w:tabs>
              <w:tab w:val="right" w:leader="dot" w:pos="7979"/>
            </w:tabs>
            <w:rPr>
              <w:rFonts w:ascii="Arial" w:eastAsiaTheme="minorEastAsia" w:hAnsi="Arial" w:cs="Arial"/>
              <w:b/>
              <w:noProof/>
              <w:sz w:val="20"/>
              <w:szCs w:val="20"/>
              <w:lang w:val="es-MX" w:eastAsia="es-MX"/>
            </w:rPr>
          </w:pPr>
          <w:r w:rsidRPr="00C164D8">
            <w:rPr>
              <w:rFonts w:ascii="Arial" w:hAnsi="Arial" w:cs="Arial"/>
              <w:b/>
              <w:sz w:val="20"/>
              <w:szCs w:val="20"/>
            </w:rPr>
            <w:fldChar w:fldCharType="begin"/>
          </w:r>
          <w:r w:rsidRPr="00C164D8">
            <w:rPr>
              <w:rFonts w:ascii="Arial" w:hAnsi="Arial" w:cs="Arial"/>
              <w:b/>
              <w:sz w:val="20"/>
              <w:szCs w:val="20"/>
            </w:rPr>
            <w:instrText xml:space="preserve"> TOC \o "1-3" \h \z \u </w:instrText>
          </w:r>
          <w:r w:rsidRPr="00C164D8">
            <w:rPr>
              <w:rFonts w:ascii="Arial" w:hAnsi="Arial" w:cs="Arial"/>
              <w:b/>
              <w:sz w:val="20"/>
              <w:szCs w:val="20"/>
            </w:rPr>
            <w:fldChar w:fldCharType="separate"/>
          </w:r>
          <w:hyperlink w:anchor="_Toc48404864" w:history="1">
            <w:r w:rsidR="00C164D8" w:rsidRPr="00C164D8">
              <w:rPr>
                <w:rStyle w:val="Hipervnculo"/>
                <w:rFonts w:ascii="Arial" w:hAnsi="Arial" w:cs="Arial"/>
                <w:b/>
                <w:noProof/>
                <w:sz w:val="20"/>
                <w:szCs w:val="20"/>
              </w:rPr>
              <w:t>GLOSARIO</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_Toc48404864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3</w:t>
            </w:r>
            <w:r w:rsidR="00C164D8" w:rsidRPr="00C164D8">
              <w:rPr>
                <w:rFonts w:ascii="Arial" w:hAnsi="Arial" w:cs="Arial"/>
                <w:b/>
                <w:noProof/>
                <w:webHidden/>
                <w:sz w:val="20"/>
                <w:szCs w:val="20"/>
              </w:rPr>
              <w:fldChar w:fldCharType="end"/>
            </w:r>
          </w:hyperlink>
        </w:p>
        <w:p w14:paraId="5D5E23C9"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65" w:history="1">
            <w:r w:rsidR="00C164D8" w:rsidRPr="00C164D8">
              <w:rPr>
                <w:rStyle w:val="Hipervnculo"/>
                <w:rFonts w:ascii="Arial" w:hAnsi="Arial" w:cs="Arial"/>
                <w:b/>
                <w:noProof/>
                <w:sz w:val="20"/>
                <w:szCs w:val="20"/>
              </w:rPr>
              <w:t>1. ANTECEDENTES</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_Toc48404865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4</w:t>
            </w:r>
            <w:r w:rsidR="00C164D8" w:rsidRPr="00C164D8">
              <w:rPr>
                <w:rFonts w:ascii="Arial" w:hAnsi="Arial" w:cs="Arial"/>
                <w:b/>
                <w:noProof/>
                <w:webHidden/>
                <w:sz w:val="20"/>
                <w:szCs w:val="20"/>
              </w:rPr>
              <w:fldChar w:fldCharType="end"/>
            </w:r>
          </w:hyperlink>
        </w:p>
        <w:p w14:paraId="7F8FC12A"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66" w:history="1">
            <w:r w:rsidR="00C164D8" w:rsidRPr="00C164D8">
              <w:rPr>
                <w:rStyle w:val="Hipervnculo"/>
                <w:rFonts w:ascii="Arial" w:hAnsi="Arial" w:cs="Arial"/>
                <w:b/>
                <w:noProof/>
                <w:sz w:val="20"/>
                <w:szCs w:val="20"/>
              </w:rPr>
              <w:t>2. COMPETENCIA</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_Toc48404866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6</w:t>
            </w:r>
            <w:r w:rsidR="00C164D8" w:rsidRPr="00C164D8">
              <w:rPr>
                <w:rFonts w:ascii="Arial" w:hAnsi="Arial" w:cs="Arial"/>
                <w:b/>
                <w:noProof/>
                <w:webHidden/>
                <w:sz w:val="20"/>
                <w:szCs w:val="20"/>
              </w:rPr>
              <w:fldChar w:fldCharType="end"/>
            </w:r>
          </w:hyperlink>
        </w:p>
        <w:p w14:paraId="48F25EB8"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67" w:history="1">
            <w:r w:rsidR="00C164D8" w:rsidRPr="00C164D8">
              <w:rPr>
                <w:rStyle w:val="Hipervnculo"/>
                <w:rFonts w:ascii="Arial" w:eastAsiaTheme="minorHAnsi" w:hAnsi="Arial" w:cs="Arial"/>
                <w:b/>
                <w:noProof/>
                <w:sz w:val="20"/>
                <w:szCs w:val="20"/>
              </w:rPr>
              <w:t xml:space="preserve">3. </w:t>
            </w:r>
            <w:r w:rsidR="00C164D8" w:rsidRPr="00C164D8">
              <w:rPr>
                <w:rStyle w:val="Hipervnculo"/>
                <w:rFonts w:ascii="Arial" w:hAnsi="Arial" w:cs="Arial"/>
                <w:b/>
                <w:noProof/>
                <w:sz w:val="20"/>
                <w:szCs w:val="20"/>
              </w:rPr>
              <w:t>RAZONES QUE JUSTIFICAN LA URGENCIA DEL PRESENTE ASUNTO</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_Toc48404867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7</w:t>
            </w:r>
            <w:r w:rsidR="00C164D8" w:rsidRPr="00C164D8">
              <w:rPr>
                <w:rFonts w:ascii="Arial" w:hAnsi="Arial" w:cs="Arial"/>
                <w:b/>
                <w:noProof/>
                <w:webHidden/>
                <w:sz w:val="20"/>
                <w:szCs w:val="20"/>
              </w:rPr>
              <w:fldChar w:fldCharType="end"/>
            </w:r>
          </w:hyperlink>
        </w:p>
        <w:p w14:paraId="1528996E"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68" w:history="1">
            <w:r w:rsidR="00C164D8" w:rsidRPr="00C164D8">
              <w:rPr>
                <w:rStyle w:val="Hipervnculo"/>
                <w:rFonts w:ascii="Arial" w:eastAsiaTheme="minorHAnsi" w:hAnsi="Arial" w:cs="Arial"/>
                <w:b/>
                <w:noProof/>
                <w:sz w:val="20"/>
                <w:szCs w:val="20"/>
              </w:rPr>
              <w:t>4. REQUISITOS DE PROCEDENCIA GENERALES Y ESPECIALES</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_Toc48404868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8</w:t>
            </w:r>
            <w:r w:rsidR="00C164D8" w:rsidRPr="00C164D8">
              <w:rPr>
                <w:rFonts w:ascii="Arial" w:hAnsi="Arial" w:cs="Arial"/>
                <w:b/>
                <w:noProof/>
                <w:webHidden/>
                <w:sz w:val="20"/>
                <w:szCs w:val="20"/>
              </w:rPr>
              <w:fldChar w:fldCharType="end"/>
            </w:r>
          </w:hyperlink>
        </w:p>
        <w:p w14:paraId="5192C99B"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69" w:history="1">
            <w:r w:rsidR="00C164D8" w:rsidRPr="00C164D8">
              <w:rPr>
                <w:rStyle w:val="Hipervnculo"/>
                <w:rFonts w:ascii="Arial" w:eastAsiaTheme="minorHAnsi" w:hAnsi="Arial" w:cs="Arial"/>
                <w:b/>
                <w:noProof/>
                <w:sz w:val="20"/>
                <w:szCs w:val="20"/>
              </w:rPr>
              <w:t>5. ESTUDIO DE FONDO</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_Toc48404869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17</w:t>
            </w:r>
            <w:r w:rsidR="00C164D8" w:rsidRPr="00C164D8">
              <w:rPr>
                <w:rFonts w:ascii="Arial" w:hAnsi="Arial" w:cs="Arial"/>
                <w:b/>
                <w:noProof/>
                <w:webHidden/>
                <w:sz w:val="20"/>
                <w:szCs w:val="20"/>
              </w:rPr>
              <w:fldChar w:fldCharType="end"/>
            </w:r>
          </w:hyperlink>
        </w:p>
        <w:p w14:paraId="074D2571"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70" w:history="1">
            <w:r w:rsidR="00C164D8" w:rsidRPr="00C164D8">
              <w:rPr>
                <w:rStyle w:val="Hipervnculo"/>
                <w:rFonts w:ascii="Arial" w:eastAsiaTheme="minorHAnsi" w:hAnsi="Arial" w:cs="Arial"/>
                <w:b/>
                <w:noProof/>
                <w:sz w:val="20"/>
                <w:szCs w:val="20"/>
              </w:rPr>
              <w:t>5.1. Problema jurídico y metodología de estudio</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_Toc48404870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17</w:t>
            </w:r>
            <w:r w:rsidR="00C164D8" w:rsidRPr="00C164D8">
              <w:rPr>
                <w:rFonts w:ascii="Arial" w:hAnsi="Arial" w:cs="Arial"/>
                <w:b/>
                <w:noProof/>
                <w:webHidden/>
                <w:sz w:val="20"/>
                <w:szCs w:val="20"/>
              </w:rPr>
              <w:fldChar w:fldCharType="end"/>
            </w:r>
          </w:hyperlink>
        </w:p>
        <w:p w14:paraId="35A20345"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71" w:history="1">
            <w:r w:rsidR="00C164D8" w:rsidRPr="00C164D8">
              <w:rPr>
                <w:rStyle w:val="Hipervnculo"/>
                <w:rFonts w:ascii="Arial" w:eastAsiaTheme="minorHAnsi" w:hAnsi="Arial" w:cs="Arial"/>
                <w:b/>
                <w:noProof/>
                <w:sz w:val="20"/>
                <w:szCs w:val="20"/>
              </w:rPr>
              <w:t>5.2. Agravios procesales</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_Toc48404871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20</w:t>
            </w:r>
            <w:r w:rsidR="00C164D8" w:rsidRPr="00C164D8">
              <w:rPr>
                <w:rFonts w:ascii="Arial" w:hAnsi="Arial" w:cs="Arial"/>
                <w:b/>
                <w:noProof/>
                <w:webHidden/>
                <w:sz w:val="20"/>
                <w:szCs w:val="20"/>
              </w:rPr>
              <w:fldChar w:fldCharType="end"/>
            </w:r>
          </w:hyperlink>
        </w:p>
        <w:p w14:paraId="23642FC8"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72" w:history="1">
            <w:r w:rsidR="00C164D8" w:rsidRPr="00C164D8">
              <w:rPr>
                <w:rStyle w:val="Hipervnculo"/>
                <w:rFonts w:ascii="Arial" w:eastAsiaTheme="minorHAnsi" w:hAnsi="Arial" w:cs="Arial"/>
                <w:b/>
                <w:noProof/>
                <w:sz w:val="20"/>
                <w:szCs w:val="20"/>
              </w:rPr>
              <w:t>5.2.1. El Tribunal local sí era competente</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_Toc48404872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20</w:t>
            </w:r>
            <w:r w:rsidR="00C164D8" w:rsidRPr="00C164D8">
              <w:rPr>
                <w:rFonts w:ascii="Arial" w:hAnsi="Arial" w:cs="Arial"/>
                <w:b/>
                <w:noProof/>
                <w:webHidden/>
                <w:sz w:val="20"/>
                <w:szCs w:val="20"/>
              </w:rPr>
              <w:fldChar w:fldCharType="end"/>
            </w:r>
          </w:hyperlink>
        </w:p>
        <w:p w14:paraId="5589CA98"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73" w:history="1">
            <w:r w:rsidR="00C164D8" w:rsidRPr="00C164D8">
              <w:rPr>
                <w:rStyle w:val="Hipervnculo"/>
                <w:rFonts w:ascii="Arial" w:eastAsiaTheme="minorHAnsi" w:hAnsi="Arial" w:cs="Arial"/>
                <w:b/>
                <w:noProof/>
                <w:sz w:val="20"/>
                <w:szCs w:val="20"/>
              </w:rPr>
              <w:t>5.2.2 Interés</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_Toc48404873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22</w:t>
            </w:r>
            <w:r w:rsidR="00C164D8" w:rsidRPr="00C164D8">
              <w:rPr>
                <w:rFonts w:ascii="Arial" w:hAnsi="Arial" w:cs="Arial"/>
                <w:b/>
                <w:noProof/>
                <w:webHidden/>
                <w:sz w:val="20"/>
                <w:szCs w:val="20"/>
              </w:rPr>
              <w:fldChar w:fldCharType="end"/>
            </w:r>
          </w:hyperlink>
        </w:p>
        <w:p w14:paraId="222E193D"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74" w:history="1">
            <w:r w:rsidR="00C164D8" w:rsidRPr="00C164D8">
              <w:rPr>
                <w:rStyle w:val="Hipervnculo"/>
                <w:rFonts w:ascii="Arial" w:eastAsiaTheme="minorHAnsi" w:hAnsi="Arial" w:cs="Arial"/>
                <w:b/>
                <w:noProof/>
                <w:sz w:val="20"/>
                <w:szCs w:val="20"/>
              </w:rPr>
              <w:t>5.3. El tipo de análisis de constitucionalidad realizado por la Sala Regional responsable fue correcto</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_Toc48404874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25</w:t>
            </w:r>
            <w:r w:rsidR="00C164D8" w:rsidRPr="00C164D8">
              <w:rPr>
                <w:rFonts w:ascii="Arial" w:hAnsi="Arial" w:cs="Arial"/>
                <w:b/>
                <w:noProof/>
                <w:webHidden/>
                <w:sz w:val="20"/>
                <w:szCs w:val="20"/>
              </w:rPr>
              <w:fldChar w:fldCharType="end"/>
            </w:r>
          </w:hyperlink>
        </w:p>
        <w:p w14:paraId="5D8B01D7"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75" w:history="1">
            <w:r w:rsidR="00C164D8" w:rsidRPr="00C164D8">
              <w:rPr>
                <w:rStyle w:val="Hipervnculo"/>
                <w:rFonts w:ascii="Arial" w:eastAsiaTheme="minorHAnsi" w:hAnsi="Arial" w:cs="Arial"/>
                <w:b/>
                <w:noProof/>
                <w:sz w:val="20"/>
                <w:szCs w:val="20"/>
              </w:rPr>
              <w:t>5.3.1. La Sala Superior como Tribunal constitucional garante de derechos políticos y electorales</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_Toc48404875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26</w:t>
            </w:r>
            <w:r w:rsidR="00C164D8" w:rsidRPr="00C164D8">
              <w:rPr>
                <w:rFonts w:ascii="Arial" w:hAnsi="Arial" w:cs="Arial"/>
                <w:b/>
                <w:noProof/>
                <w:webHidden/>
                <w:sz w:val="20"/>
                <w:szCs w:val="20"/>
              </w:rPr>
              <w:fldChar w:fldCharType="end"/>
            </w:r>
          </w:hyperlink>
        </w:p>
        <w:p w14:paraId="38D2764A"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76" w:history="1">
            <w:r w:rsidR="00C164D8" w:rsidRPr="00C164D8">
              <w:rPr>
                <w:rStyle w:val="Hipervnculo"/>
                <w:rFonts w:ascii="Arial" w:eastAsiaTheme="minorHAnsi" w:hAnsi="Arial" w:cs="Arial"/>
                <w:b/>
                <w:noProof/>
                <w:sz w:val="20"/>
                <w:szCs w:val="20"/>
              </w:rPr>
              <w:t>5.3.2. Naturaleza de la diputación migrante</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_Toc48404876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33</w:t>
            </w:r>
            <w:r w:rsidR="00C164D8" w:rsidRPr="00C164D8">
              <w:rPr>
                <w:rFonts w:ascii="Arial" w:hAnsi="Arial" w:cs="Arial"/>
                <w:b/>
                <w:noProof/>
                <w:webHidden/>
                <w:sz w:val="20"/>
                <w:szCs w:val="20"/>
              </w:rPr>
              <w:fldChar w:fldCharType="end"/>
            </w:r>
          </w:hyperlink>
        </w:p>
        <w:p w14:paraId="7D10BEE9"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77" w:history="1">
            <w:r w:rsidR="00C164D8" w:rsidRPr="00C164D8">
              <w:rPr>
                <w:rStyle w:val="Hipervnculo"/>
                <w:rFonts w:ascii="Arial" w:eastAsiaTheme="minorHAnsi" w:hAnsi="Arial" w:cs="Arial"/>
                <w:b/>
                <w:noProof/>
                <w:sz w:val="20"/>
                <w:szCs w:val="20"/>
              </w:rPr>
              <w:t>a. La figura de la diputación migrante y la diáspora mexicana</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_Toc48404877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33</w:t>
            </w:r>
            <w:r w:rsidR="00C164D8" w:rsidRPr="00C164D8">
              <w:rPr>
                <w:rFonts w:ascii="Arial" w:hAnsi="Arial" w:cs="Arial"/>
                <w:b/>
                <w:noProof/>
                <w:webHidden/>
                <w:sz w:val="20"/>
                <w:szCs w:val="20"/>
              </w:rPr>
              <w:fldChar w:fldCharType="end"/>
            </w:r>
          </w:hyperlink>
        </w:p>
        <w:p w14:paraId="0678DC2C"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78" w:history="1">
            <w:r w:rsidR="00C164D8" w:rsidRPr="00C164D8">
              <w:rPr>
                <w:rStyle w:val="Hipervnculo"/>
                <w:rFonts w:ascii="Arial" w:eastAsiaTheme="minorHAnsi" w:hAnsi="Arial" w:cs="Arial"/>
                <w:b/>
                <w:noProof/>
                <w:sz w:val="20"/>
                <w:szCs w:val="20"/>
              </w:rPr>
              <w:t>b. La diputación migrante como un derecho especial en función del grupo</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_Toc48404878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37</w:t>
            </w:r>
            <w:r w:rsidR="00C164D8" w:rsidRPr="00C164D8">
              <w:rPr>
                <w:rFonts w:ascii="Arial" w:hAnsi="Arial" w:cs="Arial"/>
                <w:b/>
                <w:noProof/>
                <w:webHidden/>
                <w:sz w:val="20"/>
                <w:szCs w:val="20"/>
              </w:rPr>
              <w:fldChar w:fldCharType="end"/>
            </w:r>
          </w:hyperlink>
        </w:p>
        <w:p w14:paraId="65A32A45"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79" w:history="1">
            <w:r w:rsidR="00C164D8" w:rsidRPr="00C164D8">
              <w:rPr>
                <w:rStyle w:val="Hipervnculo"/>
                <w:rFonts w:ascii="Arial" w:eastAsiaTheme="minorHAnsi" w:hAnsi="Arial" w:cs="Arial"/>
                <w:b/>
                <w:noProof/>
                <w:sz w:val="20"/>
                <w:szCs w:val="20"/>
              </w:rPr>
              <w:t>5.3.3. La posibilidad de que este Tribunal revise la validez constitucional del acto derogatorio que suprimió la figura de la diputación migrante</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_Toc48404879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41</w:t>
            </w:r>
            <w:r w:rsidR="00C164D8" w:rsidRPr="00C164D8">
              <w:rPr>
                <w:rFonts w:ascii="Arial" w:hAnsi="Arial" w:cs="Arial"/>
                <w:b/>
                <w:noProof/>
                <w:webHidden/>
                <w:sz w:val="20"/>
                <w:szCs w:val="20"/>
              </w:rPr>
              <w:fldChar w:fldCharType="end"/>
            </w:r>
          </w:hyperlink>
        </w:p>
        <w:p w14:paraId="3F99924D" w14:textId="77777777" w:rsidR="00C164D8" w:rsidRPr="00C164D8" w:rsidRDefault="00442694">
          <w:pPr>
            <w:pStyle w:val="TDC1"/>
            <w:tabs>
              <w:tab w:val="left" w:pos="440"/>
              <w:tab w:val="right" w:leader="dot" w:pos="7979"/>
            </w:tabs>
            <w:rPr>
              <w:rFonts w:ascii="Arial" w:eastAsiaTheme="minorEastAsia" w:hAnsi="Arial" w:cs="Arial"/>
              <w:b/>
              <w:noProof/>
              <w:sz w:val="20"/>
              <w:szCs w:val="20"/>
              <w:lang w:val="es-MX" w:eastAsia="es-MX"/>
            </w:rPr>
          </w:pPr>
          <w:hyperlink w:anchor="_Toc48404880" w:history="1">
            <w:r w:rsidR="00C164D8" w:rsidRPr="00C164D8">
              <w:rPr>
                <w:rStyle w:val="Hipervnculo"/>
                <w:rFonts w:ascii="Arial" w:eastAsiaTheme="minorHAnsi" w:hAnsi="Arial" w:cs="Arial"/>
                <w:b/>
                <w:noProof/>
                <w:sz w:val="20"/>
                <w:szCs w:val="20"/>
              </w:rPr>
              <w:t>a.</w:t>
            </w:r>
            <w:r w:rsidR="00C164D8" w:rsidRPr="00C164D8">
              <w:rPr>
                <w:rFonts w:ascii="Arial" w:eastAsiaTheme="minorEastAsia" w:hAnsi="Arial" w:cs="Arial"/>
                <w:b/>
                <w:noProof/>
                <w:sz w:val="20"/>
                <w:szCs w:val="20"/>
                <w:lang w:val="es-MX" w:eastAsia="es-MX"/>
              </w:rPr>
              <w:tab/>
            </w:r>
            <w:r w:rsidR="00C164D8" w:rsidRPr="00C164D8">
              <w:rPr>
                <w:rStyle w:val="Hipervnculo"/>
                <w:rFonts w:ascii="Arial" w:eastAsiaTheme="minorHAnsi" w:hAnsi="Arial" w:cs="Arial"/>
                <w:b/>
                <w:noProof/>
                <w:sz w:val="20"/>
                <w:szCs w:val="20"/>
              </w:rPr>
              <w:t>Posibilidad de controlar un acto derogatorio</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_Toc48404880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42</w:t>
            </w:r>
            <w:r w:rsidR="00C164D8" w:rsidRPr="00C164D8">
              <w:rPr>
                <w:rFonts w:ascii="Arial" w:hAnsi="Arial" w:cs="Arial"/>
                <w:b/>
                <w:noProof/>
                <w:webHidden/>
                <w:sz w:val="20"/>
                <w:szCs w:val="20"/>
              </w:rPr>
              <w:fldChar w:fldCharType="end"/>
            </w:r>
          </w:hyperlink>
        </w:p>
        <w:p w14:paraId="018E69C5" w14:textId="77777777" w:rsidR="00C164D8" w:rsidRPr="00C164D8" w:rsidRDefault="00442694">
          <w:pPr>
            <w:pStyle w:val="TDC1"/>
            <w:tabs>
              <w:tab w:val="left" w:pos="440"/>
              <w:tab w:val="right" w:leader="dot" w:pos="7979"/>
            </w:tabs>
            <w:rPr>
              <w:rFonts w:ascii="Arial" w:eastAsiaTheme="minorEastAsia" w:hAnsi="Arial" w:cs="Arial"/>
              <w:b/>
              <w:noProof/>
              <w:sz w:val="20"/>
              <w:szCs w:val="20"/>
              <w:lang w:val="es-MX" w:eastAsia="es-MX"/>
            </w:rPr>
          </w:pPr>
          <w:hyperlink w:anchor="_Toc48404881" w:history="1">
            <w:r w:rsidR="00C164D8" w:rsidRPr="00C164D8">
              <w:rPr>
                <w:rStyle w:val="Hipervnculo"/>
                <w:rFonts w:ascii="Arial" w:eastAsiaTheme="minorHAnsi" w:hAnsi="Arial" w:cs="Arial"/>
                <w:b/>
                <w:noProof/>
                <w:sz w:val="20"/>
                <w:szCs w:val="20"/>
              </w:rPr>
              <w:t>b.</w:t>
            </w:r>
            <w:r w:rsidR="00C164D8" w:rsidRPr="00C164D8">
              <w:rPr>
                <w:rFonts w:ascii="Arial" w:eastAsiaTheme="minorEastAsia" w:hAnsi="Arial" w:cs="Arial"/>
                <w:b/>
                <w:noProof/>
                <w:sz w:val="20"/>
                <w:szCs w:val="20"/>
                <w:lang w:val="es-MX" w:eastAsia="es-MX"/>
              </w:rPr>
              <w:tab/>
            </w:r>
            <w:r w:rsidR="00C164D8" w:rsidRPr="00C164D8">
              <w:rPr>
                <w:rStyle w:val="Hipervnculo"/>
                <w:rFonts w:ascii="Arial" w:eastAsiaTheme="minorHAnsi" w:hAnsi="Arial" w:cs="Arial"/>
                <w:b/>
                <w:noProof/>
                <w:sz w:val="20"/>
                <w:szCs w:val="20"/>
              </w:rPr>
              <w:t>La posibilidad de que esta Sala Superior revise la validez constitucional del decreto impugnado</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_Toc48404881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50</w:t>
            </w:r>
            <w:r w:rsidR="00C164D8" w:rsidRPr="00C164D8">
              <w:rPr>
                <w:rFonts w:ascii="Arial" w:hAnsi="Arial" w:cs="Arial"/>
                <w:b/>
                <w:noProof/>
                <w:webHidden/>
                <w:sz w:val="20"/>
                <w:szCs w:val="20"/>
              </w:rPr>
              <w:fldChar w:fldCharType="end"/>
            </w:r>
          </w:hyperlink>
        </w:p>
        <w:p w14:paraId="4F7C5D38" w14:textId="77777777" w:rsidR="00C164D8" w:rsidRPr="00C164D8" w:rsidRDefault="00442694">
          <w:pPr>
            <w:pStyle w:val="TDC1"/>
            <w:tabs>
              <w:tab w:val="left" w:pos="880"/>
              <w:tab w:val="right" w:leader="dot" w:pos="7979"/>
            </w:tabs>
            <w:rPr>
              <w:rFonts w:ascii="Arial" w:eastAsiaTheme="minorEastAsia" w:hAnsi="Arial" w:cs="Arial"/>
              <w:b/>
              <w:noProof/>
              <w:sz w:val="20"/>
              <w:szCs w:val="20"/>
              <w:lang w:val="es-MX" w:eastAsia="es-MX"/>
            </w:rPr>
          </w:pPr>
          <w:hyperlink w:anchor="_Toc48404882" w:history="1">
            <w:r w:rsidR="00C164D8" w:rsidRPr="00C164D8">
              <w:rPr>
                <w:rStyle w:val="Hipervnculo"/>
                <w:rFonts w:ascii="Arial" w:eastAsiaTheme="minorHAnsi" w:hAnsi="Arial" w:cs="Arial"/>
                <w:b/>
                <w:noProof/>
                <w:sz w:val="20"/>
                <w:szCs w:val="20"/>
              </w:rPr>
              <w:t>5.3.4.</w:t>
            </w:r>
            <w:r w:rsidR="00C164D8" w:rsidRPr="00C164D8">
              <w:rPr>
                <w:rFonts w:ascii="Arial" w:eastAsiaTheme="minorEastAsia" w:hAnsi="Arial" w:cs="Arial"/>
                <w:b/>
                <w:noProof/>
                <w:sz w:val="20"/>
                <w:szCs w:val="20"/>
                <w:lang w:val="es-MX" w:eastAsia="es-MX"/>
              </w:rPr>
              <w:tab/>
            </w:r>
            <w:r w:rsidR="00C164D8" w:rsidRPr="00C164D8">
              <w:rPr>
                <w:rStyle w:val="Hipervnculo"/>
                <w:rFonts w:ascii="Arial" w:eastAsiaTheme="minorHAnsi" w:hAnsi="Arial" w:cs="Arial"/>
                <w:b/>
                <w:noProof/>
                <w:sz w:val="20"/>
                <w:szCs w:val="20"/>
              </w:rPr>
              <w:t>Consideraciones respecto del acto de aplicación</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_Toc48404882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51</w:t>
            </w:r>
            <w:r w:rsidR="00C164D8" w:rsidRPr="00C164D8">
              <w:rPr>
                <w:rFonts w:ascii="Arial" w:hAnsi="Arial" w:cs="Arial"/>
                <w:b/>
                <w:noProof/>
                <w:webHidden/>
                <w:sz w:val="20"/>
                <w:szCs w:val="20"/>
              </w:rPr>
              <w:fldChar w:fldCharType="end"/>
            </w:r>
          </w:hyperlink>
        </w:p>
        <w:p w14:paraId="7110FF17" w14:textId="77777777" w:rsidR="00C164D8" w:rsidRPr="00C164D8" w:rsidRDefault="00442694">
          <w:pPr>
            <w:pStyle w:val="TDC1"/>
            <w:tabs>
              <w:tab w:val="left" w:pos="880"/>
              <w:tab w:val="right" w:leader="dot" w:pos="7979"/>
            </w:tabs>
            <w:rPr>
              <w:rFonts w:ascii="Arial" w:eastAsiaTheme="minorEastAsia" w:hAnsi="Arial" w:cs="Arial"/>
              <w:b/>
              <w:noProof/>
              <w:sz w:val="20"/>
              <w:szCs w:val="20"/>
              <w:lang w:val="es-MX" w:eastAsia="es-MX"/>
            </w:rPr>
          </w:pPr>
          <w:hyperlink w:anchor="_Toc48404883" w:history="1">
            <w:r w:rsidR="00C164D8" w:rsidRPr="00C164D8">
              <w:rPr>
                <w:rStyle w:val="Hipervnculo"/>
                <w:rFonts w:ascii="Arial" w:eastAsiaTheme="minorHAnsi" w:hAnsi="Arial" w:cs="Arial"/>
                <w:b/>
                <w:noProof/>
                <w:sz w:val="20"/>
                <w:szCs w:val="20"/>
              </w:rPr>
              <w:t>5.3.5.</w:t>
            </w:r>
            <w:r w:rsidR="00C164D8" w:rsidRPr="00C164D8">
              <w:rPr>
                <w:rFonts w:ascii="Arial" w:eastAsiaTheme="minorEastAsia" w:hAnsi="Arial" w:cs="Arial"/>
                <w:b/>
                <w:noProof/>
                <w:sz w:val="20"/>
                <w:szCs w:val="20"/>
                <w:lang w:val="es-MX" w:eastAsia="es-MX"/>
              </w:rPr>
              <w:tab/>
            </w:r>
            <w:r w:rsidR="00C164D8" w:rsidRPr="00C164D8">
              <w:rPr>
                <w:rStyle w:val="Hipervnculo"/>
                <w:rFonts w:ascii="Arial" w:eastAsiaTheme="minorHAnsi" w:hAnsi="Arial" w:cs="Arial"/>
                <w:b/>
                <w:noProof/>
                <w:sz w:val="20"/>
                <w:szCs w:val="20"/>
              </w:rPr>
              <w:t>Efectos delimitados</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_Toc48404883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55</w:t>
            </w:r>
            <w:r w:rsidR="00C164D8" w:rsidRPr="00C164D8">
              <w:rPr>
                <w:rFonts w:ascii="Arial" w:hAnsi="Arial" w:cs="Arial"/>
                <w:b/>
                <w:noProof/>
                <w:webHidden/>
                <w:sz w:val="20"/>
                <w:szCs w:val="20"/>
              </w:rPr>
              <w:fldChar w:fldCharType="end"/>
            </w:r>
          </w:hyperlink>
        </w:p>
        <w:p w14:paraId="3417012E" w14:textId="77777777" w:rsidR="00C164D8" w:rsidRPr="00C164D8" w:rsidRDefault="00442694">
          <w:pPr>
            <w:pStyle w:val="TDC1"/>
            <w:tabs>
              <w:tab w:val="left" w:pos="880"/>
              <w:tab w:val="right" w:leader="dot" w:pos="7979"/>
            </w:tabs>
            <w:rPr>
              <w:rFonts w:ascii="Arial" w:eastAsiaTheme="minorEastAsia" w:hAnsi="Arial" w:cs="Arial"/>
              <w:b/>
              <w:noProof/>
              <w:sz w:val="20"/>
              <w:szCs w:val="20"/>
              <w:lang w:val="es-MX" w:eastAsia="es-MX"/>
            </w:rPr>
          </w:pPr>
          <w:hyperlink w:anchor="_Toc48404884" w:history="1">
            <w:r w:rsidR="00C164D8" w:rsidRPr="00C164D8">
              <w:rPr>
                <w:rStyle w:val="Hipervnculo"/>
                <w:rFonts w:ascii="Arial" w:eastAsiaTheme="minorHAnsi" w:hAnsi="Arial" w:cs="Arial"/>
                <w:b/>
                <w:noProof/>
                <w:sz w:val="20"/>
                <w:szCs w:val="20"/>
              </w:rPr>
              <w:t>5.3.6.</w:t>
            </w:r>
            <w:r w:rsidR="00C164D8" w:rsidRPr="00C164D8">
              <w:rPr>
                <w:rFonts w:ascii="Arial" w:eastAsiaTheme="minorEastAsia" w:hAnsi="Arial" w:cs="Arial"/>
                <w:b/>
                <w:noProof/>
                <w:sz w:val="20"/>
                <w:szCs w:val="20"/>
                <w:lang w:val="es-MX" w:eastAsia="es-MX"/>
              </w:rPr>
              <w:tab/>
            </w:r>
            <w:r w:rsidR="00C164D8" w:rsidRPr="00C164D8">
              <w:rPr>
                <w:rStyle w:val="Hipervnculo"/>
                <w:rFonts w:ascii="Arial" w:eastAsiaTheme="minorHAnsi" w:hAnsi="Arial" w:cs="Arial"/>
                <w:b/>
                <w:noProof/>
                <w:sz w:val="20"/>
                <w:szCs w:val="20"/>
              </w:rPr>
              <w:t>Los avances interpretativos de la Sala Superior respecto de sus facultades de control de la regularidad en la materia de derechos a la participación y representación política</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_Toc48404884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58</w:t>
            </w:r>
            <w:r w:rsidR="00C164D8" w:rsidRPr="00C164D8">
              <w:rPr>
                <w:rFonts w:ascii="Arial" w:hAnsi="Arial" w:cs="Arial"/>
                <w:b/>
                <w:noProof/>
                <w:webHidden/>
                <w:sz w:val="20"/>
                <w:szCs w:val="20"/>
              </w:rPr>
              <w:fldChar w:fldCharType="end"/>
            </w:r>
          </w:hyperlink>
        </w:p>
        <w:p w14:paraId="719503DF" w14:textId="77777777" w:rsidR="00C164D8" w:rsidRPr="00C164D8" w:rsidRDefault="00442694">
          <w:pPr>
            <w:pStyle w:val="TDC1"/>
            <w:tabs>
              <w:tab w:val="left" w:pos="440"/>
              <w:tab w:val="right" w:leader="dot" w:pos="7979"/>
            </w:tabs>
            <w:rPr>
              <w:rFonts w:ascii="Arial" w:eastAsiaTheme="minorEastAsia" w:hAnsi="Arial" w:cs="Arial"/>
              <w:b/>
              <w:noProof/>
              <w:sz w:val="20"/>
              <w:szCs w:val="20"/>
              <w:lang w:val="es-MX" w:eastAsia="es-MX"/>
            </w:rPr>
          </w:pPr>
          <w:hyperlink w:anchor="_Toc48404885" w:history="1">
            <w:r w:rsidR="00C164D8" w:rsidRPr="00C164D8">
              <w:rPr>
                <w:rStyle w:val="Hipervnculo"/>
                <w:rFonts w:ascii="Arial" w:eastAsiaTheme="minorHAnsi" w:hAnsi="Arial" w:cs="Arial"/>
                <w:b/>
                <w:noProof/>
                <w:sz w:val="20"/>
                <w:szCs w:val="20"/>
              </w:rPr>
              <w:t>i)</w:t>
            </w:r>
            <w:r w:rsidR="00C164D8" w:rsidRPr="00C164D8">
              <w:rPr>
                <w:rFonts w:ascii="Arial" w:eastAsiaTheme="minorEastAsia" w:hAnsi="Arial" w:cs="Arial"/>
                <w:b/>
                <w:noProof/>
                <w:sz w:val="20"/>
                <w:szCs w:val="20"/>
                <w:lang w:val="es-MX" w:eastAsia="es-MX"/>
              </w:rPr>
              <w:tab/>
            </w:r>
            <w:r w:rsidR="00C164D8" w:rsidRPr="00C164D8">
              <w:rPr>
                <w:rStyle w:val="Hipervnculo"/>
                <w:rFonts w:ascii="Arial" w:eastAsiaTheme="minorHAnsi" w:hAnsi="Arial" w:cs="Arial"/>
                <w:b/>
                <w:noProof/>
                <w:sz w:val="20"/>
                <w:szCs w:val="20"/>
              </w:rPr>
              <w:t>Omisiones legislativas</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_Toc48404885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59</w:t>
            </w:r>
            <w:r w:rsidR="00C164D8" w:rsidRPr="00C164D8">
              <w:rPr>
                <w:rFonts w:ascii="Arial" w:hAnsi="Arial" w:cs="Arial"/>
                <w:b/>
                <w:noProof/>
                <w:webHidden/>
                <w:sz w:val="20"/>
                <w:szCs w:val="20"/>
              </w:rPr>
              <w:fldChar w:fldCharType="end"/>
            </w:r>
          </w:hyperlink>
        </w:p>
        <w:p w14:paraId="7CC26AC2" w14:textId="77777777" w:rsidR="00C164D8" w:rsidRPr="00C164D8" w:rsidRDefault="00442694">
          <w:pPr>
            <w:pStyle w:val="TDC1"/>
            <w:tabs>
              <w:tab w:val="left" w:pos="440"/>
              <w:tab w:val="right" w:leader="dot" w:pos="7979"/>
            </w:tabs>
            <w:rPr>
              <w:rFonts w:ascii="Arial" w:eastAsiaTheme="minorEastAsia" w:hAnsi="Arial" w:cs="Arial"/>
              <w:b/>
              <w:noProof/>
              <w:sz w:val="20"/>
              <w:szCs w:val="20"/>
              <w:lang w:val="es-MX" w:eastAsia="es-MX"/>
            </w:rPr>
          </w:pPr>
          <w:hyperlink w:anchor="_Toc48404886" w:history="1">
            <w:r w:rsidR="00C164D8" w:rsidRPr="00C164D8">
              <w:rPr>
                <w:rStyle w:val="Hipervnculo"/>
                <w:rFonts w:ascii="Arial" w:eastAsiaTheme="minorHAnsi" w:hAnsi="Arial" w:cs="Arial"/>
                <w:b/>
                <w:noProof/>
                <w:sz w:val="20"/>
                <w:szCs w:val="20"/>
              </w:rPr>
              <w:t>ii)</w:t>
            </w:r>
            <w:r w:rsidR="00C164D8" w:rsidRPr="00C164D8">
              <w:rPr>
                <w:rFonts w:ascii="Arial" w:eastAsiaTheme="minorEastAsia" w:hAnsi="Arial" w:cs="Arial"/>
                <w:b/>
                <w:noProof/>
                <w:sz w:val="20"/>
                <w:szCs w:val="20"/>
                <w:lang w:val="es-MX" w:eastAsia="es-MX"/>
              </w:rPr>
              <w:tab/>
            </w:r>
            <w:r w:rsidR="00C164D8" w:rsidRPr="00C164D8">
              <w:rPr>
                <w:rStyle w:val="Hipervnculo"/>
                <w:rFonts w:ascii="Arial" w:eastAsiaTheme="minorHAnsi" w:hAnsi="Arial" w:cs="Arial"/>
                <w:b/>
                <w:noProof/>
                <w:sz w:val="20"/>
                <w:szCs w:val="20"/>
              </w:rPr>
              <w:t>Actos de inminente aplicación</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_Toc48404886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60</w:t>
            </w:r>
            <w:r w:rsidR="00C164D8" w:rsidRPr="00C164D8">
              <w:rPr>
                <w:rFonts w:ascii="Arial" w:hAnsi="Arial" w:cs="Arial"/>
                <w:b/>
                <w:noProof/>
                <w:webHidden/>
                <w:sz w:val="20"/>
                <w:szCs w:val="20"/>
              </w:rPr>
              <w:fldChar w:fldCharType="end"/>
            </w:r>
          </w:hyperlink>
        </w:p>
        <w:p w14:paraId="49869248" w14:textId="77777777" w:rsidR="00C164D8" w:rsidRPr="00C164D8" w:rsidRDefault="00442694">
          <w:pPr>
            <w:pStyle w:val="TDC1"/>
            <w:tabs>
              <w:tab w:val="left" w:pos="660"/>
              <w:tab w:val="right" w:leader="dot" w:pos="7979"/>
            </w:tabs>
            <w:rPr>
              <w:rFonts w:ascii="Arial" w:eastAsiaTheme="minorEastAsia" w:hAnsi="Arial" w:cs="Arial"/>
              <w:b/>
              <w:noProof/>
              <w:sz w:val="20"/>
              <w:szCs w:val="20"/>
              <w:lang w:val="es-MX" w:eastAsia="es-MX"/>
            </w:rPr>
          </w:pPr>
          <w:hyperlink w:anchor="_Toc48404887" w:history="1">
            <w:r w:rsidR="00C164D8" w:rsidRPr="00C164D8">
              <w:rPr>
                <w:rStyle w:val="Hipervnculo"/>
                <w:rFonts w:ascii="Arial" w:eastAsiaTheme="minorHAnsi" w:hAnsi="Arial" w:cs="Arial"/>
                <w:b/>
                <w:noProof/>
                <w:sz w:val="20"/>
                <w:szCs w:val="20"/>
              </w:rPr>
              <w:t>iii)</w:t>
            </w:r>
            <w:r w:rsidR="00C164D8" w:rsidRPr="00C164D8">
              <w:rPr>
                <w:rFonts w:ascii="Arial" w:eastAsiaTheme="minorEastAsia" w:hAnsi="Arial" w:cs="Arial"/>
                <w:b/>
                <w:noProof/>
                <w:sz w:val="20"/>
                <w:szCs w:val="20"/>
                <w:lang w:val="es-MX" w:eastAsia="es-MX"/>
              </w:rPr>
              <w:tab/>
            </w:r>
            <w:r w:rsidR="00C164D8" w:rsidRPr="00C164D8">
              <w:rPr>
                <w:rStyle w:val="Hipervnculo"/>
                <w:rFonts w:ascii="Arial" w:eastAsiaTheme="minorHAnsi" w:hAnsi="Arial" w:cs="Arial"/>
                <w:b/>
                <w:noProof/>
                <w:sz w:val="20"/>
                <w:szCs w:val="20"/>
              </w:rPr>
              <w:t>Expansión de los efectos</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_Toc48404887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61</w:t>
            </w:r>
            <w:r w:rsidR="00C164D8" w:rsidRPr="00C164D8">
              <w:rPr>
                <w:rFonts w:ascii="Arial" w:hAnsi="Arial" w:cs="Arial"/>
                <w:b/>
                <w:noProof/>
                <w:webHidden/>
                <w:sz w:val="20"/>
                <w:szCs w:val="20"/>
              </w:rPr>
              <w:fldChar w:fldCharType="end"/>
            </w:r>
          </w:hyperlink>
        </w:p>
        <w:p w14:paraId="4AA6AD19"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88" w:history="1">
            <w:r w:rsidR="00C164D8" w:rsidRPr="00C164D8">
              <w:rPr>
                <w:rStyle w:val="Hipervnculo"/>
                <w:rFonts w:ascii="Arial" w:eastAsiaTheme="minorHAnsi" w:hAnsi="Arial" w:cs="Arial"/>
                <w:b/>
                <w:noProof/>
                <w:sz w:val="20"/>
                <w:szCs w:val="20"/>
              </w:rPr>
              <w:t>5.4. La derogación de la previsión legal del derecho a votar y ser votado por una diputación migrante violenta el principio de progresividad</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_Toc48404888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62</w:t>
            </w:r>
            <w:r w:rsidR="00C164D8" w:rsidRPr="00C164D8">
              <w:rPr>
                <w:rFonts w:ascii="Arial" w:hAnsi="Arial" w:cs="Arial"/>
                <w:b/>
                <w:noProof/>
                <w:webHidden/>
                <w:sz w:val="20"/>
                <w:szCs w:val="20"/>
              </w:rPr>
              <w:fldChar w:fldCharType="end"/>
            </w:r>
          </w:hyperlink>
        </w:p>
        <w:p w14:paraId="774B62DB"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89" w:history="1">
            <w:r w:rsidR="00C164D8" w:rsidRPr="00C164D8">
              <w:rPr>
                <w:rStyle w:val="Hipervnculo"/>
                <w:rFonts w:ascii="Arial" w:eastAsiaTheme="minorHAnsi" w:hAnsi="Arial" w:cs="Arial"/>
                <w:b/>
                <w:noProof/>
                <w:sz w:val="20"/>
                <w:szCs w:val="20"/>
              </w:rPr>
              <w:t>5.4.1. El reconocimiento del derecho a votar y ser votado de los integrantes de la diáspora de la Ciudad de México</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_Toc48404889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63</w:t>
            </w:r>
            <w:r w:rsidR="00C164D8" w:rsidRPr="00C164D8">
              <w:rPr>
                <w:rFonts w:ascii="Arial" w:hAnsi="Arial" w:cs="Arial"/>
                <w:b/>
                <w:noProof/>
                <w:webHidden/>
                <w:sz w:val="20"/>
                <w:szCs w:val="20"/>
              </w:rPr>
              <w:fldChar w:fldCharType="end"/>
            </w:r>
          </w:hyperlink>
        </w:p>
        <w:p w14:paraId="221C7667"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90" w:history="1">
            <w:r w:rsidR="00C164D8" w:rsidRPr="00C164D8">
              <w:rPr>
                <w:rStyle w:val="Hipervnculo"/>
                <w:rFonts w:ascii="Arial" w:eastAsiaTheme="minorHAnsi" w:hAnsi="Arial" w:cs="Arial"/>
                <w:b/>
                <w:noProof/>
                <w:sz w:val="20"/>
                <w:szCs w:val="20"/>
              </w:rPr>
              <w:t>5.4.2. Principio de progresividad de los derechos humanos</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_Toc48404890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67</w:t>
            </w:r>
            <w:r w:rsidR="00C164D8" w:rsidRPr="00C164D8">
              <w:rPr>
                <w:rFonts w:ascii="Arial" w:hAnsi="Arial" w:cs="Arial"/>
                <w:b/>
                <w:noProof/>
                <w:webHidden/>
                <w:sz w:val="20"/>
                <w:szCs w:val="20"/>
              </w:rPr>
              <w:fldChar w:fldCharType="end"/>
            </w:r>
          </w:hyperlink>
        </w:p>
        <w:p w14:paraId="38F71739"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91" w:history="1">
            <w:r w:rsidR="00C164D8" w:rsidRPr="00C164D8">
              <w:rPr>
                <w:rStyle w:val="Hipervnculo"/>
                <w:rFonts w:ascii="Arial" w:eastAsiaTheme="minorHAnsi" w:hAnsi="Arial" w:cs="Arial"/>
                <w:b/>
                <w:noProof/>
                <w:sz w:val="20"/>
                <w:szCs w:val="20"/>
              </w:rPr>
              <w:t>6. EFECTOS</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_Toc48404891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78</w:t>
            </w:r>
            <w:r w:rsidR="00C164D8" w:rsidRPr="00C164D8">
              <w:rPr>
                <w:rFonts w:ascii="Arial" w:hAnsi="Arial" w:cs="Arial"/>
                <w:b/>
                <w:noProof/>
                <w:webHidden/>
                <w:sz w:val="20"/>
                <w:szCs w:val="20"/>
              </w:rPr>
              <w:fldChar w:fldCharType="end"/>
            </w:r>
          </w:hyperlink>
        </w:p>
        <w:p w14:paraId="7A42BC52" w14:textId="77777777" w:rsidR="00C164D8" w:rsidRPr="00C164D8" w:rsidRDefault="00442694">
          <w:pPr>
            <w:pStyle w:val="TDC1"/>
            <w:tabs>
              <w:tab w:val="right" w:leader="dot" w:pos="7979"/>
            </w:tabs>
            <w:rPr>
              <w:rFonts w:ascii="Arial" w:eastAsiaTheme="minorEastAsia" w:hAnsi="Arial" w:cs="Arial"/>
              <w:b/>
              <w:noProof/>
              <w:sz w:val="20"/>
              <w:szCs w:val="20"/>
              <w:lang w:val="es-MX" w:eastAsia="es-MX"/>
            </w:rPr>
          </w:pPr>
          <w:hyperlink w:anchor="_Toc48404892" w:history="1">
            <w:r w:rsidR="00C164D8" w:rsidRPr="00C164D8">
              <w:rPr>
                <w:rStyle w:val="Hipervnculo"/>
                <w:rFonts w:ascii="Arial" w:eastAsiaTheme="minorHAnsi" w:hAnsi="Arial" w:cs="Arial"/>
                <w:b/>
                <w:noProof/>
                <w:sz w:val="20"/>
                <w:szCs w:val="20"/>
              </w:rPr>
              <w:t>7. RESOLUTIVO</w:t>
            </w:r>
            <w:r w:rsidR="00C164D8" w:rsidRPr="00C164D8">
              <w:rPr>
                <w:rFonts w:ascii="Arial" w:hAnsi="Arial" w:cs="Arial"/>
                <w:b/>
                <w:noProof/>
                <w:webHidden/>
                <w:sz w:val="20"/>
                <w:szCs w:val="20"/>
              </w:rPr>
              <w:tab/>
            </w:r>
            <w:r w:rsidR="00C164D8" w:rsidRPr="00C164D8">
              <w:rPr>
                <w:rFonts w:ascii="Arial" w:hAnsi="Arial" w:cs="Arial"/>
                <w:b/>
                <w:noProof/>
                <w:webHidden/>
                <w:sz w:val="20"/>
                <w:szCs w:val="20"/>
              </w:rPr>
              <w:fldChar w:fldCharType="begin"/>
            </w:r>
            <w:r w:rsidR="00C164D8" w:rsidRPr="00C164D8">
              <w:rPr>
                <w:rFonts w:ascii="Arial" w:hAnsi="Arial" w:cs="Arial"/>
                <w:b/>
                <w:noProof/>
                <w:webHidden/>
                <w:sz w:val="20"/>
                <w:szCs w:val="20"/>
              </w:rPr>
              <w:instrText xml:space="preserve"> PAGEREF _Toc48404892 \h </w:instrText>
            </w:r>
            <w:r w:rsidR="00C164D8" w:rsidRPr="00C164D8">
              <w:rPr>
                <w:rFonts w:ascii="Arial" w:hAnsi="Arial" w:cs="Arial"/>
                <w:b/>
                <w:noProof/>
                <w:webHidden/>
                <w:sz w:val="20"/>
                <w:szCs w:val="20"/>
              </w:rPr>
            </w:r>
            <w:r w:rsidR="00C164D8" w:rsidRPr="00C164D8">
              <w:rPr>
                <w:rFonts w:ascii="Arial" w:hAnsi="Arial" w:cs="Arial"/>
                <w:b/>
                <w:noProof/>
                <w:webHidden/>
                <w:sz w:val="20"/>
                <w:szCs w:val="20"/>
              </w:rPr>
              <w:fldChar w:fldCharType="separate"/>
            </w:r>
            <w:r w:rsidR="00C164D8" w:rsidRPr="00C164D8">
              <w:rPr>
                <w:rFonts w:ascii="Arial" w:hAnsi="Arial" w:cs="Arial"/>
                <w:b/>
                <w:noProof/>
                <w:webHidden/>
                <w:sz w:val="20"/>
                <w:szCs w:val="20"/>
              </w:rPr>
              <w:t>78</w:t>
            </w:r>
            <w:r w:rsidR="00C164D8" w:rsidRPr="00C164D8">
              <w:rPr>
                <w:rFonts w:ascii="Arial" w:hAnsi="Arial" w:cs="Arial"/>
                <w:b/>
                <w:noProof/>
                <w:webHidden/>
                <w:sz w:val="20"/>
                <w:szCs w:val="20"/>
              </w:rPr>
              <w:fldChar w:fldCharType="end"/>
            </w:r>
          </w:hyperlink>
        </w:p>
        <w:p w14:paraId="6D3F9517" w14:textId="77777777" w:rsidR="002B400D" w:rsidRPr="007A4688" w:rsidRDefault="002B400D" w:rsidP="002B400D">
          <w:pPr>
            <w:rPr>
              <w:rFonts w:ascii="Arial" w:hAnsi="Arial" w:cs="Arial"/>
              <w:sz w:val="22"/>
              <w:szCs w:val="22"/>
            </w:rPr>
          </w:pPr>
          <w:r w:rsidRPr="00C164D8">
            <w:rPr>
              <w:rFonts w:ascii="Arial" w:hAnsi="Arial" w:cs="Arial"/>
              <w:b/>
              <w:bCs/>
              <w:sz w:val="20"/>
              <w:szCs w:val="20"/>
            </w:rPr>
            <w:fldChar w:fldCharType="end"/>
          </w:r>
        </w:p>
      </w:sdtContent>
    </w:sdt>
    <w:p w14:paraId="3B478493" w14:textId="77777777" w:rsidR="000567B5" w:rsidRDefault="000567B5" w:rsidP="002B400D">
      <w:pPr>
        <w:pStyle w:val="Ttulo1"/>
        <w:spacing w:before="0" w:beforeAutospacing="0" w:after="0" w:afterAutospacing="0"/>
        <w:rPr>
          <w:rFonts w:cs="Arial"/>
          <w:caps w:val="0"/>
          <w:szCs w:val="24"/>
        </w:rPr>
      </w:pPr>
    </w:p>
    <w:p w14:paraId="41B5C090" w14:textId="77777777" w:rsidR="002B400D" w:rsidRDefault="002B400D" w:rsidP="002B400D">
      <w:pPr>
        <w:pStyle w:val="Ttulo1"/>
        <w:spacing w:before="0" w:beforeAutospacing="0" w:after="0" w:afterAutospacing="0"/>
        <w:rPr>
          <w:rFonts w:cs="Arial"/>
          <w:caps w:val="0"/>
          <w:szCs w:val="24"/>
        </w:rPr>
      </w:pPr>
      <w:bookmarkStart w:id="2" w:name="_Toc48404864"/>
      <w:r w:rsidRPr="00B60C3D">
        <w:rPr>
          <w:rFonts w:cs="Arial"/>
          <w:caps w:val="0"/>
          <w:szCs w:val="24"/>
        </w:rPr>
        <w:t>GLOSARIO</w:t>
      </w:r>
      <w:bookmarkEnd w:id="2"/>
    </w:p>
    <w:p w14:paraId="74A920E3" w14:textId="77777777" w:rsidR="002B400D" w:rsidRPr="006B65C3" w:rsidRDefault="002B400D" w:rsidP="002B400D">
      <w:pPr>
        <w:rPr>
          <w:sz w:val="12"/>
          <w:lang w:val="es-MX" w:eastAsia="en-US"/>
        </w:rPr>
      </w:pPr>
    </w:p>
    <w:tbl>
      <w:tblPr>
        <w:tblW w:w="7095" w:type="dxa"/>
        <w:jc w:val="center"/>
        <w:tblLook w:val="04A0" w:firstRow="1" w:lastRow="0" w:firstColumn="1" w:lastColumn="0" w:noHBand="0" w:noVBand="1"/>
      </w:tblPr>
      <w:tblGrid>
        <w:gridCol w:w="2583"/>
        <w:gridCol w:w="4512"/>
      </w:tblGrid>
      <w:tr w:rsidR="002B400D" w:rsidRPr="00B14514" w14:paraId="5FEE0657" w14:textId="77777777" w:rsidTr="00910446">
        <w:trPr>
          <w:trHeight w:val="663"/>
          <w:jc w:val="center"/>
        </w:trPr>
        <w:tc>
          <w:tcPr>
            <w:tcW w:w="2583" w:type="dxa"/>
            <w:shd w:val="clear" w:color="auto" w:fill="auto"/>
          </w:tcPr>
          <w:p w14:paraId="175F96BC" w14:textId="77777777" w:rsidR="002B400D" w:rsidRPr="00B14514" w:rsidRDefault="007A3046" w:rsidP="00910446">
            <w:pPr>
              <w:jc w:val="both"/>
              <w:rPr>
                <w:rFonts w:ascii="Arial" w:eastAsia="Calibri" w:hAnsi="Arial" w:cs="Arial"/>
                <w:b/>
                <w:sz w:val="20"/>
                <w:szCs w:val="20"/>
              </w:rPr>
            </w:pPr>
            <w:r>
              <w:rPr>
                <w:rFonts w:ascii="Arial" w:eastAsia="Calibri" w:hAnsi="Arial" w:cs="Arial"/>
                <w:b/>
                <w:sz w:val="20"/>
                <w:szCs w:val="20"/>
              </w:rPr>
              <w:t>Código local:</w:t>
            </w:r>
          </w:p>
        </w:tc>
        <w:tc>
          <w:tcPr>
            <w:tcW w:w="4512" w:type="dxa"/>
            <w:shd w:val="clear" w:color="auto" w:fill="auto"/>
          </w:tcPr>
          <w:p w14:paraId="49265DEC" w14:textId="77777777" w:rsidR="002B400D" w:rsidRPr="00B14514" w:rsidRDefault="007A3046" w:rsidP="00910446">
            <w:pPr>
              <w:jc w:val="both"/>
              <w:rPr>
                <w:rFonts w:ascii="Arial" w:eastAsia="Calibri" w:hAnsi="Arial" w:cs="Arial"/>
                <w:sz w:val="20"/>
                <w:szCs w:val="20"/>
              </w:rPr>
            </w:pPr>
            <w:r w:rsidRPr="007A3046">
              <w:rPr>
                <w:rFonts w:ascii="Arial" w:eastAsia="Calibri" w:hAnsi="Arial" w:cs="Arial"/>
                <w:sz w:val="20"/>
                <w:szCs w:val="20"/>
              </w:rPr>
              <w:t>Código de Instituciones y Procedimientos Electorales de la Ciudad de México</w:t>
            </w:r>
          </w:p>
        </w:tc>
      </w:tr>
      <w:tr w:rsidR="007A3046" w:rsidRPr="00B14514" w14:paraId="01633617" w14:textId="77777777" w:rsidTr="00910446">
        <w:trPr>
          <w:trHeight w:val="663"/>
          <w:jc w:val="center"/>
        </w:trPr>
        <w:tc>
          <w:tcPr>
            <w:tcW w:w="2583" w:type="dxa"/>
            <w:shd w:val="clear" w:color="auto" w:fill="auto"/>
          </w:tcPr>
          <w:p w14:paraId="49762F1E" w14:textId="77777777" w:rsidR="007A3046" w:rsidRDefault="007A3046" w:rsidP="00910446">
            <w:pPr>
              <w:jc w:val="both"/>
              <w:rPr>
                <w:rFonts w:ascii="Arial" w:eastAsia="Calibri" w:hAnsi="Arial" w:cs="Arial"/>
                <w:b/>
                <w:sz w:val="20"/>
                <w:szCs w:val="20"/>
              </w:rPr>
            </w:pPr>
            <w:r w:rsidRPr="007A3046">
              <w:rPr>
                <w:rFonts w:ascii="Arial" w:eastAsia="Calibri" w:hAnsi="Arial" w:cs="Arial"/>
                <w:b/>
                <w:sz w:val="20"/>
                <w:szCs w:val="20"/>
              </w:rPr>
              <w:t>Constitución local:</w:t>
            </w:r>
          </w:p>
        </w:tc>
        <w:tc>
          <w:tcPr>
            <w:tcW w:w="4512" w:type="dxa"/>
            <w:shd w:val="clear" w:color="auto" w:fill="auto"/>
          </w:tcPr>
          <w:p w14:paraId="55FA60DF" w14:textId="77777777" w:rsidR="007A3046" w:rsidRPr="007A3046" w:rsidRDefault="007A3046" w:rsidP="00910446">
            <w:pPr>
              <w:jc w:val="both"/>
              <w:rPr>
                <w:rFonts w:ascii="Arial" w:eastAsia="Calibri" w:hAnsi="Arial" w:cs="Arial"/>
                <w:sz w:val="20"/>
                <w:szCs w:val="20"/>
              </w:rPr>
            </w:pPr>
            <w:r w:rsidRPr="007A3046">
              <w:rPr>
                <w:rFonts w:ascii="Arial" w:eastAsia="Calibri" w:hAnsi="Arial" w:cs="Arial"/>
                <w:sz w:val="20"/>
                <w:szCs w:val="20"/>
              </w:rPr>
              <w:t>Constitución Política de la Ciudad de México</w:t>
            </w:r>
          </w:p>
        </w:tc>
      </w:tr>
      <w:tr w:rsidR="007A3046" w:rsidRPr="00B14514" w14:paraId="149265D6" w14:textId="77777777" w:rsidTr="00910446">
        <w:trPr>
          <w:trHeight w:val="663"/>
          <w:jc w:val="center"/>
        </w:trPr>
        <w:tc>
          <w:tcPr>
            <w:tcW w:w="2583" w:type="dxa"/>
            <w:shd w:val="clear" w:color="auto" w:fill="auto"/>
          </w:tcPr>
          <w:p w14:paraId="561EB31F" w14:textId="77777777" w:rsidR="007A3046" w:rsidRPr="007A3046" w:rsidRDefault="007A3046" w:rsidP="00A61E75">
            <w:pPr>
              <w:rPr>
                <w:rFonts w:ascii="Arial" w:eastAsia="Calibri" w:hAnsi="Arial" w:cs="Arial"/>
                <w:b/>
                <w:sz w:val="20"/>
                <w:szCs w:val="20"/>
              </w:rPr>
            </w:pPr>
            <w:r>
              <w:rPr>
                <w:rFonts w:ascii="Arial" w:eastAsia="Calibri" w:hAnsi="Arial" w:cs="Arial"/>
                <w:b/>
                <w:sz w:val="20"/>
                <w:szCs w:val="20"/>
              </w:rPr>
              <w:t>Decreto o decreto impugnado:</w:t>
            </w:r>
          </w:p>
        </w:tc>
        <w:tc>
          <w:tcPr>
            <w:tcW w:w="4512" w:type="dxa"/>
            <w:shd w:val="clear" w:color="auto" w:fill="auto"/>
          </w:tcPr>
          <w:p w14:paraId="72CA90E4" w14:textId="77777777" w:rsidR="007A3046" w:rsidRDefault="007A3046" w:rsidP="00910446">
            <w:pPr>
              <w:jc w:val="both"/>
              <w:rPr>
                <w:rFonts w:ascii="Arial" w:eastAsia="Calibri" w:hAnsi="Arial" w:cs="Arial"/>
                <w:sz w:val="20"/>
                <w:szCs w:val="20"/>
              </w:rPr>
            </w:pPr>
            <w:r w:rsidRPr="007A3046">
              <w:rPr>
                <w:rFonts w:ascii="Arial" w:eastAsia="Calibri" w:hAnsi="Arial" w:cs="Arial"/>
                <w:sz w:val="20"/>
                <w:szCs w:val="20"/>
              </w:rPr>
              <w:t>Decreto por el que se reforman el artículo 6, fracción I, artículo 13, párrafo primero, artículo 76, fracción VII; y se derogan el artículo 4, apartado B, fracción III, artículo 13, párrafo tercero, artículo 76, fracción V y artículo vigésimo quinto Transitorio, del Código de Instituciones y Procedimientos Electorales de la Ciudad de México</w:t>
            </w:r>
          </w:p>
          <w:p w14:paraId="60255DF5" w14:textId="77777777" w:rsidR="007A3046" w:rsidRPr="007A3046" w:rsidRDefault="007A3046" w:rsidP="00910446">
            <w:pPr>
              <w:jc w:val="both"/>
              <w:rPr>
                <w:rFonts w:ascii="Arial" w:eastAsia="Calibri" w:hAnsi="Arial" w:cs="Arial"/>
                <w:sz w:val="20"/>
                <w:szCs w:val="20"/>
              </w:rPr>
            </w:pPr>
          </w:p>
        </w:tc>
      </w:tr>
      <w:tr w:rsidR="007A3046" w:rsidRPr="00B14514" w14:paraId="4FF3DD43" w14:textId="77777777" w:rsidTr="00910446">
        <w:trPr>
          <w:trHeight w:val="663"/>
          <w:jc w:val="center"/>
        </w:trPr>
        <w:tc>
          <w:tcPr>
            <w:tcW w:w="2583" w:type="dxa"/>
            <w:shd w:val="clear" w:color="auto" w:fill="auto"/>
          </w:tcPr>
          <w:p w14:paraId="4F597073" w14:textId="77777777" w:rsidR="007A3046" w:rsidRPr="00B14514" w:rsidRDefault="007A3046" w:rsidP="007A3046">
            <w:pPr>
              <w:jc w:val="both"/>
              <w:rPr>
                <w:rFonts w:ascii="Arial" w:eastAsia="Calibri" w:hAnsi="Arial" w:cs="Arial"/>
                <w:b/>
                <w:sz w:val="20"/>
                <w:szCs w:val="20"/>
              </w:rPr>
            </w:pPr>
            <w:r w:rsidRPr="00B14514">
              <w:rPr>
                <w:rFonts w:ascii="Arial" w:eastAsia="Calibri" w:hAnsi="Arial" w:cs="Arial"/>
                <w:b/>
                <w:sz w:val="20"/>
                <w:szCs w:val="20"/>
              </w:rPr>
              <w:t>OPL</w:t>
            </w:r>
            <w:r>
              <w:rPr>
                <w:rFonts w:ascii="Arial" w:eastAsia="Calibri" w:hAnsi="Arial" w:cs="Arial"/>
                <w:b/>
                <w:sz w:val="20"/>
                <w:szCs w:val="20"/>
              </w:rPr>
              <w:t>E</w:t>
            </w:r>
            <w:r w:rsidRPr="00B14514">
              <w:rPr>
                <w:rFonts w:ascii="Arial" w:eastAsia="Calibri" w:hAnsi="Arial" w:cs="Arial"/>
                <w:b/>
                <w:sz w:val="20"/>
                <w:szCs w:val="20"/>
              </w:rPr>
              <w:t>:</w:t>
            </w:r>
          </w:p>
        </w:tc>
        <w:tc>
          <w:tcPr>
            <w:tcW w:w="4512" w:type="dxa"/>
            <w:shd w:val="clear" w:color="auto" w:fill="auto"/>
          </w:tcPr>
          <w:p w14:paraId="353BBDFA" w14:textId="77777777" w:rsidR="007A3046" w:rsidRPr="00B14514" w:rsidRDefault="007A3046" w:rsidP="007A3046">
            <w:pPr>
              <w:jc w:val="both"/>
              <w:rPr>
                <w:rFonts w:ascii="Arial" w:eastAsia="Calibri" w:hAnsi="Arial" w:cs="Arial"/>
                <w:sz w:val="20"/>
                <w:szCs w:val="20"/>
              </w:rPr>
            </w:pPr>
            <w:r w:rsidRPr="00B14514">
              <w:rPr>
                <w:rFonts w:ascii="Arial" w:eastAsia="Calibri" w:hAnsi="Arial" w:cs="Arial"/>
                <w:sz w:val="20"/>
                <w:szCs w:val="20"/>
              </w:rPr>
              <w:t>Instituto Estatal Electoral y</w:t>
            </w:r>
            <w:r w:rsidR="00EA454B">
              <w:rPr>
                <w:rFonts w:ascii="Arial" w:eastAsia="Calibri" w:hAnsi="Arial" w:cs="Arial"/>
                <w:sz w:val="20"/>
                <w:szCs w:val="20"/>
              </w:rPr>
              <w:t xml:space="preserve"> </w:t>
            </w:r>
            <w:r w:rsidRPr="00B14514">
              <w:rPr>
                <w:rFonts w:ascii="Arial" w:eastAsia="Calibri" w:hAnsi="Arial" w:cs="Arial"/>
                <w:sz w:val="20"/>
                <w:szCs w:val="20"/>
              </w:rPr>
              <w:t>de Participación Ciudadana de Oaxaca</w:t>
            </w:r>
          </w:p>
        </w:tc>
      </w:tr>
      <w:tr w:rsidR="007A3046" w:rsidRPr="00B14514" w14:paraId="217747D3" w14:textId="77777777" w:rsidTr="00910446">
        <w:trPr>
          <w:trHeight w:val="663"/>
          <w:jc w:val="center"/>
        </w:trPr>
        <w:tc>
          <w:tcPr>
            <w:tcW w:w="2583" w:type="dxa"/>
            <w:shd w:val="clear" w:color="auto" w:fill="auto"/>
          </w:tcPr>
          <w:p w14:paraId="597C2B14" w14:textId="77777777" w:rsidR="007A3046" w:rsidRPr="00B14514" w:rsidRDefault="007A3046" w:rsidP="007A3046">
            <w:pPr>
              <w:jc w:val="both"/>
              <w:rPr>
                <w:rFonts w:ascii="Arial" w:eastAsia="Calibri" w:hAnsi="Arial" w:cs="Arial"/>
                <w:b/>
                <w:sz w:val="20"/>
                <w:szCs w:val="20"/>
              </w:rPr>
            </w:pPr>
            <w:r w:rsidRPr="00B14514">
              <w:rPr>
                <w:rFonts w:ascii="Arial" w:eastAsia="Calibri" w:hAnsi="Arial" w:cs="Arial"/>
                <w:b/>
                <w:sz w:val="20"/>
                <w:szCs w:val="20"/>
              </w:rPr>
              <w:t>Ley de Medios:</w:t>
            </w:r>
          </w:p>
        </w:tc>
        <w:tc>
          <w:tcPr>
            <w:tcW w:w="4512" w:type="dxa"/>
            <w:shd w:val="clear" w:color="auto" w:fill="auto"/>
          </w:tcPr>
          <w:p w14:paraId="0B8D9302" w14:textId="77777777" w:rsidR="007A3046" w:rsidRPr="00B14514" w:rsidRDefault="007A3046" w:rsidP="007A3046">
            <w:pPr>
              <w:jc w:val="both"/>
              <w:rPr>
                <w:rFonts w:ascii="Arial" w:eastAsia="Calibri" w:hAnsi="Arial" w:cs="Arial"/>
                <w:sz w:val="20"/>
                <w:szCs w:val="20"/>
              </w:rPr>
            </w:pPr>
            <w:r w:rsidRPr="00B14514">
              <w:rPr>
                <w:rFonts w:ascii="Arial" w:eastAsia="Calibri" w:hAnsi="Arial" w:cs="Arial"/>
                <w:sz w:val="20"/>
                <w:szCs w:val="20"/>
              </w:rPr>
              <w:t>Ley General del Sistema de Medios de Impugnación en Materia Electoral</w:t>
            </w:r>
          </w:p>
          <w:p w14:paraId="514D670D" w14:textId="77777777" w:rsidR="007A3046" w:rsidRPr="00B14514" w:rsidRDefault="007A3046" w:rsidP="007A3046">
            <w:pPr>
              <w:jc w:val="both"/>
              <w:rPr>
                <w:rFonts w:ascii="Arial" w:eastAsia="Calibri" w:hAnsi="Arial" w:cs="Arial"/>
                <w:sz w:val="20"/>
                <w:szCs w:val="20"/>
              </w:rPr>
            </w:pPr>
          </w:p>
        </w:tc>
      </w:tr>
      <w:tr w:rsidR="007A3046" w:rsidRPr="00B14514" w14:paraId="7849CD8F" w14:textId="77777777" w:rsidTr="00910446">
        <w:trPr>
          <w:trHeight w:val="663"/>
          <w:jc w:val="center"/>
        </w:trPr>
        <w:tc>
          <w:tcPr>
            <w:tcW w:w="2583" w:type="dxa"/>
            <w:shd w:val="clear" w:color="auto" w:fill="auto"/>
          </w:tcPr>
          <w:p w14:paraId="780B24EB" w14:textId="77777777" w:rsidR="007A3046" w:rsidRPr="00B14514" w:rsidRDefault="007A3046" w:rsidP="007A3046">
            <w:pPr>
              <w:jc w:val="both"/>
              <w:rPr>
                <w:rFonts w:ascii="Arial" w:eastAsia="Calibri" w:hAnsi="Arial" w:cs="Arial"/>
                <w:b/>
                <w:sz w:val="20"/>
                <w:szCs w:val="20"/>
              </w:rPr>
            </w:pPr>
            <w:r w:rsidRPr="00B14514">
              <w:rPr>
                <w:rFonts w:ascii="Arial" w:eastAsia="Calibri" w:hAnsi="Arial" w:cs="Arial"/>
                <w:b/>
                <w:sz w:val="20"/>
                <w:szCs w:val="20"/>
              </w:rPr>
              <w:t xml:space="preserve">Recurrente: </w:t>
            </w:r>
          </w:p>
        </w:tc>
        <w:tc>
          <w:tcPr>
            <w:tcW w:w="4512" w:type="dxa"/>
            <w:shd w:val="clear" w:color="auto" w:fill="auto"/>
          </w:tcPr>
          <w:p w14:paraId="5E943F35" w14:textId="77777777" w:rsidR="007A3046" w:rsidRPr="00B14514" w:rsidRDefault="007A3046" w:rsidP="007A3046">
            <w:pPr>
              <w:jc w:val="both"/>
              <w:rPr>
                <w:rFonts w:ascii="Arial" w:eastAsia="Calibri" w:hAnsi="Arial" w:cs="Arial"/>
                <w:sz w:val="20"/>
                <w:szCs w:val="20"/>
              </w:rPr>
            </w:pPr>
            <w:r>
              <w:rPr>
                <w:rFonts w:ascii="Arial" w:eastAsia="Calibri" w:hAnsi="Arial" w:cs="Arial"/>
                <w:sz w:val="20"/>
                <w:szCs w:val="20"/>
              </w:rPr>
              <w:t>MORENA</w:t>
            </w:r>
            <w:r w:rsidR="00592AAB">
              <w:rPr>
                <w:rFonts w:ascii="Arial" w:eastAsia="Calibri" w:hAnsi="Arial" w:cs="Arial"/>
                <w:sz w:val="20"/>
                <w:szCs w:val="20"/>
              </w:rPr>
              <w:t>, partido político nacional</w:t>
            </w:r>
          </w:p>
        </w:tc>
      </w:tr>
      <w:tr w:rsidR="007A3046" w:rsidRPr="00B14514" w14:paraId="44F54333" w14:textId="77777777" w:rsidTr="00910446">
        <w:trPr>
          <w:trHeight w:val="663"/>
          <w:jc w:val="center"/>
        </w:trPr>
        <w:tc>
          <w:tcPr>
            <w:tcW w:w="2583" w:type="dxa"/>
            <w:shd w:val="clear" w:color="auto" w:fill="auto"/>
          </w:tcPr>
          <w:p w14:paraId="425FEA13" w14:textId="77777777" w:rsidR="007A3046" w:rsidRPr="00B14514" w:rsidRDefault="007A3046" w:rsidP="00A61E75">
            <w:pPr>
              <w:rPr>
                <w:rFonts w:ascii="Arial" w:eastAsia="Calibri" w:hAnsi="Arial" w:cs="Arial"/>
                <w:b/>
                <w:sz w:val="20"/>
                <w:szCs w:val="20"/>
              </w:rPr>
            </w:pPr>
            <w:r>
              <w:rPr>
                <w:rFonts w:ascii="Arial" w:eastAsia="Calibri" w:hAnsi="Arial" w:cs="Arial"/>
                <w:b/>
                <w:sz w:val="20"/>
                <w:szCs w:val="20"/>
              </w:rPr>
              <w:t>Sala Regional o responsable:</w:t>
            </w:r>
          </w:p>
        </w:tc>
        <w:tc>
          <w:tcPr>
            <w:tcW w:w="4512" w:type="dxa"/>
            <w:shd w:val="clear" w:color="auto" w:fill="auto"/>
          </w:tcPr>
          <w:p w14:paraId="74A3AFF1" w14:textId="77777777" w:rsidR="007A3046" w:rsidRDefault="007A3046" w:rsidP="007A3046">
            <w:pPr>
              <w:jc w:val="both"/>
              <w:rPr>
                <w:rFonts w:ascii="Arial" w:eastAsia="Calibri" w:hAnsi="Arial" w:cs="Arial"/>
                <w:sz w:val="20"/>
                <w:szCs w:val="20"/>
              </w:rPr>
            </w:pPr>
            <w:r w:rsidRPr="0076190A">
              <w:rPr>
                <w:rFonts w:ascii="Arial" w:eastAsia="Calibri" w:hAnsi="Arial" w:cs="Arial"/>
                <w:sz w:val="20"/>
                <w:szCs w:val="20"/>
              </w:rPr>
              <w:t xml:space="preserve">Sala Regional </w:t>
            </w:r>
            <w:r>
              <w:rPr>
                <w:rFonts w:ascii="Arial" w:eastAsia="Calibri" w:hAnsi="Arial" w:cs="Arial"/>
                <w:sz w:val="20"/>
                <w:szCs w:val="20"/>
              </w:rPr>
              <w:t>d</w:t>
            </w:r>
            <w:r w:rsidRPr="0076190A">
              <w:rPr>
                <w:rFonts w:ascii="Arial" w:eastAsia="Calibri" w:hAnsi="Arial" w:cs="Arial"/>
                <w:sz w:val="20"/>
                <w:szCs w:val="20"/>
              </w:rPr>
              <w:t xml:space="preserve">el Tribunal Electoral </w:t>
            </w:r>
            <w:r>
              <w:rPr>
                <w:rFonts w:ascii="Arial" w:eastAsia="Calibri" w:hAnsi="Arial" w:cs="Arial"/>
                <w:sz w:val="20"/>
                <w:szCs w:val="20"/>
              </w:rPr>
              <w:t>d</w:t>
            </w:r>
            <w:r w:rsidRPr="0076190A">
              <w:rPr>
                <w:rFonts w:ascii="Arial" w:eastAsia="Calibri" w:hAnsi="Arial" w:cs="Arial"/>
                <w:sz w:val="20"/>
                <w:szCs w:val="20"/>
              </w:rPr>
              <w:t xml:space="preserve">el Poder Judicial </w:t>
            </w:r>
            <w:r>
              <w:rPr>
                <w:rFonts w:ascii="Arial" w:eastAsia="Calibri" w:hAnsi="Arial" w:cs="Arial"/>
                <w:sz w:val="20"/>
                <w:szCs w:val="20"/>
              </w:rPr>
              <w:t>d</w:t>
            </w:r>
            <w:r w:rsidRPr="0076190A">
              <w:rPr>
                <w:rFonts w:ascii="Arial" w:eastAsia="Calibri" w:hAnsi="Arial" w:cs="Arial"/>
                <w:sz w:val="20"/>
                <w:szCs w:val="20"/>
              </w:rPr>
              <w:t xml:space="preserve">e </w:t>
            </w:r>
            <w:r>
              <w:rPr>
                <w:rFonts w:ascii="Arial" w:eastAsia="Calibri" w:hAnsi="Arial" w:cs="Arial"/>
                <w:sz w:val="20"/>
                <w:szCs w:val="20"/>
              </w:rPr>
              <w:t>l</w:t>
            </w:r>
            <w:r w:rsidRPr="0076190A">
              <w:rPr>
                <w:rFonts w:ascii="Arial" w:eastAsia="Calibri" w:hAnsi="Arial" w:cs="Arial"/>
                <w:sz w:val="20"/>
                <w:szCs w:val="20"/>
              </w:rPr>
              <w:t xml:space="preserve">a Federación, </w:t>
            </w:r>
            <w:r>
              <w:rPr>
                <w:rFonts w:ascii="Arial" w:eastAsia="Calibri" w:hAnsi="Arial" w:cs="Arial"/>
                <w:sz w:val="20"/>
                <w:szCs w:val="20"/>
              </w:rPr>
              <w:t>c</w:t>
            </w:r>
            <w:r w:rsidRPr="0076190A">
              <w:rPr>
                <w:rFonts w:ascii="Arial" w:eastAsia="Calibri" w:hAnsi="Arial" w:cs="Arial"/>
                <w:sz w:val="20"/>
                <w:szCs w:val="20"/>
              </w:rPr>
              <w:t xml:space="preserve">orrespondiente </w:t>
            </w:r>
            <w:r>
              <w:rPr>
                <w:rFonts w:ascii="Arial" w:eastAsia="Calibri" w:hAnsi="Arial" w:cs="Arial"/>
                <w:sz w:val="20"/>
                <w:szCs w:val="20"/>
              </w:rPr>
              <w:t>a</w:t>
            </w:r>
            <w:r w:rsidRPr="0076190A">
              <w:rPr>
                <w:rFonts w:ascii="Arial" w:eastAsia="Calibri" w:hAnsi="Arial" w:cs="Arial"/>
                <w:sz w:val="20"/>
                <w:szCs w:val="20"/>
              </w:rPr>
              <w:t xml:space="preserve"> </w:t>
            </w:r>
            <w:r>
              <w:rPr>
                <w:rFonts w:ascii="Arial" w:eastAsia="Calibri" w:hAnsi="Arial" w:cs="Arial"/>
                <w:sz w:val="20"/>
                <w:szCs w:val="20"/>
              </w:rPr>
              <w:t>l</w:t>
            </w:r>
            <w:r w:rsidRPr="0076190A">
              <w:rPr>
                <w:rFonts w:ascii="Arial" w:eastAsia="Calibri" w:hAnsi="Arial" w:cs="Arial"/>
                <w:sz w:val="20"/>
                <w:szCs w:val="20"/>
              </w:rPr>
              <w:t xml:space="preserve">a </w:t>
            </w:r>
            <w:r>
              <w:rPr>
                <w:rFonts w:ascii="Arial" w:eastAsia="Calibri" w:hAnsi="Arial" w:cs="Arial"/>
                <w:sz w:val="20"/>
                <w:szCs w:val="20"/>
              </w:rPr>
              <w:t>Cuarta C</w:t>
            </w:r>
            <w:r w:rsidRPr="0076190A">
              <w:rPr>
                <w:rFonts w:ascii="Arial" w:eastAsia="Calibri" w:hAnsi="Arial" w:cs="Arial"/>
                <w:sz w:val="20"/>
                <w:szCs w:val="20"/>
              </w:rPr>
              <w:t xml:space="preserve">ircunscripción Plurinominal, </w:t>
            </w:r>
            <w:r>
              <w:rPr>
                <w:rFonts w:ascii="Arial" w:eastAsia="Calibri" w:hAnsi="Arial" w:cs="Arial"/>
                <w:sz w:val="20"/>
                <w:szCs w:val="20"/>
              </w:rPr>
              <w:t>c</w:t>
            </w:r>
            <w:r w:rsidRPr="0076190A">
              <w:rPr>
                <w:rFonts w:ascii="Arial" w:eastAsia="Calibri" w:hAnsi="Arial" w:cs="Arial"/>
                <w:sz w:val="20"/>
                <w:szCs w:val="20"/>
              </w:rPr>
              <w:t xml:space="preserve">on </w:t>
            </w:r>
            <w:r>
              <w:rPr>
                <w:rFonts w:ascii="Arial" w:eastAsia="Calibri" w:hAnsi="Arial" w:cs="Arial"/>
                <w:sz w:val="20"/>
                <w:szCs w:val="20"/>
              </w:rPr>
              <w:t>s</w:t>
            </w:r>
            <w:r w:rsidRPr="0076190A">
              <w:rPr>
                <w:rFonts w:ascii="Arial" w:eastAsia="Calibri" w:hAnsi="Arial" w:cs="Arial"/>
                <w:sz w:val="20"/>
                <w:szCs w:val="20"/>
              </w:rPr>
              <w:t xml:space="preserve">ede </w:t>
            </w:r>
            <w:r>
              <w:rPr>
                <w:rFonts w:ascii="Arial" w:eastAsia="Calibri" w:hAnsi="Arial" w:cs="Arial"/>
                <w:sz w:val="20"/>
                <w:szCs w:val="20"/>
              </w:rPr>
              <w:t>e</w:t>
            </w:r>
            <w:r w:rsidRPr="0076190A">
              <w:rPr>
                <w:rFonts w:ascii="Arial" w:eastAsia="Calibri" w:hAnsi="Arial" w:cs="Arial"/>
                <w:sz w:val="20"/>
                <w:szCs w:val="20"/>
              </w:rPr>
              <w:t xml:space="preserve">n </w:t>
            </w:r>
            <w:r>
              <w:rPr>
                <w:rFonts w:ascii="Arial" w:eastAsia="Calibri" w:hAnsi="Arial" w:cs="Arial"/>
                <w:sz w:val="20"/>
                <w:szCs w:val="20"/>
              </w:rPr>
              <w:t xml:space="preserve">la Ciudad de México </w:t>
            </w:r>
          </w:p>
          <w:p w14:paraId="46A1B6F9" w14:textId="77777777" w:rsidR="007A3046" w:rsidRPr="00B14514" w:rsidRDefault="007A3046" w:rsidP="007A3046">
            <w:pPr>
              <w:jc w:val="both"/>
              <w:rPr>
                <w:rFonts w:ascii="Arial" w:eastAsia="Calibri" w:hAnsi="Arial" w:cs="Arial"/>
                <w:sz w:val="20"/>
                <w:szCs w:val="20"/>
              </w:rPr>
            </w:pPr>
          </w:p>
        </w:tc>
      </w:tr>
      <w:tr w:rsidR="007A3046" w:rsidRPr="00B14514" w14:paraId="15D1B74D" w14:textId="77777777" w:rsidTr="00910446">
        <w:trPr>
          <w:trHeight w:val="663"/>
          <w:jc w:val="center"/>
        </w:trPr>
        <w:tc>
          <w:tcPr>
            <w:tcW w:w="2583" w:type="dxa"/>
            <w:shd w:val="clear" w:color="auto" w:fill="auto"/>
          </w:tcPr>
          <w:p w14:paraId="101FE614" w14:textId="77777777" w:rsidR="007A3046" w:rsidRPr="00B14514" w:rsidRDefault="007A3046" w:rsidP="007A3046">
            <w:pPr>
              <w:jc w:val="both"/>
              <w:rPr>
                <w:rFonts w:ascii="Arial" w:eastAsia="Calibri" w:hAnsi="Arial" w:cs="Arial"/>
                <w:b/>
                <w:sz w:val="20"/>
                <w:szCs w:val="20"/>
              </w:rPr>
            </w:pPr>
            <w:r w:rsidRPr="00B14514">
              <w:rPr>
                <w:rFonts w:ascii="Arial" w:eastAsia="Calibri" w:hAnsi="Arial" w:cs="Arial"/>
                <w:b/>
                <w:sz w:val="20"/>
                <w:szCs w:val="20"/>
              </w:rPr>
              <w:lastRenderedPageBreak/>
              <w:t>Tribunal local:</w:t>
            </w:r>
          </w:p>
        </w:tc>
        <w:tc>
          <w:tcPr>
            <w:tcW w:w="4512" w:type="dxa"/>
            <w:shd w:val="clear" w:color="auto" w:fill="auto"/>
          </w:tcPr>
          <w:p w14:paraId="32CA4BFB" w14:textId="77777777" w:rsidR="007A3046" w:rsidRPr="00B14514" w:rsidRDefault="007A3046" w:rsidP="007A3046">
            <w:pPr>
              <w:jc w:val="both"/>
              <w:rPr>
                <w:rFonts w:ascii="Arial" w:eastAsia="Calibri" w:hAnsi="Arial" w:cs="Arial"/>
                <w:sz w:val="20"/>
                <w:szCs w:val="20"/>
              </w:rPr>
            </w:pPr>
            <w:r w:rsidRPr="00B14514">
              <w:rPr>
                <w:rFonts w:ascii="Arial" w:eastAsia="Calibri" w:hAnsi="Arial" w:cs="Arial"/>
                <w:sz w:val="20"/>
                <w:szCs w:val="20"/>
              </w:rPr>
              <w:t>Tribunal Electoral de</w:t>
            </w:r>
            <w:r>
              <w:rPr>
                <w:rFonts w:ascii="Arial" w:eastAsia="Calibri" w:hAnsi="Arial" w:cs="Arial"/>
                <w:sz w:val="20"/>
                <w:szCs w:val="20"/>
              </w:rPr>
              <w:t xml:space="preserve"> la Ciudad de México</w:t>
            </w:r>
          </w:p>
        </w:tc>
      </w:tr>
    </w:tbl>
    <w:p w14:paraId="2971B3A8" w14:textId="77777777" w:rsidR="002B400D" w:rsidRPr="00F74BC1" w:rsidRDefault="002B400D" w:rsidP="002B400D">
      <w:pPr>
        <w:pStyle w:val="Ttulo1"/>
        <w:rPr>
          <w:rFonts w:cs="Arial"/>
          <w:szCs w:val="24"/>
        </w:rPr>
      </w:pPr>
      <w:bookmarkStart w:id="3" w:name="_Toc48404865"/>
      <w:r w:rsidRPr="00F74BC1">
        <w:rPr>
          <w:rFonts w:cs="Arial"/>
          <w:szCs w:val="24"/>
        </w:rPr>
        <w:t>1. ANTECEDENTES</w:t>
      </w:r>
      <w:bookmarkEnd w:id="3"/>
      <w:r w:rsidRPr="00F74BC1">
        <w:rPr>
          <w:rFonts w:cs="Arial"/>
          <w:szCs w:val="24"/>
        </w:rPr>
        <w:t xml:space="preserve"> </w:t>
      </w:r>
    </w:p>
    <w:p w14:paraId="0A05EDBB" w14:textId="77777777" w:rsidR="00DF198F" w:rsidRPr="00DF198F" w:rsidRDefault="002B400D" w:rsidP="00DF198F">
      <w:pPr>
        <w:spacing w:before="100" w:beforeAutospacing="1" w:after="100" w:afterAutospacing="1" w:line="360" w:lineRule="auto"/>
        <w:jc w:val="both"/>
        <w:rPr>
          <w:rFonts w:ascii="Arial" w:hAnsi="Arial" w:cs="Arial"/>
          <w:b/>
        </w:rPr>
      </w:pPr>
      <w:r w:rsidRPr="007A3046">
        <w:rPr>
          <w:rFonts w:ascii="Arial" w:hAnsi="Arial" w:cs="Arial"/>
          <w:b/>
          <w:bCs/>
        </w:rPr>
        <w:t xml:space="preserve">1.1. </w:t>
      </w:r>
      <w:bookmarkStart w:id="4" w:name="_Hlk38498994"/>
      <w:r w:rsidR="007A3046" w:rsidRPr="007A3046">
        <w:rPr>
          <w:rFonts w:ascii="Arial" w:hAnsi="Arial" w:cs="Arial"/>
          <w:b/>
          <w:bCs/>
        </w:rPr>
        <w:t>Creación de la diputación migrante</w:t>
      </w:r>
      <w:r w:rsidR="002665B5" w:rsidRPr="007A3046">
        <w:rPr>
          <w:rFonts w:ascii="Arial" w:hAnsi="Arial" w:cs="Arial"/>
          <w:b/>
          <w:bCs/>
        </w:rPr>
        <w:t xml:space="preserve">. </w:t>
      </w:r>
      <w:r w:rsidR="00DF198F" w:rsidRPr="00DF198F">
        <w:rPr>
          <w:rFonts w:ascii="Arial" w:hAnsi="Arial" w:cs="Arial"/>
        </w:rPr>
        <w:t xml:space="preserve">El </w:t>
      </w:r>
      <w:r w:rsidR="00FF4DEE">
        <w:rPr>
          <w:rFonts w:ascii="Arial" w:hAnsi="Arial" w:cs="Arial"/>
        </w:rPr>
        <w:t xml:space="preserve">cinco </w:t>
      </w:r>
      <w:r w:rsidR="00DF198F" w:rsidRPr="00DF198F">
        <w:rPr>
          <w:rFonts w:ascii="Arial" w:hAnsi="Arial" w:cs="Arial"/>
        </w:rPr>
        <w:t xml:space="preserve">de febrero de </w:t>
      </w:r>
      <w:r w:rsidR="00FF4DEE">
        <w:rPr>
          <w:rFonts w:ascii="Arial" w:hAnsi="Arial" w:cs="Arial"/>
        </w:rPr>
        <w:t>dos mil diecisiete</w:t>
      </w:r>
      <w:r w:rsidR="00314F9A">
        <w:rPr>
          <w:rFonts w:ascii="Arial" w:hAnsi="Arial" w:cs="Arial"/>
        </w:rPr>
        <w:t>,</w:t>
      </w:r>
      <w:r w:rsidR="00DF198F" w:rsidRPr="00DF198F">
        <w:rPr>
          <w:rFonts w:ascii="Arial" w:hAnsi="Arial" w:cs="Arial"/>
        </w:rPr>
        <w:t xml:space="preserve"> se publicó la Constitución </w:t>
      </w:r>
      <w:r w:rsidR="00BE0ED1">
        <w:rPr>
          <w:rFonts w:ascii="Arial" w:hAnsi="Arial" w:cs="Arial"/>
        </w:rPr>
        <w:t>local</w:t>
      </w:r>
      <w:r w:rsidR="00DF198F" w:rsidRPr="00DF198F">
        <w:rPr>
          <w:rFonts w:ascii="Arial" w:hAnsi="Arial" w:cs="Arial"/>
        </w:rPr>
        <w:t xml:space="preserve"> en la cual, en su artículo 7, inciso F, párrafo 3, se reconoce el derecho de las personas originarias de la Ciudad de México que residen fuera del país de votar y ser votadas en las elecciones locales</w:t>
      </w:r>
      <w:r w:rsidR="0057197B">
        <w:rPr>
          <w:rFonts w:ascii="Arial" w:hAnsi="Arial" w:cs="Arial"/>
        </w:rPr>
        <w:t>,</w:t>
      </w:r>
      <w:r w:rsidR="00DF198F" w:rsidRPr="00DF198F">
        <w:rPr>
          <w:rFonts w:ascii="Arial" w:hAnsi="Arial" w:cs="Arial"/>
        </w:rPr>
        <w:t xml:space="preserve"> según lo previsto en la Constitución Federal y en las leyes locales. Esta norma entró en vigor al día siguiente de su publicación. </w:t>
      </w:r>
    </w:p>
    <w:p w14:paraId="207DCD2B" w14:textId="21228085" w:rsidR="00DF198F" w:rsidRPr="00DF198F" w:rsidRDefault="00DF198F" w:rsidP="00DF198F">
      <w:pPr>
        <w:spacing w:before="240" w:after="240" w:line="360" w:lineRule="auto"/>
        <w:jc w:val="both"/>
        <w:rPr>
          <w:rFonts w:ascii="Arial" w:hAnsi="Arial" w:cs="Arial"/>
        </w:rPr>
      </w:pPr>
      <w:r w:rsidRPr="00DF198F">
        <w:rPr>
          <w:rFonts w:ascii="Arial" w:hAnsi="Arial" w:cs="Arial"/>
        </w:rPr>
        <w:t xml:space="preserve">Con el reconocimiento de esa forma de hacer valer un derecho político-electoral en la Constitución local, el </w:t>
      </w:r>
      <w:r w:rsidR="00592AAB">
        <w:rPr>
          <w:rFonts w:ascii="Arial" w:hAnsi="Arial" w:cs="Arial"/>
        </w:rPr>
        <w:t>siete</w:t>
      </w:r>
      <w:r w:rsidRPr="00DF198F">
        <w:rPr>
          <w:rFonts w:ascii="Arial" w:hAnsi="Arial" w:cs="Arial"/>
        </w:rPr>
        <w:t xml:space="preserve"> de junio de </w:t>
      </w:r>
      <w:r w:rsidR="00592AAB">
        <w:rPr>
          <w:rFonts w:ascii="Arial" w:hAnsi="Arial" w:cs="Arial"/>
        </w:rPr>
        <w:t>dos mil diecisiete</w:t>
      </w:r>
      <w:r w:rsidRPr="00DF198F">
        <w:rPr>
          <w:rFonts w:ascii="Arial" w:hAnsi="Arial" w:cs="Arial"/>
        </w:rPr>
        <w:t xml:space="preserve"> se publicó el decreto por el cual se introdujeron diversos artículos al Código </w:t>
      </w:r>
      <w:r w:rsidR="00BE0ED1">
        <w:rPr>
          <w:rFonts w:ascii="Arial" w:hAnsi="Arial" w:cs="Arial"/>
        </w:rPr>
        <w:t>local</w:t>
      </w:r>
      <w:r w:rsidRPr="00DF198F">
        <w:rPr>
          <w:rFonts w:ascii="Arial" w:hAnsi="Arial" w:cs="Arial"/>
        </w:rPr>
        <w:t xml:space="preserve"> en los que </w:t>
      </w:r>
      <w:r w:rsidR="00C74290">
        <w:rPr>
          <w:rFonts w:ascii="Arial" w:hAnsi="Arial" w:cs="Arial"/>
        </w:rPr>
        <w:t xml:space="preserve">se </w:t>
      </w:r>
      <w:r w:rsidRPr="00DF198F">
        <w:rPr>
          <w:rFonts w:ascii="Arial" w:hAnsi="Arial" w:cs="Arial"/>
        </w:rPr>
        <w:t xml:space="preserve">reguló la figura de la </w:t>
      </w:r>
      <w:r w:rsidRPr="00DF198F">
        <w:rPr>
          <w:rFonts w:ascii="Arial" w:hAnsi="Arial" w:cs="Arial"/>
          <w:i/>
        </w:rPr>
        <w:t>diputación migrante</w:t>
      </w:r>
      <w:r w:rsidRPr="00DF198F">
        <w:rPr>
          <w:rFonts w:ascii="Arial" w:hAnsi="Arial" w:cs="Arial"/>
        </w:rPr>
        <w:t xml:space="preserve">, la cual, si bien entró en vigor al día siguiente de su publicación, se </w:t>
      </w:r>
      <w:r w:rsidR="001B7422">
        <w:rPr>
          <w:rFonts w:ascii="Arial" w:hAnsi="Arial" w:cs="Arial"/>
        </w:rPr>
        <w:t xml:space="preserve">dispuso que </w:t>
      </w:r>
      <w:r w:rsidR="00F55542">
        <w:rPr>
          <w:rFonts w:ascii="Arial" w:hAnsi="Arial" w:cs="Arial"/>
        </w:rPr>
        <w:t xml:space="preserve">se </w:t>
      </w:r>
      <w:r w:rsidRPr="00DF198F">
        <w:rPr>
          <w:rFonts w:ascii="Arial" w:hAnsi="Arial" w:cs="Arial"/>
        </w:rPr>
        <w:t xml:space="preserve">materializaría para el proceso electoral 2020-2021. </w:t>
      </w:r>
    </w:p>
    <w:p w14:paraId="1534A0DF" w14:textId="77777777" w:rsidR="00DF198F" w:rsidRPr="00DF198F" w:rsidRDefault="00DF198F" w:rsidP="00DF198F">
      <w:pPr>
        <w:spacing w:before="240" w:after="240" w:line="360" w:lineRule="auto"/>
        <w:jc w:val="both"/>
        <w:rPr>
          <w:rFonts w:ascii="Arial" w:hAnsi="Arial" w:cs="Arial"/>
          <w:b/>
        </w:rPr>
      </w:pPr>
      <w:r>
        <w:rPr>
          <w:rFonts w:ascii="Arial" w:hAnsi="Arial" w:cs="Arial"/>
          <w:b/>
        </w:rPr>
        <w:t xml:space="preserve">1.2. </w:t>
      </w:r>
      <w:r w:rsidRPr="00DF198F">
        <w:rPr>
          <w:rFonts w:ascii="Arial" w:hAnsi="Arial" w:cs="Arial"/>
          <w:b/>
        </w:rPr>
        <w:t xml:space="preserve">Acciones del </w:t>
      </w:r>
      <w:r w:rsidR="00CB15E1">
        <w:rPr>
          <w:rFonts w:ascii="Arial" w:hAnsi="Arial" w:cs="Arial"/>
          <w:b/>
        </w:rPr>
        <w:t>OPLE</w:t>
      </w:r>
      <w:r>
        <w:rPr>
          <w:rFonts w:ascii="Arial" w:hAnsi="Arial" w:cs="Arial"/>
          <w:b/>
        </w:rPr>
        <w:t xml:space="preserve">. </w:t>
      </w:r>
      <w:r w:rsidRPr="00DF198F">
        <w:rPr>
          <w:rFonts w:ascii="Arial" w:hAnsi="Arial" w:cs="Arial"/>
        </w:rPr>
        <w:t xml:space="preserve">A partir de estas modificaciones legales, el </w:t>
      </w:r>
      <w:r w:rsidR="00CB15E1">
        <w:rPr>
          <w:rFonts w:ascii="Arial" w:hAnsi="Arial" w:cs="Arial"/>
        </w:rPr>
        <w:t>OPLE</w:t>
      </w:r>
      <w:r w:rsidRPr="00DF198F">
        <w:rPr>
          <w:rFonts w:ascii="Arial" w:hAnsi="Arial" w:cs="Arial"/>
        </w:rPr>
        <w:t xml:space="preserve">, mediante su Comisión Permanente de Organización Electoral, presentó la propuesta de integrar un comité especializado para </w:t>
      </w:r>
      <w:r w:rsidR="00040404">
        <w:rPr>
          <w:rFonts w:ascii="Arial" w:hAnsi="Arial" w:cs="Arial"/>
        </w:rPr>
        <w:t>determinar</w:t>
      </w:r>
      <w:r w:rsidRPr="00DF198F">
        <w:rPr>
          <w:rFonts w:ascii="Arial" w:hAnsi="Arial" w:cs="Arial"/>
        </w:rPr>
        <w:t xml:space="preserve"> cómo materializar esa figura, la cual fue autorizada y creada por el Consejo General de ese instituto el </w:t>
      </w:r>
      <w:r w:rsidR="00592AAB">
        <w:rPr>
          <w:rFonts w:ascii="Arial" w:hAnsi="Arial" w:cs="Arial"/>
        </w:rPr>
        <w:t>quince</w:t>
      </w:r>
      <w:r w:rsidRPr="00DF198F">
        <w:rPr>
          <w:rFonts w:ascii="Arial" w:hAnsi="Arial" w:cs="Arial"/>
        </w:rPr>
        <w:t xml:space="preserve"> de abril de </w:t>
      </w:r>
      <w:r w:rsidR="00592AAB">
        <w:rPr>
          <w:rFonts w:ascii="Arial" w:hAnsi="Arial" w:cs="Arial"/>
        </w:rPr>
        <w:t>dos mil diecinueve</w:t>
      </w:r>
      <w:r w:rsidRPr="00DF198F">
        <w:rPr>
          <w:rFonts w:ascii="Arial" w:hAnsi="Arial" w:cs="Arial"/>
        </w:rPr>
        <w:t xml:space="preserve">. </w:t>
      </w:r>
    </w:p>
    <w:p w14:paraId="1F0C51F9" w14:textId="707A9392" w:rsidR="00DF198F" w:rsidRPr="00DF198F" w:rsidRDefault="00DF198F" w:rsidP="00DF198F">
      <w:pPr>
        <w:spacing w:before="240" w:after="240" w:line="360" w:lineRule="auto"/>
        <w:jc w:val="both"/>
        <w:rPr>
          <w:rFonts w:ascii="Arial" w:hAnsi="Arial" w:cs="Arial"/>
        </w:rPr>
      </w:pPr>
      <w:r w:rsidRPr="00DF198F">
        <w:rPr>
          <w:rFonts w:ascii="Arial" w:hAnsi="Arial" w:cs="Arial"/>
        </w:rPr>
        <w:t>Ese comité especializado sesionó en diversas ocasiones y, al finalizar su estudio, presentó</w:t>
      </w:r>
      <w:r w:rsidR="0057197B">
        <w:rPr>
          <w:rFonts w:ascii="Arial" w:hAnsi="Arial" w:cs="Arial"/>
        </w:rPr>
        <w:t>,</w:t>
      </w:r>
      <w:r w:rsidRPr="00DF198F">
        <w:rPr>
          <w:rFonts w:ascii="Arial" w:hAnsi="Arial" w:cs="Arial"/>
        </w:rPr>
        <w:t xml:space="preserve"> </w:t>
      </w:r>
      <w:r w:rsidR="0057197B" w:rsidRPr="00DF198F">
        <w:rPr>
          <w:rFonts w:ascii="Arial" w:hAnsi="Arial" w:cs="Arial"/>
        </w:rPr>
        <w:t xml:space="preserve">el </w:t>
      </w:r>
      <w:r w:rsidR="0057197B">
        <w:rPr>
          <w:rFonts w:ascii="Arial" w:hAnsi="Arial" w:cs="Arial"/>
        </w:rPr>
        <w:t>cuatro</w:t>
      </w:r>
      <w:r w:rsidR="0057197B" w:rsidRPr="00DF198F">
        <w:rPr>
          <w:rFonts w:ascii="Arial" w:hAnsi="Arial" w:cs="Arial"/>
        </w:rPr>
        <w:t xml:space="preserve"> de diciembre de </w:t>
      </w:r>
      <w:r w:rsidR="0057197B">
        <w:rPr>
          <w:rFonts w:ascii="Arial" w:hAnsi="Arial" w:cs="Arial"/>
        </w:rPr>
        <w:t>dos mil diecinueve,</w:t>
      </w:r>
      <w:r w:rsidR="0057197B" w:rsidRPr="00DF198F">
        <w:rPr>
          <w:rFonts w:ascii="Arial" w:hAnsi="Arial" w:cs="Arial"/>
        </w:rPr>
        <w:t xml:space="preserve"> </w:t>
      </w:r>
      <w:r w:rsidRPr="00DF198F">
        <w:rPr>
          <w:rFonts w:ascii="Arial" w:hAnsi="Arial" w:cs="Arial"/>
        </w:rPr>
        <w:t xml:space="preserve">su informe final de actividades y resultados sobre la figura de </w:t>
      </w:r>
      <w:r w:rsidR="00F55542">
        <w:rPr>
          <w:rFonts w:ascii="Arial" w:hAnsi="Arial" w:cs="Arial"/>
        </w:rPr>
        <w:t xml:space="preserve">la </w:t>
      </w:r>
      <w:r w:rsidRPr="00DF198F">
        <w:rPr>
          <w:rFonts w:ascii="Arial" w:hAnsi="Arial" w:cs="Arial"/>
        </w:rPr>
        <w:t xml:space="preserve">diputación migrante. </w:t>
      </w:r>
    </w:p>
    <w:p w14:paraId="36B17175" w14:textId="7B4FCADB" w:rsidR="00DF198F" w:rsidRPr="002665B5" w:rsidRDefault="00DF198F" w:rsidP="00DF198F">
      <w:pPr>
        <w:spacing w:before="100" w:beforeAutospacing="1" w:after="100" w:afterAutospacing="1" w:line="360" w:lineRule="auto"/>
        <w:jc w:val="both"/>
        <w:rPr>
          <w:rFonts w:ascii="Arial" w:hAnsi="Arial" w:cs="Arial"/>
          <w:bCs/>
        </w:rPr>
      </w:pPr>
      <w:r>
        <w:rPr>
          <w:rFonts w:ascii="Arial" w:hAnsi="Arial" w:cs="Arial"/>
          <w:b/>
        </w:rPr>
        <w:t xml:space="preserve">1.3. </w:t>
      </w:r>
      <w:r w:rsidRPr="00DF198F">
        <w:rPr>
          <w:rFonts w:ascii="Arial" w:hAnsi="Arial" w:cs="Arial"/>
          <w:b/>
        </w:rPr>
        <w:t xml:space="preserve">Derogación de la figura de </w:t>
      </w:r>
      <w:r w:rsidR="00F55542">
        <w:rPr>
          <w:rFonts w:ascii="Arial" w:hAnsi="Arial" w:cs="Arial"/>
          <w:b/>
        </w:rPr>
        <w:t xml:space="preserve">la </w:t>
      </w:r>
      <w:r w:rsidRPr="00DF198F">
        <w:rPr>
          <w:rFonts w:ascii="Arial" w:hAnsi="Arial" w:cs="Arial"/>
          <w:b/>
        </w:rPr>
        <w:t>diputación migrante</w:t>
      </w:r>
      <w:r>
        <w:rPr>
          <w:rFonts w:ascii="Arial" w:hAnsi="Arial" w:cs="Arial"/>
          <w:b/>
        </w:rPr>
        <w:t>.</w:t>
      </w:r>
      <w:r w:rsidRPr="00DF198F">
        <w:rPr>
          <w:rFonts w:ascii="Arial" w:hAnsi="Arial" w:cs="Arial"/>
          <w:b/>
        </w:rPr>
        <w:t xml:space="preserve"> </w:t>
      </w:r>
      <w:r w:rsidRPr="002665B5">
        <w:rPr>
          <w:rFonts w:ascii="Arial" w:hAnsi="Arial" w:cs="Arial"/>
          <w:bCs/>
        </w:rPr>
        <w:t>El veinti</w:t>
      </w:r>
      <w:r>
        <w:rPr>
          <w:rFonts w:ascii="Arial" w:hAnsi="Arial" w:cs="Arial"/>
          <w:bCs/>
        </w:rPr>
        <w:t>ocho</w:t>
      </w:r>
      <w:r w:rsidRPr="002665B5">
        <w:rPr>
          <w:rFonts w:ascii="Arial" w:hAnsi="Arial" w:cs="Arial"/>
          <w:bCs/>
        </w:rPr>
        <w:t xml:space="preserve"> de noviembre </w:t>
      </w:r>
      <w:r>
        <w:rPr>
          <w:rFonts w:ascii="Arial" w:hAnsi="Arial" w:cs="Arial"/>
          <w:bCs/>
        </w:rPr>
        <w:t>de dos mil diecinueve</w:t>
      </w:r>
      <w:r w:rsidRPr="002665B5">
        <w:rPr>
          <w:rFonts w:ascii="Arial" w:hAnsi="Arial" w:cs="Arial"/>
          <w:bCs/>
        </w:rPr>
        <w:t xml:space="preserve">, </w:t>
      </w:r>
      <w:r>
        <w:rPr>
          <w:rFonts w:ascii="Arial" w:hAnsi="Arial" w:cs="Arial"/>
          <w:bCs/>
        </w:rPr>
        <w:t xml:space="preserve">el </w:t>
      </w:r>
      <w:r w:rsidRPr="002665B5">
        <w:rPr>
          <w:rFonts w:ascii="Arial" w:hAnsi="Arial" w:cs="Arial"/>
          <w:bCs/>
        </w:rPr>
        <w:t>Congres</w:t>
      </w:r>
      <w:r>
        <w:rPr>
          <w:rFonts w:ascii="Arial" w:hAnsi="Arial" w:cs="Arial"/>
          <w:bCs/>
        </w:rPr>
        <w:t xml:space="preserve">o de la Ciudad de México </w:t>
      </w:r>
      <w:r>
        <w:rPr>
          <w:rFonts w:ascii="Arial" w:hAnsi="Arial" w:cs="Arial"/>
          <w:bCs/>
        </w:rPr>
        <w:lastRenderedPageBreak/>
        <w:t>aprobó el dictamen por el cual se eliminó la figura de la</w:t>
      </w:r>
      <w:r w:rsidRPr="002665B5">
        <w:rPr>
          <w:rFonts w:ascii="Arial" w:hAnsi="Arial" w:cs="Arial"/>
          <w:bCs/>
        </w:rPr>
        <w:t xml:space="preserve"> </w:t>
      </w:r>
      <w:r>
        <w:rPr>
          <w:rFonts w:ascii="Arial" w:hAnsi="Arial" w:cs="Arial"/>
          <w:bCs/>
        </w:rPr>
        <w:t>diputación migrante</w:t>
      </w:r>
      <w:r w:rsidR="0057197B" w:rsidRPr="0057197B">
        <w:rPr>
          <w:rFonts w:ascii="Arial" w:hAnsi="Arial" w:cs="Arial"/>
          <w:bCs/>
        </w:rPr>
        <w:t xml:space="preserve"> </w:t>
      </w:r>
      <w:r w:rsidR="0057197B">
        <w:rPr>
          <w:rFonts w:ascii="Arial" w:hAnsi="Arial" w:cs="Arial"/>
          <w:bCs/>
        </w:rPr>
        <w:t>del código local</w:t>
      </w:r>
      <w:r>
        <w:rPr>
          <w:rFonts w:ascii="Arial" w:hAnsi="Arial" w:cs="Arial"/>
          <w:bCs/>
        </w:rPr>
        <w:t xml:space="preserve">. </w:t>
      </w:r>
    </w:p>
    <w:p w14:paraId="505A7197" w14:textId="77777777" w:rsidR="00DF198F" w:rsidRPr="002665B5" w:rsidRDefault="00DF198F" w:rsidP="002665B5">
      <w:pPr>
        <w:spacing w:before="100" w:beforeAutospacing="1" w:after="100" w:afterAutospacing="1" w:line="360" w:lineRule="auto"/>
        <w:jc w:val="both"/>
        <w:rPr>
          <w:rFonts w:ascii="Arial" w:hAnsi="Arial" w:cs="Arial"/>
          <w:bCs/>
        </w:rPr>
      </w:pPr>
      <w:r w:rsidRPr="002665B5">
        <w:rPr>
          <w:rFonts w:ascii="Arial" w:hAnsi="Arial" w:cs="Arial"/>
          <w:bCs/>
        </w:rPr>
        <w:t>El nueve de enero</w:t>
      </w:r>
      <w:r>
        <w:rPr>
          <w:rFonts w:ascii="Arial" w:hAnsi="Arial" w:cs="Arial"/>
          <w:bCs/>
        </w:rPr>
        <w:t xml:space="preserve"> de dos mil veinte,</w:t>
      </w:r>
      <w:r w:rsidRPr="002665B5">
        <w:rPr>
          <w:rFonts w:ascii="Arial" w:hAnsi="Arial" w:cs="Arial"/>
          <w:bCs/>
        </w:rPr>
        <w:t xml:space="preserve"> la </w:t>
      </w:r>
      <w:r>
        <w:rPr>
          <w:rFonts w:ascii="Arial" w:hAnsi="Arial" w:cs="Arial"/>
          <w:bCs/>
        </w:rPr>
        <w:t>j</w:t>
      </w:r>
      <w:r w:rsidRPr="002665B5">
        <w:rPr>
          <w:rFonts w:ascii="Arial" w:hAnsi="Arial" w:cs="Arial"/>
          <w:bCs/>
        </w:rPr>
        <w:t xml:space="preserve">efa de </w:t>
      </w:r>
      <w:r>
        <w:rPr>
          <w:rFonts w:ascii="Arial" w:hAnsi="Arial" w:cs="Arial"/>
          <w:bCs/>
        </w:rPr>
        <w:t>g</w:t>
      </w:r>
      <w:r w:rsidRPr="002665B5">
        <w:rPr>
          <w:rFonts w:ascii="Arial" w:hAnsi="Arial" w:cs="Arial"/>
          <w:bCs/>
        </w:rPr>
        <w:t>obierno</w:t>
      </w:r>
      <w:r>
        <w:rPr>
          <w:rFonts w:ascii="Arial" w:hAnsi="Arial" w:cs="Arial"/>
          <w:bCs/>
        </w:rPr>
        <w:t xml:space="preserve"> de la Ciudad de México</w:t>
      </w:r>
      <w:r w:rsidRPr="002665B5">
        <w:rPr>
          <w:rFonts w:ascii="Arial" w:hAnsi="Arial" w:cs="Arial"/>
          <w:bCs/>
        </w:rPr>
        <w:t xml:space="preserve"> publicó en la </w:t>
      </w:r>
      <w:r w:rsidR="00411C97">
        <w:rPr>
          <w:rFonts w:ascii="Arial" w:hAnsi="Arial" w:cs="Arial"/>
          <w:bCs/>
        </w:rPr>
        <w:t>G</w:t>
      </w:r>
      <w:r w:rsidRPr="002665B5">
        <w:rPr>
          <w:rFonts w:ascii="Arial" w:hAnsi="Arial" w:cs="Arial"/>
          <w:bCs/>
        </w:rPr>
        <w:t xml:space="preserve">aceta </w:t>
      </w:r>
      <w:r w:rsidR="00411C97">
        <w:rPr>
          <w:rFonts w:ascii="Arial" w:hAnsi="Arial" w:cs="Arial"/>
          <w:bCs/>
        </w:rPr>
        <w:t>O</w:t>
      </w:r>
      <w:r w:rsidRPr="002665B5">
        <w:rPr>
          <w:rFonts w:ascii="Arial" w:hAnsi="Arial" w:cs="Arial"/>
          <w:bCs/>
        </w:rPr>
        <w:t xml:space="preserve">ficial </w:t>
      </w:r>
      <w:r w:rsidR="00046BBE">
        <w:rPr>
          <w:rFonts w:ascii="Arial" w:hAnsi="Arial" w:cs="Arial"/>
          <w:bCs/>
        </w:rPr>
        <w:t xml:space="preserve">de la Ciudad de México </w:t>
      </w:r>
      <w:r w:rsidRPr="002665B5">
        <w:rPr>
          <w:rFonts w:ascii="Arial" w:hAnsi="Arial" w:cs="Arial"/>
          <w:bCs/>
        </w:rPr>
        <w:t xml:space="preserve">el </w:t>
      </w:r>
      <w:r>
        <w:rPr>
          <w:rFonts w:ascii="Arial" w:hAnsi="Arial" w:cs="Arial"/>
          <w:bCs/>
        </w:rPr>
        <w:t>d</w:t>
      </w:r>
      <w:r w:rsidRPr="002665B5">
        <w:rPr>
          <w:rFonts w:ascii="Arial" w:hAnsi="Arial" w:cs="Arial"/>
          <w:bCs/>
        </w:rPr>
        <w:t xml:space="preserve">ecreto </w:t>
      </w:r>
      <w:r>
        <w:rPr>
          <w:rFonts w:ascii="Arial" w:hAnsi="Arial" w:cs="Arial"/>
          <w:bCs/>
        </w:rPr>
        <w:t xml:space="preserve">impugnado. </w:t>
      </w:r>
    </w:p>
    <w:p w14:paraId="38C490C3" w14:textId="77777777" w:rsidR="002665B5" w:rsidRPr="002665B5" w:rsidRDefault="00204ECE" w:rsidP="002665B5">
      <w:pPr>
        <w:spacing w:before="100" w:beforeAutospacing="1" w:after="100" w:afterAutospacing="1" w:line="360" w:lineRule="auto"/>
        <w:jc w:val="both"/>
        <w:rPr>
          <w:rFonts w:ascii="Arial" w:hAnsi="Arial" w:cs="Arial"/>
          <w:bCs/>
        </w:rPr>
      </w:pPr>
      <w:r w:rsidRPr="00204ECE">
        <w:rPr>
          <w:rFonts w:ascii="Arial" w:hAnsi="Arial" w:cs="Arial"/>
          <w:b/>
          <w:bCs/>
        </w:rPr>
        <w:t>1.</w:t>
      </w:r>
      <w:r w:rsidR="00DF198F">
        <w:rPr>
          <w:rFonts w:ascii="Arial" w:hAnsi="Arial" w:cs="Arial"/>
          <w:b/>
          <w:bCs/>
        </w:rPr>
        <w:t>4</w:t>
      </w:r>
      <w:r w:rsidRPr="00204ECE">
        <w:rPr>
          <w:rFonts w:ascii="Arial" w:hAnsi="Arial" w:cs="Arial"/>
          <w:b/>
          <w:bCs/>
        </w:rPr>
        <w:t xml:space="preserve">. </w:t>
      </w:r>
      <w:r>
        <w:rPr>
          <w:rFonts w:ascii="Arial" w:hAnsi="Arial" w:cs="Arial"/>
          <w:b/>
          <w:bCs/>
        </w:rPr>
        <w:t>M</w:t>
      </w:r>
      <w:r w:rsidRPr="00204ECE">
        <w:rPr>
          <w:rFonts w:ascii="Arial" w:hAnsi="Arial" w:cs="Arial"/>
          <w:b/>
          <w:bCs/>
        </w:rPr>
        <w:t>edio de impugnación local (TECDMX-JLDC-003/2020)</w:t>
      </w:r>
      <w:r>
        <w:rPr>
          <w:rFonts w:ascii="Arial" w:hAnsi="Arial" w:cs="Arial"/>
          <w:bCs/>
        </w:rPr>
        <w:t xml:space="preserve">. </w:t>
      </w:r>
      <w:r w:rsidR="002665B5" w:rsidRPr="002665B5">
        <w:rPr>
          <w:rFonts w:ascii="Arial" w:hAnsi="Arial" w:cs="Arial"/>
          <w:bCs/>
        </w:rPr>
        <w:t>El catorce de enero</w:t>
      </w:r>
      <w:r>
        <w:rPr>
          <w:rFonts w:ascii="Arial" w:hAnsi="Arial" w:cs="Arial"/>
          <w:bCs/>
        </w:rPr>
        <w:t xml:space="preserve"> siguiente</w:t>
      </w:r>
      <w:r w:rsidR="002665B5" w:rsidRPr="002665B5">
        <w:rPr>
          <w:rFonts w:ascii="Arial" w:hAnsi="Arial" w:cs="Arial"/>
          <w:bCs/>
        </w:rPr>
        <w:t xml:space="preserve">, </w:t>
      </w:r>
      <w:r w:rsidR="00046BBE">
        <w:rPr>
          <w:rFonts w:ascii="Arial" w:hAnsi="Arial" w:cs="Arial"/>
          <w:bCs/>
        </w:rPr>
        <w:t>la</w:t>
      </w:r>
      <w:r w:rsidR="00331759">
        <w:rPr>
          <w:rFonts w:ascii="Arial" w:hAnsi="Arial" w:cs="Arial"/>
          <w:bCs/>
        </w:rPr>
        <w:t xml:space="preserve"> ciudadana </w:t>
      </w:r>
      <w:r w:rsidRPr="00204ECE">
        <w:rPr>
          <w:rFonts w:ascii="Arial" w:hAnsi="Arial" w:cs="Arial"/>
          <w:bCs/>
        </w:rPr>
        <w:t xml:space="preserve">María García Hernández y </w:t>
      </w:r>
      <w:r w:rsidR="00331759">
        <w:rPr>
          <w:rFonts w:ascii="Arial" w:hAnsi="Arial" w:cs="Arial"/>
          <w:bCs/>
        </w:rPr>
        <w:t xml:space="preserve">el ciudadano </w:t>
      </w:r>
      <w:r w:rsidRPr="00204ECE">
        <w:rPr>
          <w:rFonts w:ascii="Arial" w:hAnsi="Arial" w:cs="Arial"/>
          <w:bCs/>
        </w:rPr>
        <w:t>Juventino Yitzhak Montiel-García</w:t>
      </w:r>
      <w:r>
        <w:rPr>
          <w:rFonts w:ascii="Arial" w:hAnsi="Arial" w:cs="Arial"/>
          <w:bCs/>
        </w:rPr>
        <w:t xml:space="preserve"> </w:t>
      </w:r>
      <w:r w:rsidR="002665B5" w:rsidRPr="002665B5">
        <w:rPr>
          <w:rFonts w:ascii="Arial" w:hAnsi="Arial" w:cs="Arial"/>
          <w:bCs/>
        </w:rPr>
        <w:t>present</w:t>
      </w:r>
      <w:r>
        <w:rPr>
          <w:rFonts w:ascii="Arial" w:hAnsi="Arial" w:cs="Arial"/>
          <w:bCs/>
        </w:rPr>
        <w:t>aron</w:t>
      </w:r>
      <w:r w:rsidR="002665B5" w:rsidRPr="002665B5">
        <w:rPr>
          <w:rFonts w:ascii="Arial" w:hAnsi="Arial" w:cs="Arial"/>
          <w:bCs/>
        </w:rPr>
        <w:t xml:space="preserve"> </w:t>
      </w:r>
      <w:r>
        <w:rPr>
          <w:rFonts w:ascii="Arial" w:hAnsi="Arial" w:cs="Arial"/>
          <w:bCs/>
        </w:rPr>
        <w:t xml:space="preserve">un juicio </w:t>
      </w:r>
      <w:r w:rsidR="002665B5" w:rsidRPr="002665B5">
        <w:rPr>
          <w:rFonts w:ascii="Arial" w:hAnsi="Arial" w:cs="Arial"/>
          <w:bCs/>
        </w:rPr>
        <w:t>ciudadan</w:t>
      </w:r>
      <w:r>
        <w:rPr>
          <w:rFonts w:ascii="Arial" w:hAnsi="Arial" w:cs="Arial"/>
          <w:bCs/>
        </w:rPr>
        <w:t>o para controvertir el decreto. El Tribunal local acordó que era incompetente para conocer del caso</w:t>
      </w:r>
      <w:r w:rsidR="0034682B">
        <w:rPr>
          <w:rFonts w:ascii="Arial" w:hAnsi="Arial" w:cs="Arial"/>
          <w:bCs/>
        </w:rPr>
        <w:t xml:space="preserve">, dado que </w:t>
      </w:r>
      <w:r w:rsidR="00665B8B">
        <w:rPr>
          <w:rFonts w:ascii="Arial" w:hAnsi="Arial" w:cs="Arial"/>
          <w:bCs/>
        </w:rPr>
        <w:t xml:space="preserve">supuestamente </w:t>
      </w:r>
      <w:r w:rsidR="0034682B">
        <w:rPr>
          <w:rFonts w:ascii="Arial" w:hAnsi="Arial" w:cs="Arial"/>
          <w:bCs/>
        </w:rPr>
        <w:t>los actores le solicitaban realizar un análisis de constitucionalidad en abstracto.</w:t>
      </w:r>
    </w:p>
    <w:p w14:paraId="67F259AF" w14:textId="77777777" w:rsidR="002665B5" w:rsidRDefault="0034682B" w:rsidP="002665B5">
      <w:pPr>
        <w:spacing w:before="100" w:beforeAutospacing="1" w:after="100" w:afterAutospacing="1" w:line="360" w:lineRule="auto"/>
        <w:jc w:val="both"/>
        <w:rPr>
          <w:rFonts w:ascii="Arial" w:hAnsi="Arial" w:cs="Arial"/>
          <w:bCs/>
        </w:rPr>
      </w:pPr>
      <w:r>
        <w:rPr>
          <w:rFonts w:ascii="Arial" w:hAnsi="Arial" w:cs="Arial"/>
          <w:b/>
          <w:bCs/>
        </w:rPr>
        <w:t>1.</w:t>
      </w:r>
      <w:r w:rsidR="00DF198F">
        <w:rPr>
          <w:rFonts w:ascii="Arial" w:hAnsi="Arial" w:cs="Arial"/>
          <w:b/>
          <w:bCs/>
        </w:rPr>
        <w:t>5</w:t>
      </w:r>
      <w:r>
        <w:rPr>
          <w:rFonts w:ascii="Arial" w:hAnsi="Arial" w:cs="Arial"/>
          <w:b/>
          <w:bCs/>
        </w:rPr>
        <w:t>. Sentencia controvertida (SCM-JDC-27/020)</w:t>
      </w:r>
      <w:r w:rsidR="002665B5" w:rsidRPr="002665B5">
        <w:rPr>
          <w:rFonts w:ascii="Arial" w:hAnsi="Arial" w:cs="Arial"/>
          <w:bCs/>
        </w:rPr>
        <w:t xml:space="preserve">. </w:t>
      </w:r>
      <w:r>
        <w:rPr>
          <w:rFonts w:ascii="Arial" w:hAnsi="Arial" w:cs="Arial"/>
          <w:bCs/>
        </w:rPr>
        <w:t>E</w:t>
      </w:r>
      <w:r w:rsidR="002665B5" w:rsidRPr="002665B5">
        <w:rPr>
          <w:rFonts w:ascii="Arial" w:hAnsi="Arial" w:cs="Arial"/>
          <w:bCs/>
        </w:rPr>
        <w:t>l siete de febrero</w:t>
      </w:r>
      <w:r>
        <w:rPr>
          <w:rFonts w:ascii="Arial" w:hAnsi="Arial" w:cs="Arial"/>
          <w:bCs/>
        </w:rPr>
        <w:t xml:space="preserve"> posterior,</w:t>
      </w:r>
      <w:r w:rsidR="002665B5" w:rsidRPr="002665B5">
        <w:rPr>
          <w:rFonts w:ascii="Arial" w:hAnsi="Arial" w:cs="Arial"/>
          <w:bCs/>
        </w:rPr>
        <w:t xml:space="preserve"> </w:t>
      </w:r>
      <w:r w:rsidR="00592AAB">
        <w:rPr>
          <w:rFonts w:ascii="Arial" w:hAnsi="Arial" w:cs="Arial"/>
          <w:bCs/>
        </w:rPr>
        <w:t>los ciudadanos mencionados en el punto anterior</w:t>
      </w:r>
      <w:r w:rsidR="002665B5" w:rsidRPr="002665B5">
        <w:rPr>
          <w:rFonts w:ascii="Arial" w:hAnsi="Arial" w:cs="Arial"/>
          <w:bCs/>
        </w:rPr>
        <w:t xml:space="preserve"> </w:t>
      </w:r>
      <w:r>
        <w:rPr>
          <w:rFonts w:ascii="Arial" w:hAnsi="Arial" w:cs="Arial"/>
          <w:bCs/>
        </w:rPr>
        <w:t>presentaron un juicio ciudadano federal en contra de la sentencia local anterior</w:t>
      </w:r>
      <w:r w:rsidR="0057197B">
        <w:rPr>
          <w:rFonts w:ascii="Arial" w:hAnsi="Arial" w:cs="Arial"/>
          <w:bCs/>
        </w:rPr>
        <w:t>.</w:t>
      </w:r>
    </w:p>
    <w:p w14:paraId="57678E67" w14:textId="07334508" w:rsidR="0034682B" w:rsidRPr="002665B5" w:rsidRDefault="0034682B" w:rsidP="002665B5">
      <w:pPr>
        <w:spacing w:before="100" w:beforeAutospacing="1" w:after="100" w:afterAutospacing="1" w:line="360" w:lineRule="auto"/>
        <w:jc w:val="both"/>
        <w:rPr>
          <w:rFonts w:ascii="Arial" w:hAnsi="Arial" w:cs="Arial"/>
          <w:bCs/>
        </w:rPr>
      </w:pPr>
      <w:r>
        <w:rPr>
          <w:rFonts w:ascii="Arial" w:hAnsi="Arial" w:cs="Arial"/>
          <w:bCs/>
        </w:rPr>
        <w:t xml:space="preserve">El dos de junio del presente año, la sala regional resolvió, </w:t>
      </w:r>
      <w:r w:rsidR="0057197B">
        <w:rPr>
          <w:rFonts w:ascii="Arial" w:hAnsi="Arial" w:cs="Arial"/>
          <w:bCs/>
        </w:rPr>
        <w:t xml:space="preserve">de </w:t>
      </w:r>
      <w:r>
        <w:rPr>
          <w:rFonts w:ascii="Arial" w:hAnsi="Arial" w:cs="Arial"/>
          <w:bCs/>
        </w:rPr>
        <w:t>entre otros</w:t>
      </w:r>
      <w:r w:rsidR="00592AAB">
        <w:rPr>
          <w:rFonts w:ascii="Arial" w:hAnsi="Arial" w:cs="Arial"/>
          <w:bCs/>
        </w:rPr>
        <w:t xml:space="preserve"> aspectos</w:t>
      </w:r>
      <w:r>
        <w:rPr>
          <w:rFonts w:ascii="Arial" w:hAnsi="Arial" w:cs="Arial"/>
          <w:bCs/>
        </w:rPr>
        <w:t xml:space="preserve">, </w:t>
      </w:r>
      <w:r w:rsidRPr="0034682B">
        <w:rPr>
          <w:rFonts w:ascii="Arial" w:hAnsi="Arial" w:cs="Arial"/>
          <w:b/>
          <w:bCs/>
        </w:rPr>
        <w:t>revocar</w:t>
      </w:r>
      <w:r>
        <w:rPr>
          <w:rFonts w:ascii="Arial" w:hAnsi="Arial" w:cs="Arial"/>
          <w:bCs/>
        </w:rPr>
        <w:t xml:space="preserve"> la sentencia local y</w:t>
      </w:r>
      <w:r w:rsidR="003309FE">
        <w:rPr>
          <w:rFonts w:ascii="Arial" w:hAnsi="Arial" w:cs="Arial"/>
          <w:bCs/>
        </w:rPr>
        <w:t>,</w:t>
      </w:r>
      <w:r>
        <w:rPr>
          <w:rFonts w:ascii="Arial" w:hAnsi="Arial" w:cs="Arial"/>
          <w:bCs/>
        </w:rPr>
        <w:t xml:space="preserve"> en plenitud de jurisdicción</w:t>
      </w:r>
      <w:r w:rsidR="003309FE">
        <w:rPr>
          <w:rFonts w:ascii="Arial" w:hAnsi="Arial" w:cs="Arial"/>
          <w:bCs/>
        </w:rPr>
        <w:t>,</w:t>
      </w:r>
      <w:r>
        <w:rPr>
          <w:rFonts w:ascii="Arial" w:hAnsi="Arial" w:cs="Arial"/>
          <w:bCs/>
        </w:rPr>
        <w:t xml:space="preserve"> </w:t>
      </w:r>
      <w:r w:rsidRPr="0034682B">
        <w:rPr>
          <w:rFonts w:ascii="Arial" w:hAnsi="Arial" w:cs="Arial"/>
          <w:b/>
          <w:bCs/>
        </w:rPr>
        <w:t>declaró la inconstitucionalidad</w:t>
      </w:r>
      <w:r>
        <w:rPr>
          <w:rFonts w:ascii="Arial" w:hAnsi="Arial" w:cs="Arial"/>
          <w:bCs/>
        </w:rPr>
        <w:t xml:space="preserve"> de</w:t>
      </w:r>
      <w:r w:rsidRPr="0034682B">
        <w:rPr>
          <w:rFonts w:ascii="Arial" w:hAnsi="Arial" w:cs="Arial"/>
          <w:bCs/>
        </w:rPr>
        <w:t xml:space="preserve">l </w:t>
      </w:r>
      <w:r>
        <w:rPr>
          <w:rFonts w:ascii="Arial" w:hAnsi="Arial" w:cs="Arial"/>
          <w:bCs/>
        </w:rPr>
        <w:t>d</w:t>
      </w:r>
      <w:r w:rsidRPr="0034682B">
        <w:rPr>
          <w:rFonts w:ascii="Arial" w:hAnsi="Arial" w:cs="Arial"/>
          <w:bCs/>
        </w:rPr>
        <w:t>ecreto</w:t>
      </w:r>
      <w:r>
        <w:rPr>
          <w:rFonts w:ascii="Arial" w:hAnsi="Arial" w:cs="Arial"/>
          <w:bCs/>
        </w:rPr>
        <w:t xml:space="preserve"> impugnado, por lo que </w:t>
      </w:r>
      <w:r w:rsidR="0057197B">
        <w:rPr>
          <w:rFonts w:ascii="Arial" w:hAnsi="Arial" w:cs="Arial"/>
          <w:bCs/>
        </w:rPr>
        <w:t xml:space="preserve">le </w:t>
      </w:r>
      <w:r>
        <w:rPr>
          <w:rFonts w:ascii="Arial" w:hAnsi="Arial" w:cs="Arial"/>
          <w:bCs/>
        </w:rPr>
        <w:t>ordenó al OPL</w:t>
      </w:r>
      <w:r w:rsidR="00310514">
        <w:rPr>
          <w:rFonts w:ascii="Arial" w:hAnsi="Arial" w:cs="Arial"/>
          <w:bCs/>
        </w:rPr>
        <w:t>E</w:t>
      </w:r>
      <w:r w:rsidR="00592AAB">
        <w:rPr>
          <w:rFonts w:ascii="Arial" w:hAnsi="Arial" w:cs="Arial"/>
          <w:bCs/>
        </w:rPr>
        <w:t xml:space="preserve"> </w:t>
      </w:r>
      <w:r>
        <w:rPr>
          <w:rFonts w:ascii="Arial" w:hAnsi="Arial" w:cs="Arial"/>
          <w:bCs/>
        </w:rPr>
        <w:t xml:space="preserve">reactivar </w:t>
      </w:r>
      <w:r w:rsidRPr="0034682B">
        <w:rPr>
          <w:rFonts w:ascii="Arial" w:hAnsi="Arial" w:cs="Arial"/>
          <w:bCs/>
        </w:rPr>
        <w:t>el procedimiento de implementación de la figura de la diputación migrante para el proceso electoral 2020-2021</w:t>
      </w:r>
      <w:r>
        <w:rPr>
          <w:rFonts w:ascii="Arial" w:hAnsi="Arial" w:cs="Arial"/>
          <w:bCs/>
        </w:rPr>
        <w:t>.</w:t>
      </w:r>
    </w:p>
    <w:bookmarkEnd w:id="4"/>
    <w:p w14:paraId="3ACEDA9D" w14:textId="77777777" w:rsidR="002B400D" w:rsidRPr="00CA052D" w:rsidRDefault="002B400D" w:rsidP="002B400D">
      <w:pPr>
        <w:spacing w:before="100" w:beforeAutospacing="1" w:after="100" w:afterAutospacing="1" w:line="360" w:lineRule="auto"/>
        <w:jc w:val="both"/>
        <w:rPr>
          <w:rFonts w:ascii="Arial" w:hAnsi="Arial" w:cs="Arial"/>
        </w:rPr>
      </w:pPr>
      <w:r w:rsidRPr="00003C56">
        <w:rPr>
          <w:rFonts w:ascii="Arial" w:hAnsi="Arial" w:cs="Arial"/>
          <w:b/>
          <w:bCs/>
        </w:rPr>
        <w:t>1.</w:t>
      </w:r>
      <w:r w:rsidR="00DF198F">
        <w:rPr>
          <w:rFonts w:ascii="Arial" w:hAnsi="Arial" w:cs="Arial"/>
          <w:b/>
          <w:bCs/>
        </w:rPr>
        <w:t>6</w:t>
      </w:r>
      <w:r>
        <w:rPr>
          <w:rFonts w:ascii="Arial" w:hAnsi="Arial" w:cs="Arial"/>
          <w:b/>
          <w:bCs/>
        </w:rPr>
        <w:t>.</w:t>
      </w:r>
      <w:r>
        <w:rPr>
          <w:rFonts w:ascii="Arial" w:hAnsi="Arial" w:cs="Arial"/>
          <w:b/>
        </w:rPr>
        <w:t xml:space="preserve"> </w:t>
      </w:r>
      <w:r w:rsidRPr="003B7042">
        <w:rPr>
          <w:rFonts w:ascii="Arial" w:hAnsi="Arial" w:cs="Arial"/>
          <w:b/>
        </w:rPr>
        <w:t>Recurso de reconsideración.</w:t>
      </w:r>
      <w:r>
        <w:rPr>
          <w:rFonts w:ascii="Arial" w:hAnsi="Arial" w:cs="Arial"/>
          <w:b/>
        </w:rPr>
        <w:t xml:space="preserve"> </w:t>
      </w:r>
      <w:r>
        <w:rPr>
          <w:rFonts w:ascii="Arial" w:hAnsi="Arial" w:cs="Arial"/>
        </w:rPr>
        <w:t xml:space="preserve">El </w:t>
      </w:r>
      <w:r w:rsidR="0034682B">
        <w:rPr>
          <w:rFonts w:ascii="Arial" w:hAnsi="Arial" w:cs="Arial"/>
        </w:rPr>
        <w:t>ocho de junio de este año</w:t>
      </w:r>
      <w:r>
        <w:rPr>
          <w:rFonts w:ascii="Arial" w:hAnsi="Arial" w:cs="Arial"/>
        </w:rPr>
        <w:t xml:space="preserve">, </w:t>
      </w:r>
      <w:r w:rsidR="0034682B">
        <w:rPr>
          <w:rFonts w:ascii="Arial" w:hAnsi="Arial" w:cs="Arial"/>
        </w:rPr>
        <w:t>MORENA</w:t>
      </w:r>
      <w:r>
        <w:rPr>
          <w:rFonts w:ascii="Arial" w:hAnsi="Arial" w:cs="Arial"/>
        </w:rPr>
        <w:t xml:space="preserve"> interpuso el presente medio </w:t>
      </w:r>
      <w:r w:rsidR="001070A0">
        <w:rPr>
          <w:rFonts w:ascii="Arial" w:hAnsi="Arial" w:cs="Arial"/>
        </w:rPr>
        <w:t>impugnativo</w:t>
      </w:r>
      <w:r w:rsidR="0034682B">
        <w:rPr>
          <w:rFonts w:ascii="Arial" w:hAnsi="Arial" w:cs="Arial"/>
        </w:rPr>
        <w:t xml:space="preserve"> para controvertir la sentencia de la sala regional.</w:t>
      </w:r>
    </w:p>
    <w:p w14:paraId="2CA580AB" w14:textId="77777777" w:rsidR="002B400D" w:rsidRDefault="002B400D" w:rsidP="002B400D">
      <w:pPr>
        <w:spacing w:before="100" w:beforeAutospacing="1" w:after="100" w:afterAutospacing="1" w:line="360" w:lineRule="auto"/>
        <w:jc w:val="both"/>
        <w:rPr>
          <w:rFonts w:ascii="Arial" w:hAnsi="Arial" w:cs="Arial"/>
          <w:lang w:val="es-MX"/>
        </w:rPr>
      </w:pPr>
      <w:r>
        <w:rPr>
          <w:rFonts w:ascii="Arial" w:hAnsi="Arial" w:cs="Arial"/>
          <w:lang w:val="es-MX"/>
        </w:rPr>
        <w:t xml:space="preserve">El expediente </w:t>
      </w:r>
      <w:r w:rsidRPr="006557CD">
        <w:rPr>
          <w:rFonts w:ascii="Arial" w:hAnsi="Arial" w:cs="Arial"/>
          <w:lang w:val="es-MX"/>
        </w:rPr>
        <w:t>se turn</w:t>
      </w:r>
      <w:r>
        <w:rPr>
          <w:rFonts w:ascii="Arial" w:hAnsi="Arial" w:cs="Arial"/>
          <w:lang w:val="es-MX"/>
        </w:rPr>
        <w:t xml:space="preserve">ó </w:t>
      </w:r>
      <w:r w:rsidRPr="006557CD">
        <w:rPr>
          <w:rFonts w:ascii="Arial" w:hAnsi="Arial" w:cs="Arial"/>
          <w:lang w:val="es-MX"/>
        </w:rPr>
        <w:t>a la ponencia del magistrado Reyes Rodríguez Mondragón</w:t>
      </w:r>
      <w:r>
        <w:rPr>
          <w:rFonts w:ascii="Arial" w:hAnsi="Arial" w:cs="Arial"/>
          <w:lang w:val="es-MX"/>
        </w:rPr>
        <w:t>, quien, en su oportunidad, radicó</w:t>
      </w:r>
      <w:r w:rsidR="0034682B">
        <w:rPr>
          <w:rFonts w:ascii="Arial" w:hAnsi="Arial" w:cs="Arial"/>
          <w:lang w:val="es-MX"/>
        </w:rPr>
        <w:t xml:space="preserve"> y admitió a trámite el presente</w:t>
      </w:r>
      <w:r>
        <w:rPr>
          <w:rFonts w:ascii="Arial" w:hAnsi="Arial" w:cs="Arial"/>
          <w:lang w:val="es-MX"/>
        </w:rPr>
        <w:t xml:space="preserve"> recurso. </w:t>
      </w:r>
    </w:p>
    <w:p w14:paraId="6445EC79" w14:textId="77777777" w:rsidR="0034682B" w:rsidRPr="0034682B" w:rsidRDefault="00CB15E1" w:rsidP="002B400D">
      <w:pPr>
        <w:spacing w:before="100" w:beforeAutospacing="1" w:after="100" w:afterAutospacing="1" w:line="360" w:lineRule="auto"/>
        <w:jc w:val="both"/>
        <w:rPr>
          <w:rFonts w:ascii="Arial" w:hAnsi="Arial" w:cs="Arial"/>
          <w:lang w:val="es-MX"/>
        </w:rPr>
      </w:pPr>
      <w:r w:rsidRPr="003A47E0">
        <w:rPr>
          <w:rFonts w:ascii="Arial" w:hAnsi="Arial" w:cs="Arial"/>
          <w:b/>
          <w:lang w:val="es-MX"/>
        </w:rPr>
        <w:lastRenderedPageBreak/>
        <w:t xml:space="preserve">1.7. </w:t>
      </w:r>
      <w:r w:rsidR="00C40AC0">
        <w:rPr>
          <w:rFonts w:ascii="Arial" w:hAnsi="Arial" w:cs="Arial"/>
          <w:b/>
          <w:lang w:val="es-MX"/>
        </w:rPr>
        <w:t>Amigas y amigos del tribunal (</w:t>
      </w:r>
      <w:r w:rsidRPr="003A47E0">
        <w:rPr>
          <w:rFonts w:ascii="Arial" w:hAnsi="Arial" w:cs="Arial"/>
          <w:b/>
          <w:i/>
          <w:iCs/>
          <w:lang w:val="es-MX"/>
        </w:rPr>
        <w:t>Amicus Curi</w:t>
      </w:r>
      <w:r w:rsidR="0057197B">
        <w:rPr>
          <w:rFonts w:ascii="Arial" w:hAnsi="Arial" w:cs="Arial"/>
          <w:b/>
          <w:i/>
          <w:iCs/>
          <w:lang w:val="es-MX"/>
        </w:rPr>
        <w:t>a</w:t>
      </w:r>
      <w:r w:rsidRPr="003A47E0">
        <w:rPr>
          <w:rFonts w:ascii="Arial" w:hAnsi="Arial" w:cs="Arial"/>
          <w:b/>
          <w:i/>
          <w:iCs/>
          <w:lang w:val="es-MX"/>
        </w:rPr>
        <w:t>e</w:t>
      </w:r>
      <w:r w:rsidR="00C40AC0" w:rsidRPr="00F543FA">
        <w:rPr>
          <w:rFonts w:ascii="Arial" w:hAnsi="Arial" w:cs="Arial"/>
          <w:b/>
          <w:lang w:val="es-MX"/>
        </w:rPr>
        <w:t>)</w:t>
      </w:r>
      <w:r w:rsidRPr="003A47E0">
        <w:rPr>
          <w:rFonts w:ascii="Arial" w:hAnsi="Arial" w:cs="Arial"/>
          <w:b/>
          <w:lang w:val="es-MX"/>
        </w:rPr>
        <w:t>.</w:t>
      </w:r>
      <w:r>
        <w:rPr>
          <w:rFonts w:ascii="Arial" w:hAnsi="Arial" w:cs="Arial"/>
          <w:lang w:val="es-MX"/>
        </w:rPr>
        <w:t xml:space="preserve"> </w:t>
      </w:r>
      <w:r w:rsidR="0034682B">
        <w:rPr>
          <w:rFonts w:ascii="Arial" w:hAnsi="Arial" w:cs="Arial"/>
          <w:lang w:val="es-MX"/>
        </w:rPr>
        <w:t>Durante la sustanciación</w:t>
      </w:r>
      <w:r w:rsidR="00DE09A2">
        <w:rPr>
          <w:rFonts w:ascii="Arial" w:hAnsi="Arial" w:cs="Arial"/>
          <w:lang w:val="es-MX"/>
        </w:rPr>
        <w:t xml:space="preserve"> del recurso</w:t>
      </w:r>
      <w:r w:rsidR="00C40AC0">
        <w:rPr>
          <w:rFonts w:ascii="Arial" w:hAnsi="Arial" w:cs="Arial"/>
          <w:lang w:val="es-MX"/>
        </w:rPr>
        <w:t>,</w:t>
      </w:r>
      <w:r w:rsidR="0034682B">
        <w:rPr>
          <w:rFonts w:ascii="Arial" w:hAnsi="Arial" w:cs="Arial"/>
          <w:lang w:val="es-MX"/>
        </w:rPr>
        <w:t xml:space="preserve"> </w:t>
      </w:r>
      <w:r w:rsidR="006F76DB">
        <w:rPr>
          <w:rFonts w:ascii="Arial" w:hAnsi="Arial" w:cs="Arial"/>
          <w:lang w:val="es-MX"/>
        </w:rPr>
        <w:t>el</w:t>
      </w:r>
      <w:r w:rsidR="00DE09A2">
        <w:rPr>
          <w:rFonts w:ascii="Arial" w:hAnsi="Arial" w:cs="Arial"/>
          <w:lang w:val="es-MX"/>
        </w:rPr>
        <w:t xml:space="preserve"> </w:t>
      </w:r>
      <w:r w:rsidR="006F76DB">
        <w:rPr>
          <w:rFonts w:ascii="Arial" w:eastAsiaTheme="minorHAnsi" w:hAnsi="Arial" w:cs="Arial"/>
          <w:lang w:val="es-ES_tradnl" w:eastAsia="en-US"/>
        </w:rPr>
        <w:t>Obse</w:t>
      </w:r>
      <w:bookmarkStart w:id="5" w:name="_GoBack"/>
      <w:bookmarkEnd w:id="5"/>
      <w:r w:rsidR="006F76DB">
        <w:rPr>
          <w:rFonts w:ascii="Arial" w:eastAsiaTheme="minorHAnsi" w:hAnsi="Arial" w:cs="Arial"/>
          <w:lang w:val="es-ES_tradnl" w:eastAsia="en-US"/>
        </w:rPr>
        <w:t>rvatorio Binacional de la Iniciativa Ciudadana para la Promoción de la Cultura del Diálogo, A.</w:t>
      </w:r>
      <w:r w:rsidR="0057197B">
        <w:rPr>
          <w:rFonts w:ascii="Arial" w:eastAsiaTheme="minorHAnsi" w:hAnsi="Arial" w:cs="Arial"/>
          <w:lang w:val="es-ES_tradnl" w:eastAsia="en-US"/>
        </w:rPr>
        <w:t xml:space="preserve"> </w:t>
      </w:r>
      <w:r w:rsidR="006F76DB">
        <w:rPr>
          <w:rFonts w:ascii="Arial" w:eastAsiaTheme="minorHAnsi" w:hAnsi="Arial" w:cs="Arial"/>
          <w:lang w:val="es-ES_tradnl" w:eastAsia="en-US"/>
        </w:rPr>
        <w:t xml:space="preserve">C. y el Comité Especializado </w:t>
      </w:r>
      <w:r w:rsidR="0057197B">
        <w:rPr>
          <w:rFonts w:ascii="Arial" w:hAnsi="Arial" w:cs="Arial"/>
          <w:lang w:val="es-MX"/>
        </w:rPr>
        <w:t xml:space="preserve">comparecieron </w:t>
      </w:r>
      <w:r w:rsidR="006F76DB">
        <w:rPr>
          <w:rFonts w:ascii="Arial" w:eastAsiaTheme="minorHAnsi" w:hAnsi="Arial" w:cs="Arial"/>
          <w:lang w:val="es-ES_tradnl" w:eastAsia="en-US"/>
        </w:rPr>
        <w:t xml:space="preserve">en torno a la </w:t>
      </w:r>
      <w:r w:rsidR="0057197B">
        <w:rPr>
          <w:rFonts w:ascii="Arial" w:eastAsiaTheme="minorHAnsi" w:hAnsi="Arial" w:cs="Arial"/>
          <w:lang w:val="es-ES_tradnl" w:eastAsia="en-US"/>
        </w:rPr>
        <w:t>f</w:t>
      </w:r>
      <w:r w:rsidR="006F76DB">
        <w:rPr>
          <w:rFonts w:ascii="Arial" w:eastAsiaTheme="minorHAnsi" w:hAnsi="Arial" w:cs="Arial"/>
          <w:lang w:val="es-ES_tradnl" w:eastAsia="en-US"/>
        </w:rPr>
        <w:t>igura de la Diputación Migrante (CODIM)</w:t>
      </w:r>
      <w:r w:rsidR="0034682B">
        <w:rPr>
          <w:rFonts w:ascii="Arial" w:hAnsi="Arial" w:cs="Arial"/>
          <w:lang w:val="es-MX"/>
        </w:rPr>
        <w:t xml:space="preserve">. </w:t>
      </w:r>
    </w:p>
    <w:p w14:paraId="698DBB51" w14:textId="77777777" w:rsidR="002B400D" w:rsidRPr="00F74BC1" w:rsidRDefault="002B400D" w:rsidP="002B400D">
      <w:pPr>
        <w:pStyle w:val="Ttulo1"/>
        <w:rPr>
          <w:rFonts w:cs="Arial"/>
          <w:szCs w:val="24"/>
        </w:rPr>
      </w:pPr>
      <w:bookmarkStart w:id="6" w:name="_Toc48404866"/>
      <w:r w:rsidRPr="00F74BC1">
        <w:rPr>
          <w:rFonts w:cs="Arial"/>
          <w:szCs w:val="24"/>
        </w:rPr>
        <w:t>2. COMPETENCIA</w:t>
      </w:r>
      <w:bookmarkEnd w:id="6"/>
    </w:p>
    <w:p w14:paraId="7D57F8B3" w14:textId="77777777" w:rsidR="002B400D" w:rsidRPr="00A07264" w:rsidRDefault="002B400D" w:rsidP="002B400D">
      <w:pPr>
        <w:spacing w:before="100" w:beforeAutospacing="1" w:after="100" w:afterAutospacing="1" w:line="360" w:lineRule="auto"/>
        <w:jc w:val="both"/>
        <w:rPr>
          <w:rFonts w:ascii="Arial" w:hAnsi="Arial" w:cs="Arial"/>
        </w:rPr>
      </w:pPr>
      <w:r w:rsidRPr="006557CD">
        <w:rPr>
          <w:rFonts w:ascii="Arial" w:hAnsi="Arial" w:cs="Arial"/>
          <w:lang w:val="es-MX"/>
        </w:rPr>
        <w:t>E</w:t>
      </w:r>
      <w:r w:rsidR="009E69AE">
        <w:rPr>
          <w:rFonts w:ascii="Arial" w:hAnsi="Arial" w:cs="Arial"/>
          <w:lang w:val="es-MX"/>
        </w:rPr>
        <w:t>n virtud de que e</w:t>
      </w:r>
      <w:r w:rsidRPr="006557CD">
        <w:rPr>
          <w:rFonts w:ascii="Arial" w:hAnsi="Arial" w:cs="Arial"/>
          <w:lang w:val="es-MX"/>
        </w:rPr>
        <w:t>sta</w:t>
      </w:r>
      <w:r w:rsidR="00C335B4">
        <w:rPr>
          <w:rFonts w:ascii="Arial" w:hAnsi="Arial" w:cs="Arial"/>
          <w:lang w:val="es-MX"/>
        </w:rPr>
        <w:t xml:space="preserve"> controversia </w:t>
      </w:r>
      <w:r w:rsidR="009E69AE">
        <w:rPr>
          <w:rFonts w:ascii="Arial" w:hAnsi="Arial" w:cs="Arial"/>
          <w:lang w:val="es-MX"/>
        </w:rPr>
        <w:t>versa sobre derecho</w:t>
      </w:r>
      <w:r w:rsidR="008F6C4E">
        <w:rPr>
          <w:rFonts w:ascii="Arial" w:hAnsi="Arial" w:cs="Arial"/>
          <w:lang w:val="es-MX"/>
        </w:rPr>
        <w:t>s</w:t>
      </w:r>
      <w:r w:rsidR="009E69AE">
        <w:rPr>
          <w:rFonts w:ascii="Arial" w:hAnsi="Arial" w:cs="Arial"/>
          <w:lang w:val="es-MX"/>
        </w:rPr>
        <w:t xml:space="preserve"> </w:t>
      </w:r>
      <w:r w:rsidR="008F6C4E">
        <w:rPr>
          <w:rFonts w:ascii="Arial" w:hAnsi="Arial" w:cs="Arial"/>
          <w:lang w:val="es-MX"/>
        </w:rPr>
        <w:t xml:space="preserve">políticos y electorales </w:t>
      </w:r>
      <w:r w:rsidR="009E69AE">
        <w:rPr>
          <w:rFonts w:ascii="Arial" w:hAnsi="Arial" w:cs="Arial"/>
          <w:lang w:val="es-MX"/>
        </w:rPr>
        <w:t xml:space="preserve">de personas mexicanas </w:t>
      </w:r>
      <w:r w:rsidR="008F6C4E">
        <w:rPr>
          <w:rFonts w:ascii="Arial" w:hAnsi="Arial" w:cs="Arial"/>
          <w:lang w:val="es-MX"/>
        </w:rPr>
        <w:t xml:space="preserve">reconocidas como integrantes de la comunidad política de la Ciudad de </w:t>
      </w:r>
      <w:r w:rsidR="00515BB2">
        <w:rPr>
          <w:rFonts w:ascii="Arial" w:hAnsi="Arial" w:cs="Arial"/>
          <w:lang w:val="es-MX"/>
        </w:rPr>
        <w:t>México,</w:t>
      </w:r>
      <w:r w:rsidR="008F6C4E">
        <w:rPr>
          <w:rFonts w:ascii="Arial" w:hAnsi="Arial" w:cs="Arial"/>
          <w:lang w:val="es-MX"/>
        </w:rPr>
        <w:t xml:space="preserve"> </w:t>
      </w:r>
      <w:r w:rsidR="00515BB2">
        <w:rPr>
          <w:rFonts w:ascii="Arial" w:hAnsi="Arial" w:cs="Arial"/>
          <w:lang w:val="es-MX"/>
        </w:rPr>
        <w:t>esta</w:t>
      </w:r>
      <w:r w:rsidRPr="006557CD">
        <w:rPr>
          <w:rFonts w:ascii="Arial" w:hAnsi="Arial" w:cs="Arial"/>
          <w:lang w:val="es-MX"/>
        </w:rPr>
        <w:t xml:space="preserve"> Sala Superior </w:t>
      </w:r>
      <w:r w:rsidR="00515BB2">
        <w:rPr>
          <w:rFonts w:ascii="Arial" w:hAnsi="Arial" w:cs="Arial"/>
          <w:lang w:val="es-MX"/>
        </w:rPr>
        <w:t>asume</w:t>
      </w:r>
      <w:r>
        <w:rPr>
          <w:rFonts w:ascii="Arial" w:hAnsi="Arial" w:cs="Arial"/>
          <w:lang w:val="es-MX"/>
        </w:rPr>
        <w:t xml:space="preserve"> competen</w:t>
      </w:r>
      <w:r w:rsidR="00515BB2">
        <w:rPr>
          <w:rFonts w:ascii="Arial" w:hAnsi="Arial" w:cs="Arial"/>
          <w:lang w:val="es-MX"/>
        </w:rPr>
        <w:t>cia</w:t>
      </w:r>
      <w:r>
        <w:rPr>
          <w:rFonts w:ascii="Arial" w:hAnsi="Arial" w:cs="Arial"/>
          <w:lang w:val="es-MX"/>
        </w:rPr>
        <w:t xml:space="preserve"> para conocer de la impugnación a la</w:t>
      </w:r>
      <w:r w:rsidRPr="006557CD">
        <w:rPr>
          <w:rFonts w:ascii="Arial" w:hAnsi="Arial" w:cs="Arial"/>
          <w:lang w:val="es-MX"/>
        </w:rPr>
        <w:t xml:space="preserve"> sentencia </w:t>
      </w:r>
      <w:r>
        <w:rPr>
          <w:rFonts w:ascii="Arial" w:hAnsi="Arial" w:cs="Arial"/>
          <w:lang w:val="es-MX"/>
        </w:rPr>
        <w:t>dictada por la Sala Regional en el expediente</w:t>
      </w:r>
      <w:r w:rsidRPr="00AA1932">
        <w:t xml:space="preserve"> </w:t>
      </w:r>
      <w:r w:rsidRPr="002665B5">
        <w:rPr>
          <w:rFonts w:ascii="Arial" w:hAnsi="Arial" w:cs="Arial"/>
          <w:b/>
          <w:lang w:val="es-MX"/>
        </w:rPr>
        <w:t>S</w:t>
      </w:r>
      <w:r w:rsidR="002665B5" w:rsidRPr="002665B5">
        <w:rPr>
          <w:rFonts w:ascii="Arial" w:hAnsi="Arial" w:cs="Arial"/>
          <w:b/>
          <w:lang w:val="es-MX"/>
        </w:rPr>
        <w:t>CM</w:t>
      </w:r>
      <w:r w:rsidRPr="002665B5">
        <w:rPr>
          <w:rFonts w:ascii="Arial" w:hAnsi="Arial" w:cs="Arial"/>
          <w:b/>
          <w:lang w:val="es-MX"/>
        </w:rPr>
        <w:t>-JDC-</w:t>
      </w:r>
      <w:r w:rsidR="002665B5" w:rsidRPr="002665B5">
        <w:rPr>
          <w:rFonts w:ascii="Arial" w:hAnsi="Arial" w:cs="Arial"/>
          <w:b/>
          <w:lang w:val="es-MX"/>
        </w:rPr>
        <w:t>27</w:t>
      </w:r>
      <w:r w:rsidRPr="002665B5">
        <w:rPr>
          <w:rFonts w:ascii="Arial" w:hAnsi="Arial" w:cs="Arial"/>
          <w:b/>
          <w:lang w:val="es-MX"/>
        </w:rPr>
        <w:t>/2020</w:t>
      </w:r>
      <w:r w:rsidR="00685FF8">
        <w:rPr>
          <w:rFonts w:ascii="Arial" w:hAnsi="Arial" w:cs="Arial"/>
          <w:lang w:val="es-MX"/>
        </w:rPr>
        <w:t xml:space="preserve">. Esto, </w:t>
      </w:r>
      <w:r>
        <w:rPr>
          <w:rFonts w:ascii="Arial" w:hAnsi="Arial" w:cs="Arial"/>
          <w:lang w:val="es-MX"/>
        </w:rPr>
        <w:t>con fundamento en</w:t>
      </w:r>
      <w:r w:rsidRPr="006557CD">
        <w:rPr>
          <w:rFonts w:ascii="Arial" w:hAnsi="Arial" w:cs="Arial"/>
          <w:lang w:val="es-MX"/>
        </w:rPr>
        <w:t xml:space="preserve"> los artículos 189, fracciones I, inciso b)</w:t>
      </w:r>
      <w:r>
        <w:rPr>
          <w:rFonts w:ascii="Arial" w:hAnsi="Arial" w:cs="Arial"/>
          <w:lang w:val="es-MX"/>
        </w:rPr>
        <w:t>,</w:t>
      </w:r>
      <w:r w:rsidRPr="006557CD">
        <w:rPr>
          <w:rFonts w:ascii="Arial" w:hAnsi="Arial" w:cs="Arial"/>
          <w:lang w:val="es-MX"/>
        </w:rPr>
        <w:t xml:space="preserve"> de la Ley Orgánica del Poder Judicial de la Federación</w:t>
      </w:r>
      <w:r>
        <w:rPr>
          <w:rFonts w:ascii="Arial" w:hAnsi="Arial" w:cs="Arial"/>
          <w:lang w:val="es-MX"/>
        </w:rPr>
        <w:t xml:space="preserve"> y</w:t>
      </w:r>
      <w:r w:rsidRPr="006557CD">
        <w:rPr>
          <w:rFonts w:ascii="Arial" w:hAnsi="Arial" w:cs="Arial"/>
          <w:lang w:val="es-MX"/>
        </w:rPr>
        <w:t xml:space="preserve"> 64 de la Ley de Medios</w:t>
      </w:r>
      <w:r w:rsidR="00FD1C9A">
        <w:rPr>
          <w:rFonts w:ascii="Arial" w:hAnsi="Arial" w:cs="Arial"/>
          <w:lang w:val="es-MX"/>
        </w:rPr>
        <w:t>.</w:t>
      </w:r>
    </w:p>
    <w:p w14:paraId="32ECE8E8" w14:textId="77777777" w:rsidR="002B400D" w:rsidRPr="00C049D1" w:rsidRDefault="002B400D" w:rsidP="002B400D">
      <w:pPr>
        <w:pStyle w:val="Ttulo1"/>
        <w:spacing w:before="240" w:beforeAutospacing="0" w:after="240" w:afterAutospacing="0"/>
        <w:ind w:firstLine="708"/>
        <w:rPr>
          <w:rFonts w:eastAsiaTheme="minorHAnsi" w:cs="Arial"/>
          <w:szCs w:val="24"/>
        </w:rPr>
      </w:pPr>
      <w:bookmarkStart w:id="7" w:name="_Toc48404867"/>
      <w:r>
        <w:rPr>
          <w:rFonts w:eastAsiaTheme="minorHAnsi" w:cs="Arial"/>
          <w:szCs w:val="24"/>
        </w:rPr>
        <w:t>3</w:t>
      </w:r>
      <w:r w:rsidRPr="00A07264">
        <w:rPr>
          <w:rFonts w:eastAsiaTheme="minorHAnsi" w:cs="Arial"/>
          <w:szCs w:val="24"/>
        </w:rPr>
        <w:t xml:space="preserve">. </w:t>
      </w:r>
      <w:r w:rsidRPr="008F301A">
        <w:rPr>
          <w:rFonts w:cs="Arial"/>
        </w:rPr>
        <w:t>RAZONES QUE JUSTIFICAN LA URGENCIA DEL PRESENTE ASUNTO</w:t>
      </w:r>
      <w:bookmarkEnd w:id="7"/>
    </w:p>
    <w:p w14:paraId="45AFEC1D" w14:textId="77777777" w:rsidR="002B400D" w:rsidRPr="00C34AF8" w:rsidRDefault="00CB15E1" w:rsidP="002B400D">
      <w:pPr>
        <w:tabs>
          <w:tab w:val="left" w:pos="3228"/>
          <w:tab w:val="left" w:pos="7512"/>
        </w:tabs>
        <w:spacing w:before="240" w:after="240" w:line="360" w:lineRule="auto"/>
        <w:ind w:right="79"/>
        <w:jc w:val="both"/>
        <w:rPr>
          <w:rFonts w:ascii="Arial" w:hAnsi="Arial" w:cs="Arial"/>
        </w:rPr>
      </w:pPr>
      <w:r>
        <w:rPr>
          <w:rFonts w:ascii="Arial" w:hAnsi="Arial" w:cs="Arial"/>
        </w:rPr>
        <w:t xml:space="preserve">El </w:t>
      </w:r>
      <w:r w:rsidR="002B400D" w:rsidRPr="00C34AF8">
        <w:rPr>
          <w:rFonts w:ascii="Arial" w:hAnsi="Arial" w:cs="Arial"/>
        </w:rPr>
        <w:t xml:space="preserve">acuerdo general 4/2020, aprobado por el </w:t>
      </w:r>
      <w:r w:rsidR="0057197B">
        <w:rPr>
          <w:rFonts w:ascii="Arial" w:hAnsi="Arial" w:cs="Arial"/>
        </w:rPr>
        <w:t>p</w:t>
      </w:r>
      <w:r w:rsidR="002B400D" w:rsidRPr="00C34AF8">
        <w:rPr>
          <w:rFonts w:ascii="Arial" w:hAnsi="Arial" w:cs="Arial"/>
        </w:rPr>
        <w:t xml:space="preserve">leno de </w:t>
      </w:r>
      <w:r w:rsidR="001D3818">
        <w:rPr>
          <w:rFonts w:ascii="Arial" w:hAnsi="Arial" w:cs="Arial"/>
        </w:rPr>
        <w:t>esta</w:t>
      </w:r>
      <w:r w:rsidR="002B400D" w:rsidRPr="00C34AF8">
        <w:rPr>
          <w:rFonts w:ascii="Arial" w:hAnsi="Arial" w:cs="Arial"/>
        </w:rPr>
        <w:t xml:space="preserve"> Sala Superior el dieciséis de abril </w:t>
      </w:r>
      <w:r w:rsidR="00801C6D">
        <w:rPr>
          <w:rFonts w:ascii="Arial" w:hAnsi="Arial" w:cs="Arial"/>
        </w:rPr>
        <w:t>del presente año</w:t>
      </w:r>
      <w:r w:rsidR="002B400D" w:rsidRPr="00C34AF8">
        <w:rPr>
          <w:rFonts w:ascii="Arial" w:hAnsi="Arial" w:cs="Arial"/>
        </w:rPr>
        <w:t xml:space="preserve">, </w:t>
      </w:r>
      <w:r>
        <w:rPr>
          <w:rFonts w:ascii="Arial" w:hAnsi="Arial" w:cs="Arial"/>
        </w:rPr>
        <w:t xml:space="preserve">prevé </w:t>
      </w:r>
      <w:r w:rsidR="002B400D" w:rsidRPr="00C34AF8">
        <w:rPr>
          <w:rFonts w:ascii="Arial" w:hAnsi="Arial" w:cs="Arial"/>
        </w:rPr>
        <w:t xml:space="preserve">la resolución de los medios de impugnación </w:t>
      </w:r>
      <w:r>
        <w:rPr>
          <w:rFonts w:ascii="Arial" w:hAnsi="Arial" w:cs="Arial"/>
        </w:rPr>
        <w:t xml:space="preserve">que se consideren urgentes </w:t>
      </w:r>
      <w:r w:rsidR="002B400D" w:rsidRPr="00C34AF8">
        <w:rPr>
          <w:rFonts w:ascii="Arial" w:hAnsi="Arial" w:cs="Arial"/>
        </w:rPr>
        <w:t xml:space="preserve">a través del sistema de videoconferencias. </w:t>
      </w:r>
    </w:p>
    <w:p w14:paraId="0901FA97" w14:textId="77777777" w:rsidR="004A4DA7" w:rsidRPr="00C34AF8" w:rsidRDefault="00685FF8" w:rsidP="002B400D">
      <w:pPr>
        <w:spacing w:line="360" w:lineRule="auto"/>
        <w:jc w:val="both"/>
        <w:rPr>
          <w:rFonts w:ascii="Arial" w:hAnsi="Arial" w:cs="Arial"/>
        </w:rPr>
      </w:pPr>
      <w:r>
        <w:rPr>
          <w:rFonts w:ascii="Arial" w:hAnsi="Arial" w:cs="Arial"/>
        </w:rPr>
        <w:t>E</w:t>
      </w:r>
      <w:r w:rsidR="00CB15E1">
        <w:rPr>
          <w:rFonts w:ascii="Arial" w:hAnsi="Arial" w:cs="Arial"/>
        </w:rPr>
        <w:t xml:space="preserve">n </w:t>
      </w:r>
      <w:r>
        <w:rPr>
          <w:rFonts w:ascii="Arial" w:hAnsi="Arial" w:cs="Arial"/>
        </w:rPr>
        <w:t>el</w:t>
      </w:r>
      <w:r w:rsidR="004A4DA7">
        <w:rPr>
          <w:rFonts w:ascii="Arial" w:hAnsi="Arial" w:cs="Arial"/>
        </w:rPr>
        <w:t xml:space="preserve"> acuerdo</w:t>
      </w:r>
      <w:r>
        <w:rPr>
          <w:rFonts w:ascii="Arial" w:hAnsi="Arial" w:cs="Arial"/>
        </w:rPr>
        <w:t xml:space="preserve"> general</w:t>
      </w:r>
      <w:r w:rsidR="004A4DA7">
        <w:rPr>
          <w:rFonts w:ascii="Arial" w:hAnsi="Arial" w:cs="Arial"/>
        </w:rPr>
        <w:t xml:space="preserve"> </w:t>
      </w:r>
      <w:r>
        <w:rPr>
          <w:rFonts w:ascii="Arial" w:hAnsi="Arial" w:cs="Arial"/>
        </w:rPr>
        <w:t>6</w:t>
      </w:r>
      <w:r w:rsidR="004A4DA7">
        <w:rPr>
          <w:rFonts w:ascii="Arial" w:hAnsi="Arial" w:cs="Arial"/>
        </w:rPr>
        <w:t>/202</w:t>
      </w:r>
      <w:r>
        <w:rPr>
          <w:rFonts w:ascii="Arial" w:hAnsi="Arial" w:cs="Arial"/>
        </w:rPr>
        <w:t xml:space="preserve">0 </w:t>
      </w:r>
      <w:r w:rsidR="007853B5">
        <w:rPr>
          <w:rFonts w:ascii="Arial" w:hAnsi="Arial" w:cs="Arial"/>
        </w:rPr>
        <w:t xml:space="preserve">de </w:t>
      </w:r>
      <w:r>
        <w:rPr>
          <w:rFonts w:ascii="Arial" w:hAnsi="Arial" w:cs="Arial"/>
        </w:rPr>
        <w:t xml:space="preserve">primero de julio del año en curso, </w:t>
      </w:r>
      <w:r w:rsidR="00170AC7">
        <w:rPr>
          <w:rFonts w:ascii="Arial" w:hAnsi="Arial" w:cs="Arial"/>
        </w:rPr>
        <w:t>este órgano jurisdiccional federa</w:t>
      </w:r>
      <w:r w:rsidR="0057197B">
        <w:rPr>
          <w:rFonts w:ascii="Arial" w:hAnsi="Arial" w:cs="Arial"/>
        </w:rPr>
        <w:t>l</w:t>
      </w:r>
      <w:r w:rsidR="004A4DA7">
        <w:rPr>
          <w:rFonts w:ascii="Arial" w:hAnsi="Arial" w:cs="Arial"/>
        </w:rPr>
        <w:t xml:space="preserve"> determinó </w:t>
      </w:r>
      <w:r w:rsidR="004A4DA7" w:rsidRPr="004A4DA7">
        <w:rPr>
          <w:rFonts w:ascii="Arial" w:hAnsi="Arial" w:cs="Arial"/>
        </w:rPr>
        <w:t>amplia</w:t>
      </w:r>
      <w:r w:rsidR="004A4DA7">
        <w:rPr>
          <w:rFonts w:ascii="Arial" w:hAnsi="Arial" w:cs="Arial"/>
        </w:rPr>
        <w:t>r</w:t>
      </w:r>
      <w:r w:rsidR="004A4DA7" w:rsidRPr="004A4DA7">
        <w:rPr>
          <w:rFonts w:ascii="Arial" w:hAnsi="Arial" w:cs="Arial"/>
        </w:rPr>
        <w:t xml:space="preserve"> el catálogo de asuntos que pueden resolverse en el contexto de la actual pandemia y prioriz</w:t>
      </w:r>
      <w:r w:rsidR="004A4DA7">
        <w:rPr>
          <w:rFonts w:ascii="Arial" w:hAnsi="Arial" w:cs="Arial"/>
        </w:rPr>
        <w:t>ó</w:t>
      </w:r>
      <w:r w:rsidR="004A4DA7" w:rsidRPr="004A4DA7">
        <w:rPr>
          <w:rFonts w:ascii="Arial" w:hAnsi="Arial" w:cs="Arial"/>
        </w:rPr>
        <w:t xml:space="preserve"> los relacionados con personas o grupos </w:t>
      </w:r>
      <w:r w:rsidR="00CB15E1">
        <w:rPr>
          <w:rFonts w:ascii="Arial" w:hAnsi="Arial" w:cs="Arial"/>
        </w:rPr>
        <w:t xml:space="preserve">en desventaja </w:t>
      </w:r>
      <w:r w:rsidR="004A4DA7" w:rsidRPr="004A4DA7">
        <w:rPr>
          <w:rFonts w:ascii="Arial" w:hAnsi="Arial" w:cs="Arial"/>
        </w:rPr>
        <w:t xml:space="preserve">y, en general, asuntos en los que se involucre a cualquier persona integrante de algún grupo en el que pueda advertirse que por </w:t>
      </w:r>
      <w:r w:rsidR="004F3BD5">
        <w:rPr>
          <w:rFonts w:ascii="Arial" w:hAnsi="Arial" w:cs="Arial"/>
        </w:rPr>
        <w:t xml:space="preserve">sus condiciones de minoría, </w:t>
      </w:r>
      <w:r w:rsidR="004F3BD5">
        <w:rPr>
          <w:rFonts w:ascii="Arial" w:hAnsi="Arial" w:cs="Arial"/>
        </w:rPr>
        <w:lastRenderedPageBreak/>
        <w:t xml:space="preserve">subrepresentación o desventaja conllevan un impacto diferenciado en </w:t>
      </w:r>
      <w:r w:rsidR="004A4DA7" w:rsidRPr="004A4DA7">
        <w:rPr>
          <w:rFonts w:ascii="Arial" w:hAnsi="Arial" w:cs="Arial"/>
        </w:rPr>
        <w:t>sus derechos político</w:t>
      </w:r>
      <w:r w:rsidR="007C6FE1">
        <w:rPr>
          <w:rFonts w:ascii="Arial" w:hAnsi="Arial" w:cs="Arial"/>
        </w:rPr>
        <w:t>-</w:t>
      </w:r>
      <w:r w:rsidR="004A4DA7" w:rsidRPr="004A4DA7">
        <w:rPr>
          <w:rFonts w:ascii="Arial" w:hAnsi="Arial" w:cs="Arial"/>
        </w:rPr>
        <w:t>electorales.</w:t>
      </w:r>
    </w:p>
    <w:p w14:paraId="2BF73578" w14:textId="77777777" w:rsidR="00685FF8" w:rsidRDefault="004A4DA7" w:rsidP="005B3944">
      <w:pPr>
        <w:spacing w:before="240" w:after="240" w:line="360" w:lineRule="auto"/>
        <w:jc w:val="both"/>
        <w:rPr>
          <w:rFonts w:ascii="Arial" w:hAnsi="Arial" w:cs="Arial"/>
        </w:rPr>
      </w:pPr>
      <w:r>
        <w:rPr>
          <w:rFonts w:ascii="Arial" w:hAnsi="Arial" w:cs="Arial"/>
        </w:rPr>
        <w:t xml:space="preserve">El presente caso encuadra en </w:t>
      </w:r>
      <w:r w:rsidR="004F3BD5">
        <w:rPr>
          <w:rFonts w:ascii="Arial" w:hAnsi="Arial" w:cs="Arial"/>
        </w:rPr>
        <w:t>estos</w:t>
      </w:r>
      <w:r>
        <w:rPr>
          <w:rFonts w:ascii="Arial" w:hAnsi="Arial" w:cs="Arial"/>
        </w:rPr>
        <w:t xml:space="preserve"> supuestos </w:t>
      </w:r>
      <w:r w:rsidR="000A3A48">
        <w:rPr>
          <w:rFonts w:ascii="Arial" w:hAnsi="Arial" w:cs="Arial"/>
        </w:rPr>
        <w:t>porque la presente controversia</w:t>
      </w:r>
      <w:r w:rsidR="000A3A48" w:rsidRPr="000A3A48">
        <w:rPr>
          <w:rFonts w:ascii="Arial" w:hAnsi="Arial" w:cs="Arial"/>
        </w:rPr>
        <w:t xml:space="preserve"> tiene que ver con la </w:t>
      </w:r>
      <w:r w:rsidR="000A3A48">
        <w:rPr>
          <w:rFonts w:ascii="Arial" w:hAnsi="Arial" w:cs="Arial"/>
        </w:rPr>
        <w:t>tutela de</w:t>
      </w:r>
      <w:r w:rsidR="000A3A48" w:rsidRPr="000A3A48">
        <w:rPr>
          <w:rFonts w:ascii="Arial" w:hAnsi="Arial" w:cs="Arial"/>
        </w:rPr>
        <w:t xml:space="preserve"> los derechos político-electorales de votar y ser votados de un grupo </w:t>
      </w:r>
      <w:r w:rsidR="003A47E0">
        <w:rPr>
          <w:rFonts w:ascii="Arial" w:hAnsi="Arial" w:cs="Arial"/>
        </w:rPr>
        <w:t>subrepresentado</w:t>
      </w:r>
      <w:r w:rsidR="004F3BD5">
        <w:rPr>
          <w:rFonts w:ascii="Arial" w:hAnsi="Arial" w:cs="Arial"/>
        </w:rPr>
        <w:t xml:space="preserve"> y </w:t>
      </w:r>
      <w:r w:rsidR="000A3A48" w:rsidRPr="000A3A48">
        <w:rPr>
          <w:rFonts w:ascii="Arial" w:hAnsi="Arial" w:cs="Arial"/>
        </w:rPr>
        <w:t>minoritario de ciudadanos</w:t>
      </w:r>
      <w:r w:rsidR="00685FF8">
        <w:rPr>
          <w:rFonts w:ascii="Arial" w:hAnsi="Arial" w:cs="Arial"/>
        </w:rPr>
        <w:t xml:space="preserve"> mexicanos residentes en el</w:t>
      </w:r>
      <w:r w:rsidR="000A3A48" w:rsidRPr="000A3A48">
        <w:rPr>
          <w:rFonts w:ascii="Arial" w:hAnsi="Arial" w:cs="Arial"/>
        </w:rPr>
        <w:t xml:space="preserve"> extranjero</w:t>
      </w:r>
      <w:r w:rsidR="00685FF8">
        <w:rPr>
          <w:rFonts w:ascii="Arial" w:hAnsi="Arial" w:cs="Arial"/>
        </w:rPr>
        <w:t xml:space="preserve"> y</w:t>
      </w:r>
      <w:r w:rsidR="000A3A48" w:rsidRPr="000A3A48">
        <w:rPr>
          <w:rFonts w:ascii="Arial" w:hAnsi="Arial" w:cs="Arial"/>
        </w:rPr>
        <w:t xml:space="preserve"> originarios de la Ciudad México</w:t>
      </w:r>
      <w:r w:rsidR="000A3A48">
        <w:rPr>
          <w:rFonts w:ascii="Arial" w:hAnsi="Arial" w:cs="Arial"/>
        </w:rPr>
        <w:t xml:space="preserve">. </w:t>
      </w:r>
    </w:p>
    <w:p w14:paraId="45CB026D" w14:textId="77777777" w:rsidR="002B400D" w:rsidRDefault="00685FF8" w:rsidP="003A47E0">
      <w:pPr>
        <w:spacing w:before="240" w:after="240" w:line="360" w:lineRule="auto"/>
        <w:jc w:val="both"/>
        <w:rPr>
          <w:rFonts w:ascii="Arial" w:hAnsi="Arial" w:cs="Arial"/>
        </w:rPr>
      </w:pPr>
      <w:r>
        <w:rPr>
          <w:rFonts w:ascii="Arial" w:hAnsi="Arial" w:cs="Arial"/>
        </w:rPr>
        <w:t>Concretamente</w:t>
      </w:r>
      <w:r w:rsidR="000A3A48">
        <w:rPr>
          <w:rFonts w:ascii="Arial" w:hAnsi="Arial" w:cs="Arial"/>
        </w:rPr>
        <w:t>,</w:t>
      </w:r>
      <w:r>
        <w:rPr>
          <w:rFonts w:ascii="Arial" w:hAnsi="Arial" w:cs="Arial"/>
        </w:rPr>
        <w:t xml:space="preserve"> el </w:t>
      </w:r>
      <w:r w:rsidR="003A47E0">
        <w:rPr>
          <w:rFonts w:ascii="Arial" w:hAnsi="Arial" w:cs="Arial"/>
        </w:rPr>
        <w:t>problema jurídico surgió a partir de</w:t>
      </w:r>
      <w:r>
        <w:rPr>
          <w:rFonts w:ascii="Arial" w:hAnsi="Arial" w:cs="Arial"/>
        </w:rPr>
        <w:t xml:space="preserve"> que el Congreso de la Ciudad de México suprimió la figura de la diputación migrante, que había sido reconocida </w:t>
      </w:r>
      <w:r w:rsidR="004F3BD5">
        <w:rPr>
          <w:rFonts w:ascii="Arial" w:hAnsi="Arial" w:cs="Arial"/>
        </w:rPr>
        <w:t xml:space="preserve">en el código local </w:t>
      </w:r>
      <w:r>
        <w:rPr>
          <w:rFonts w:ascii="Arial" w:hAnsi="Arial" w:cs="Arial"/>
        </w:rPr>
        <w:t xml:space="preserve">desde el dos mil diecisiete. </w:t>
      </w:r>
      <w:r w:rsidR="003A47E0">
        <w:rPr>
          <w:rFonts w:ascii="Arial" w:hAnsi="Arial" w:cs="Arial"/>
        </w:rPr>
        <w:t xml:space="preserve">Después, </w:t>
      </w:r>
      <w:r w:rsidR="00A8127A">
        <w:rPr>
          <w:rFonts w:ascii="Arial" w:hAnsi="Arial" w:cs="Arial"/>
        </w:rPr>
        <w:t xml:space="preserve">puesto </w:t>
      </w:r>
      <w:r w:rsidR="000A3A48">
        <w:rPr>
          <w:rFonts w:ascii="Arial" w:hAnsi="Arial" w:cs="Arial"/>
        </w:rPr>
        <w:t>que</w:t>
      </w:r>
      <w:r w:rsidR="0050493A">
        <w:rPr>
          <w:rFonts w:ascii="Arial" w:hAnsi="Arial" w:cs="Arial"/>
        </w:rPr>
        <w:t xml:space="preserve"> la sala regional </w:t>
      </w:r>
      <w:r w:rsidR="004A4DA7">
        <w:rPr>
          <w:rFonts w:ascii="Arial" w:hAnsi="Arial" w:cs="Arial"/>
        </w:rPr>
        <w:t xml:space="preserve">inaplicó </w:t>
      </w:r>
      <w:r w:rsidR="000A3A48">
        <w:rPr>
          <w:rFonts w:ascii="Arial" w:hAnsi="Arial" w:cs="Arial"/>
        </w:rPr>
        <w:t>la</w:t>
      </w:r>
      <w:r w:rsidR="004A4DA7">
        <w:rPr>
          <w:rFonts w:ascii="Arial" w:hAnsi="Arial" w:cs="Arial"/>
        </w:rPr>
        <w:t xml:space="preserve"> derogación </w:t>
      </w:r>
      <w:r w:rsidR="0050493A">
        <w:rPr>
          <w:rFonts w:ascii="Arial" w:hAnsi="Arial" w:cs="Arial"/>
        </w:rPr>
        <w:t xml:space="preserve">de </w:t>
      </w:r>
      <w:r w:rsidR="003A47E0">
        <w:rPr>
          <w:rFonts w:ascii="Arial" w:hAnsi="Arial" w:cs="Arial"/>
        </w:rPr>
        <w:t>esa</w:t>
      </w:r>
      <w:r w:rsidR="0050493A">
        <w:rPr>
          <w:rFonts w:ascii="Arial" w:hAnsi="Arial" w:cs="Arial"/>
        </w:rPr>
        <w:t xml:space="preserve"> figura</w:t>
      </w:r>
      <w:r w:rsidR="003A47E0">
        <w:rPr>
          <w:rFonts w:ascii="Arial" w:hAnsi="Arial" w:cs="Arial"/>
        </w:rPr>
        <w:t xml:space="preserve">, </w:t>
      </w:r>
      <w:r w:rsidR="0050493A">
        <w:rPr>
          <w:rFonts w:ascii="Arial" w:hAnsi="Arial" w:cs="Arial"/>
        </w:rPr>
        <w:t xml:space="preserve">la diputación migrante </w:t>
      </w:r>
      <w:r w:rsidR="006F76DB">
        <w:rPr>
          <w:rFonts w:ascii="Arial" w:hAnsi="Arial" w:cs="Arial"/>
        </w:rPr>
        <w:t xml:space="preserve">será una modalidad para votar y ser votado en </w:t>
      </w:r>
      <w:r w:rsidR="0050493A">
        <w:rPr>
          <w:rFonts w:ascii="Arial" w:hAnsi="Arial" w:cs="Arial"/>
        </w:rPr>
        <w:t xml:space="preserve">el próximo proceso electoral local 2020-2021, </w:t>
      </w:r>
      <w:r w:rsidR="00D0599F">
        <w:rPr>
          <w:rFonts w:ascii="Arial" w:hAnsi="Arial" w:cs="Arial"/>
        </w:rPr>
        <w:t>que deberá</w:t>
      </w:r>
      <w:r w:rsidR="0050493A">
        <w:rPr>
          <w:rFonts w:ascii="Arial" w:hAnsi="Arial" w:cs="Arial"/>
        </w:rPr>
        <w:t xml:space="preserve"> iniciar</w:t>
      </w:r>
      <w:r w:rsidR="006F76DB">
        <w:rPr>
          <w:rFonts w:ascii="Arial" w:hAnsi="Arial" w:cs="Arial"/>
        </w:rPr>
        <w:t xml:space="preserve"> </w:t>
      </w:r>
      <w:r w:rsidR="00CF52C4">
        <w:rPr>
          <w:rFonts w:ascii="Arial" w:hAnsi="Arial" w:cs="Arial"/>
        </w:rPr>
        <w:t xml:space="preserve">en </w:t>
      </w:r>
      <w:r w:rsidR="0050493A">
        <w:rPr>
          <w:rFonts w:ascii="Arial" w:hAnsi="Arial" w:cs="Arial"/>
        </w:rPr>
        <w:t>la primera semana de</w:t>
      </w:r>
      <w:r w:rsidR="004E4889">
        <w:rPr>
          <w:rFonts w:ascii="Arial" w:hAnsi="Arial" w:cs="Arial"/>
        </w:rPr>
        <w:t xml:space="preserve">l mes de septiembre </w:t>
      </w:r>
      <w:r w:rsidR="006F76DB">
        <w:rPr>
          <w:rFonts w:ascii="Arial" w:hAnsi="Arial" w:cs="Arial"/>
        </w:rPr>
        <w:t>del año en curso</w:t>
      </w:r>
      <w:r w:rsidR="004E4889">
        <w:rPr>
          <w:rFonts w:ascii="Arial" w:hAnsi="Arial" w:cs="Arial"/>
        </w:rPr>
        <w:t xml:space="preserve">. </w:t>
      </w:r>
    </w:p>
    <w:p w14:paraId="1828F487" w14:textId="77777777" w:rsidR="003766AC" w:rsidRPr="003C7306" w:rsidRDefault="00980E53" w:rsidP="003766AC">
      <w:pPr>
        <w:spacing w:before="240" w:after="240" w:line="360" w:lineRule="auto"/>
        <w:jc w:val="both"/>
        <w:rPr>
          <w:rFonts w:ascii="Arial" w:hAnsi="Arial" w:cs="Arial"/>
        </w:rPr>
      </w:pPr>
      <w:r>
        <w:rPr>
          <w:rFonts w:ascii="Arial" w:hAnsi="Arial" w:cs="Arial"/>
        </w:rPr>
        <w:t>En esas condiciones,</w:t>
      </w:r>
      <w:r w:rsidR="001F6F36">
        <w:rPr>
          <w:rFonts w:ascii="Arial" w:hAnsi="Arial" w:cs="Arial"/>
        </w:rPr>
        <w:t xml:space="preserve"> se considera que esta Sala Superior debe resolver el presente litigo</w:t>
      </w:r>
      <w:r w:rsidR="001E5648">
        <w:rPr>
          <w:rFonts w:ascii="Arial" w:hAnsi="Arial" w:cs="Arial"/>
        </w:rPr>
        <w:t xml:space="preserve"> a fin de otorgar </w:t>
      </w:r>
      <w:r w:rsidR="000A3A48">
        <w:rPr>
          <w:rFonts w:ascii="Arial" w:hAnsi="Arial" w:cs="Arial"/>
        </w:rPr>
        <w:t>certeza y seguridad jurídica</w:t>
      </w:r>
      <w:r w:rsidR="00F543FA">
        <w:rPr>
          <w:rFonts w:ascii="Arial" w:hAnsi="Arial" w:cs="Arial"/>
        </w:rPr>
        <w:t xml:space="preserve"> no solo a la parte actora, sino también</w:t>
      </w:r>
      <w:r w:rsidR="004E4889">
        <w:rPr>
          <w:rFonts w:ascii="Arial" w:hAnsi="Arial" w:cs="Arial"/>
        </w:rPr>
        <w:t xml:space="preserve"> </w:t>
      </w:r>
      <w:r w:rsidR="004635C3">
        <w:rPr>
          <w:rFonts w:ascii="Arial" w:hAnsi="Arial" w:cs="Arial"/>
        </w:rPr>
        <w:t xml:space="preserve">a la ciudadanía </w:t>
      </w:r>
      <w:r w:rsidR="001F03FD">
        <w:rPr>
          <w:rFonts w:ascii="Arial" w:hAnsi="Arial" w:cs="Arial"/>
        </w:rPr>
        <w:t>originaria de la Ciudad de México residente en el extranjero y a las autoridades tanto jurisdi</w:t>
      </w:r>
      <w:r w:rsidR="00B940E1">
        <w:rPr>
          <w:rFonts w:ascii="Arial" w:hAnsi="Arial" w:cs="Arial"/>
        </w:rPr>
        <w:t>c</w:t>
      </w:r>
      <w:r w:rsidR="001F03FD">
        <w:rPr>
          <w:rFonts w:ascii="Arial" w:hAnsi="Arial" w:cs="Arial"/>
        </w:rPr>
        <w:t>c</w:t>
      </w:r>
      <w:r w:rsidR="00CE3394">
        <w:rPr>
          <w:rFonts w:ascii="Arial" w:hAnsi="Arial" w:cs="Arial"/>
        </w:rPr>
        <w:t>i</w:t>
      </w:r>
      <w:r w:rsidR="001F03FD">
        <w:rPr>
          <w:rFonts w:ascii="Arial" w:hAnsi="Arial" w:cs="Arial"/>
        </w:rPr>
        <w:t xml:space="preserve">onales </w:t>
      </w:r>
      <w:r w:rsidR="00B940E1">
        <w:rPr>
          <w:rFonts w:ascii="Arial" w:hAnsi="Arial" w:cs="Arial"/>
        </w:rPr>
        <w:t>como administrativas</w:t>
      </w:r>
      <w:r w:rsidR="00CE3394">
        <w:rPr>
          <w:rFonts w:ascii="Arial" w:hAnsi="Arial" w:cs="Arial"/>
        </w:rPr>
        <w:t>, en vista de</w:t>
      </w:r>
      <w:r w:rsidR="00C61BCD">
        <w:rPr>
          <w:rFonts w:ascii="Arial" w:hAnsi="Arial" w:cs="Arial"/>
        </w:rPr>
        <w:t xml:space="preserve"> la inminencia del proceso electoral local</w:t>
      </w:r>
      <w:r w:rsidR="00B940E1">
        <w:rPr>
          <w:rFonts w:ascii="Arial" w:hAnsi="Arial" w:cs="Arial"/>
        </w:rPr>
        <w:t xml:space="preserve">. </w:t>
      </w:r>
    </w:p>
    <w:p w14:paraId="7639AC37" w14:textId="77777777" w:rsidR="002B400D" w:rsidRPr="00471732" w:rsidRDefault="0012731E" w:rsidP="00471732">
      <w:pPr>
        <w:spacing w:before="240" w:after="240" w:line="360" w:lineRule="auto"/>
        <w:jc w:val="both"/>
        <w:rPr>
          <w:rFonts w:ascii="Arial" w:hAnsi="Arial" w:cs="Arial"/>
        </w:rPr>
      </w:pPr>
      <w:r>
        <w:rPr>
          <w:rFonts w:ascii="Arial" w:hAnsi="Arial" w:cs="Arial"/>
        </w:rPr>
        <w:t xml:space="preserve">En particular, </w:t>
      </w:r>
      <w:r w:rsidR="0084156C">
        <w:rPr>
          <w:rFonts w:ascii="Arial" w:hAnsi="Arial" w:cs="Arial"/>
        </w:rPr>
        <w:t xml:space="preserve">si esta Sala Superior determina </w:t>
      </w:r>
      <w:r w:rsidR="009C07F4">
        <w:rPr>
          <w:rFonts w:ascii="Arial" w:hAnsi="Arial" w:cs="Arial"/>
        </w:rPr>
        <w:t>confirmar la sentencia impugnada</w:t>
      </w:r>
      <w:r w:rsidR="00F779B2">
        <w:rPr>
          <w:rFonts w:ascii="Arial" w:hAnsi="Arial" w:cs="Arial"/>
        </w:rPr>
        <w:t xml:space="preserve">, </w:t>
      </w:r>
      <w:r w:rsidR="003B2C00">
        <w:rPr>
          <w:rFonts w:ascii="Arial" w:hAnsi="Arial" w:cs="Arial"/>
        </w:rPr>
        <w:t xml:space="preserve">se dará certidumbre a las actividades que el OPLE </w:t>
      </w:r>
      <w:r w:rsidR="00AA417E">
        <w:rPr>
          <w:rFonts w:ascii="Arial" w:hAnsi="Arial" w:cs="Arial"/>
        </w:rPr>
        <w:t>llev</w:t>
      </w:r>
      <w:r w:rsidR="0057197B">
        <w:rPr>
          <w:rFonts w:ascii="Arial" w:hAnsi="Arial" w:cs="Arial"/>
        </w:rPr>
        <w:t>e</w:t>
      </w:r>
      <w:r w:rsidR="00AA417E">
        <w:rPr>
          <w:rFonts w:ascii="Arial" w:hAnsi="Arial" w:cs="Arial"/>
        </w:rPr>
        <w:t xml:space="preserve"> a cabo para </w:t>
      </w:r>
      <w:r w:rsidR="00F460BA">
        <w:rPr>
          <w:rFonts w:ascii="Arial" w:hAnsi="Arial" w:cs="Arial"/>
        </w:rPr>
        <w:t xml:space="preserve">implementar </w:t>
      </w:r>
      <w:r w:rsidR="00A02BC0">
        <w:rPr>
          <w:rFonts w:ascii="Arial" w:hAnsi="Arial" w:cs="Arial"/>
        </w:rPr>
        <w:t xml:space="preserve">el derecho al sufragio tanto activo como pasivo en relación con la diputación migrante. </w:t>
      </w:r>
      <w:r w:rsidR="003766AC">
        <w:rPr>
          <w:rFonts w:ascii="Arial" w:hAnsi="Arial" w:cs="Arial"/>
        </w:rPr>
        <w:t>E</w:t>
      </w:r>
      <w:r w:rsidR="004E4889">
        <w:rPr>
          <w:rFonts w:ascii="Arial" w:hAnsi="Arial" w:cs="Arial"/>
        </w:rPr>
        <w:t>n el caso de que esta Sala Superior opte por revocar la sentencia controvertida a fin de mantener los efectos</w:t>
      </w:r>
      <w:r w:rsidR="00F22371">
        <w:rPr>
          <w:rFonts w:ascii="Arial" w:hAnsi="Arial" w:cs="Arial"/>
        </w:rPr>
        <w:t xml:space="preserve"> derogatorios</w:t>
      </w:r>
      <w:r w:rsidR="004E4889">
        <w:rPr>
          <w:rFonts w:ascii="Arial" w:hAnsi="Arial" w:cs="Arial"/>
        </w:rPr>
        <w:t xml:space="preserve"> de</w:t>
      </w:r>
      <w:r w:rsidR="0057197B">
        <w:rPr>
          <w:rFonts w:ascii="Arial" w:hAnsi="Arial" w:cs="Arial"/>
        </w:rPr>
        <w:t>l</w:t>
      </w:r>
      <w:r w:rsidR="004E4889">
        <w:rPr>
          <w:rFonts w:ascii="Arial" w:hAnsi="Arial" w:cs="Arial"/>
        </w:rPr>
        <w:t xml:space="preserve"> decreto impugnado, </w:t>
      </w:r>
      <w:r w:rsidR="003766AC">
        <w:rPr>
          <w:rFonts w:ascii="Arial" w:hAnsi="Arial" w:cs="Arial"/>
        </w:rPr>
        <w:t xml:space="preserve">también </w:t>
      </w:r>
      <w:r w:rsidR="004E4889">
        <w:rPr>
          <w:rFonts w:ascii="Arial" w:hAnsi="Arial" w:cs="Arial"/>
        </w:rPr>
        <w:t xml:space="preserve">resulta necesario que esta Sala Superior intervenga </w:t>
      </w:r>
      <w:r w:rsidR="000A3A48">
        <w:rPr>
          <w:rFonts w:ascii="Arial" w:hAnsi="Arial" w:cs="Arial"/>
        </w:rPr>
        <w:t>a la brevedad</w:t>
      </w:r>
      <w:r w:rsidR="004E4889">
        <w:rPr>
          <w:rFonts w:ascii="Arial" w:hAnsi="Arial" w:cs="Arial"/>
        </w:rPr>
        <w:t>,</w:t>
      </w:r>
      <w:r w:rsidR="003766AC">
        <w:rPr>
          <w:rFonts w:ascii="Arial" w:hAnsi="Arial" w:cs="Arial"/>
        </w:rPr>
        <w:t xml:space="preserve"> </w:t>
      </w:r>
      <w:r w:rsidR="000A3A48">
        <w:rPr>
          <w:rFonts w:ascii="Arial" w:hAnsi="Arial" w:cs="Arial"/>
        </w:rPr>
        <w:t>ya que</w:t>
      </w:r>
      <w:r w:rsidR="003766AC">
        <w:rPr>
          <w:rFonts w:ascii="Arial" w:hAnsi="Arial" w:cs="Arial"/>
        </w:rPr>
        <w:t xml:space="preserve"> la sentencia controvertida</w:t>
      </w:r>
      <w:r w:rsidR="000A3A48">
        <w:rPr>
          <w:rFonts w:ascii="Arial" w:hAnsi="Arial" w:cs="Arial"/>
        </w:rPr>
        <w:t xml:space="preserve"> </w:t>
      </w:r>
      <w:r w:rsidR="000A3A48">
        <w:rPr>
          <w:rFonts w:ascii="Arial" w:hAnsi="Arial" w:cs="Arial"/>
        </w:rPr>
        <w:lastRenderedPageBreak/>
        <w:t>vinculó al</w:t>
      </w:r>
      <w:r w:rsidR="003766AC">
        <w:rPr>
          <w:rFonts w:ascii="Arial" w:hAnsi="Arial" w:cs="Arial"/>
        </w:rPr>
        <w:t xml:space="preserve"> OPL</w:t>
      </w:r>
      <w:r w:rsidR="00310514">
        <w:rPr>
          <w:rFonts w:ascii="Arial" w:hAnsi="Arial" w:cs="Arial"/>
        </w:rPr>
        <w:t>E</w:t>
      </w:r>
      <w:r w:rsidR="003766AC">
        <w:rPr>
          <w:rFonts w:ascii="Arial" w:hAnsi="Arial" w:cs="Arial"/>
        </w:rPr>
        <w:t xml:space="preserve"> </w:t>
      </w:r>
      <w:r w:rsidR="000A3A48">
        <w:rPr>
          <w:rFonts w:ascii="Arial" w:hAnsi="Arial" w:cs="Arial"/>
        </w:rPr>
        <w:t>a culminar con l</w:t>
      </w:r>
      <w:r w:rsidR="003766AC">
        <w:rPr>
          <w:rFonts w:ascii="Arial" w:hAnsi="Arial" w:cs="Arial"/>
        </w:rPr>
        <w:t xml:space="preserve">os </w:t>
      </w:r>
      <w:r w:rsidR="000A3A48">
        <w:rPr>
          <w:rFonts w:ascii="Arial" w:hAnsi="Arial" w:cs="Arial"/>
        </w:rPr>
        <w:t>trabajos para</w:t>
      </w:r>
      <w:r w:rsidR="003766AC">
        <w:rPr>
          <w:rFonts w:ascii="Arial" w:hAnsi="Arial" w:cs="Arial"/>
        </w:rPr>
        <w:t xml:space="preserve"> la implementación de la diputación migrante, lo cual, además del despliegue de recursos humanos, </w:t>
      </w:r>
      <w:r w:rsidR="0057197B">
        <w:rPr>
          <w:rFonts w:ascii="Arial" w:hAnsi="Arial" w:cs="Arial"/>
        </w:rPr>
        <w:t xml:space="preserve">de igual forma </w:t>
      </w:r>
      <w:r w:rsidR="003766AC">
        <w:rPr>
          <w:rFonts w:ascii="Arial" w:hAnsi="Arial" w:cs="Arial"/>
        </w:rPr>
        <w:t>requiere la utilización de recursos económicos</w:t>
      </w:r>
      <w:r w:rsidR="000A3A48">
        <w:rPr>
          <w:rFonts w:ascii="Arial" w:hAnsi="Arial" w:cs="Arial"/>
        </w:rPr>
        <w:t>.</w:t>
      </w:r>
    </w:p>
    <w:p w14:paraId="1D90BDA2" w14:textId="77777777" w:rsidR="002B400D" w:rsidRPr="00A07264" w:rsidRDefault="002B400D" w:rsidP="002B400D">
      <w:pPr>
        <w:pStyle w:val="Ttulo1"/>
        <w:spacing w:before="240" w:beforeAutospacing="0" w:after="240" w:afterAutospacing="0"/>
        <w:ind w:firstLine="708"/>
        <w:jc w:val="both"/>
        <w:rPr>
          <w:rFonts w:eastAsiaTheme="minorHAnsi" w:cs="Arial"/>
          <w:caps w:val="0"/>
          <w:szCs w:val="24"/>
        </w:rPr>
      </w:pPr>
      <w:bookmarkStart w:id="8" w:name="_Toc48404868"/>
      <w:r>
        <w:rPr>
          <w:rFonts w:eastAsiaTheme="minorHAnsi" w:cs="Arial"/>
          <w:caps w:val="0"/>
          <w:szCs w:val="24"/>
        </w:rPr>
        <w:t xml:space="preserve">4. </w:t>
      </w:r>
      <w:r w:rsidRPr="00A07264">
        <w:rPr>
          <w:rFonts w:eastAsiaTheme="minorHAnsi" w:cs="Arial"/>
          <w:caps w:val="0"/>
          <w:szCs w:val="24"/>
        </w:rPr>
        <w:t>REQUISITOS DE PROCEDENCIA GENERALES Y ESPECIALES</w:t>
      </w:r>
      <w:bookmarkEnd w:id="8"/>
    </w:p>
    <w:p w14:paraId="54C7A8DF" w14:textId="77777777" w:rsidR="002B400D" w:rsidRDefault="002B400D" w:rsidP="002B400D">
      <w:pPr>
        <w:spacing w:before="240" w:after="240" w:line="360" w:lineRule="auto"/>
        <w:jc w:val="both"/>
        <w:rPr>
          <w:rFonts w:ascii="Arial" w:eastAsiaTheme="minorHAnsi" w:hAnsi="Arial" w:cs="Arial"/>
          <w:lang w:val="es-MX" w:eastAsia="en-US"/>
        </w:rPr>
      </w:pPr>
      <w:r>
        <w:rPr>
          <w:rFonts w:ascii="Arial" w:eastAsiaTheme="minorHAnsi" w:hAnsi="Arial" w:cs="Arial"/>
          <w:b/>
          <w:lang w:val="es-MX" w:eastAsia="en-US"/>
        </w:rPr>
        <w:t>4</w:t>
      </w:r>
      <w:r w:rsidRPr="009F3171">
        <w:rPr>
          <w:rFonts w:ascii="Arial" w:eastAsiaTheme="minorHAnsi" w:hAnsi="Arial" w:cs="Arial"/>
          <w:b/>
          <w:lang w:val="es-MX" w:eastAsia="en-US"/>
        </w:rPr>
        <w:t>.1. Forma.</w:t>
      </w:r>
      <w:r>
        <w:rPr>
          <w:rFonts w:ascii="Arial" w:eastAsiaTheme="minorHAnsi" w:hAnsi="Arial" w:cs="Arial"/>
          <w:lang w:val="es-MX" w:eastAsia="en-US"/>
        </w:rPr>
        <w:t xml:space="preserve"> El recurso se interpuso por escrito ante </w:t>
      </w:r>
      <w:r w:rsidR="001C0EA5">
        <w:rPr>
          <w:rFonts w:ascii="Arial" w:eastAsiaTheme="minorHAnsi" w:hAnsi="Arial" w:cs="Arial"/>
          <w:lang w:val="es-MX" w:eastAsia="en-US"/>
        </w:rPr>
        <w:t>la sala regional</w:t>
      </w:r>
      <w:r>
        <w:rPr>
          <w:rFonts w:ascii="Arial" w:eastAsiaTheme="minorHAnsi" w:hAnsi="Arial" w:cs="Arial"/>
          <w:lang w:val="es-MX" w:eastAsia="en-US"/>
        </w:rPr>
        <w:t xml:space="preserve"> y se hace constar el nombre del </w:t>
      </w:r>
      <w:r w:rsidR="001C0EA5">
        <w:rPr>
          <w:rFonts w:ascii="Arial" w:eastAsiaTheme="minorHAnsi" w:hAnsi="Arial" w:cs="Arial"/>
          <w:lang w:val="es-MX" w:eastAsia="en-US"/>
        </w:rPr>
        <w:t xml:space="preserve">partido político </w:t>
      </w:r>
      <w:r>
        <w:rPr>
          <w:rFonts w:ascii="Arial" w:eastAsiaTheme="minorHAnsi" w:hAnsi="Arial" w:cs="Arial"/>
          <w:lang w:val="es-MX" w:eastAsia="en-US"/>
        </w:rPr>
        <w:t xml:space="preserve">recurrente y </w:t>
      </w:r>
      <w:r w:rsidR="001C0EA5">
        <w:rPr>
          <w:rFonts w:ascii="Arial" w:eastAsiaTheme="minorHAnsi" w:hAnsi="Arial" w:cs="Arial"/>
          <w:lang w:val="es-MX" w:eastAsia="en-US"/>
        </w:rPr>
        <w:t>la</w:t>
      </w:r>
      <w:r>
        <w:rPr>
          <w:rFonts w:ascii="Arial" w:eastAsiaTheme="minorHAnsi" w:hAnsi="Arial" w:cs="Arial"/>
          <w:lang w:val="es-MX" w:eastAsia="en-US"/>
        </w:rPr>
        <w:t xml:space="preserve"> firma</w:t>
      </w:r>
      <w:r w:rsidR="001C0EA5">
        <w:rPr>
          <w:rFonts w:ascii="Arial" w:eastAsiaTheme="minorHAnsi" w:hAnsi="Arial" w:cs="Arial"/>
          <w:lang w:val="es-MX" w:eastAsia="en-US"/>
        </w:rPr>
        <w:t xml:space="preserve"> de sus representantes</w:t>
      </w:r>
      <w:r>
        <w:rPr>
          <w:rFonts w:ascii="Arial" w:eastAsiaTheme="minorHAnsi" w:hAnsi="Arial" w:cs="Arial"/>
          <w:lang w:val="es-MX" w:eastAsia="en-US"/>
        </w:rPr>
        <w:t xml:space="preserve">, </w:t>
      </w:r>
      <w:r w:rsidR="001C0EA5">
        <w:rPr>
          <w:rFonts w:ascii="Arial" w:eastAsiaTheme="minorHAnsi" w:hAnsi="Arial" w:cs="Arial"/>
          <w:lang w:val="es-MX" w:eastAsia="en-US"/>
        </w:rPr>
        <w:t>quienes</w:t>
      </w:r>
      <w:r>
        <w:rPr>
          <w:rFonts w:ascii="Arial" w:eastAsiaTheme="minorHAnsi" w:hAnsi="Arial" w:cs="Arial"/>
          <w:lang w:val="es-MX" w:eastAsia="en-US"/>
        </w:rPr>
        <w:t xml:space="preserve"> exponen los hechos y los agravios en contra de la sentencia </w:t>
      </w:r>
      <w:r w:rsidR="001C0EA5">
        <w:rPr>
          <w:rFonts w:ascii="Arial" w:eastAsiaTheme="minorHAnsi" w:hAnsi="Arial" w:cs="Arial"/>
          <w:lang w:val="es-MX" w:eastAsia="en-US"/>
        </w:rPr>
        <w:t>controvertida.</w:t>
      </w:r>
    </w:p>
    <w:p w14:paraId="0AA6559F" w14:textId="77777777" w:rsidR="002B400D" w:rsidRDefault="002B400D" w:rsidP="001C0EA5">
      <w:pPr>
        <w:spacing w:before="240" w:after="240" w:line="360" w:lineRule="auto"/>
        <w:jc w:val="both"/>
        <w:rPr>
          <w:rFonts w:ascii="Arial" w:eastAsiaTheme="minorHAnsi" w:hAnsi="Arial" w:cs="Arial"/>
          <w:lang w:val="es-MX" w:eastAsia="en-US"/>
        </w:rPr>
      </w:pPr>
      <w:r>
        <w:rPr>
          <w:rFonts w:ascii="Arial" w:eastAsiaTheme="minorHAnsi" w:hAnsi="Arial" w:cs="Arial"/>
          <w:b/>
          <w:lang w:val="es-MX" w:eastAsia="en-US"/>
        </w:rPr>
        <w:t>4</w:t>
      </w:r>
      <w:r w:rsidRPr="009F3171">
        <w:rPr>
          <w:rFonts w:ascii="Arial" w:eastAsiaTheme="minorHAnsi" w:hAnsi="Arial" w:cs="Arial"/>
          <w:b/>
          <w:lang w:val="es-MX" w:eastAsia="en-US"/>
        </w:rPr>
        <w:t>.2. Oportunidad.</w:t>
      </w:r>
      <w:r>
        <w:rPr>
          <w:rFonts w:ascii="Arial" w:eastAsiaTheme="minorHAnsi" w:hAnsi="Arial" w:cs="Arial"/>
          <w:lang w:val="es-MX" w:eastAsia="en-US"/>
        </w:rPr>
        <w:t xml:space="preserve"> Se considera que el requisito está satisfecho porque</w:t>
      </w:r>
      <w:r w:rsidR="001C0EA5">
        <w:rPr>
          <w:rFonts w:ascii="Arial" w:eastAsiaTheme="minorHAnsi" w:hAnsi="Arial" w:cs="Arial"/>
          <w:lang w:val="es-MX" w:eastAsia="en-US"/>
        </w:rPr>
        <w:t xml:space="preserve"> la sentencia controvertida fue aprobada y publicada en los estrados de la sala regional el dos de junio del presente año. </w:t>
      </w:r>
    </w:p>
    <w:p w14:paraId="2A2F69BD" w14:textId="512B0641" w:rsidR="00A362A8" w:rsidRDefault="00A362A8" w:rsidP="001C0EA5">
      <w:pPr>
        <w:spacing w:before="240" w:after="240" w:line="360" w:lineRule="auto"/>
        <w:jc w:val="both"/>
        <w:rPr>
          <w:rFonts w:ascii="Arial" w:eastAsiaTheme="minorHAnsi" w:hAnsi="Arial" w:cs="Arial"/>
          <w:lang w:val="es-MX" w:eastAsia="en-US"/>
        </w:rPr>
      </w:pPr>
      <w:r>
        <w:rPr>
          <w:rFonts w:ascii="Arial" w:eastAsiaTheme="minorHAnsi" w:hAnsi="Arial" w:cs="Arial"/>
          <w:lang w:val="es-MX" w:eastAsia="en-US"/>
        </w:rPr>
        <w:t>Los efectos de la notificación por estrados para el recurrente se actualizaron al día siguiente</w:t>
      </w:r>
      <w:r>
        <w:rPr>
          <w:rStyle w:val="Refdenotaalpie"/>
          <w:rFonts w:ascii="Arial" w:eastAsiaTheme="minorHAnsi" w:hAnsi="Arial" w:cs="Arial"/>
          <w:lang w:val="es-MX" w:eastAsia="en-US"/>
        </w:rPr>
        <w:footnoteReference w:id="1"/>
      </w:r>
      <w:r>
        <w:rPr>
          <w:rFonts w:ascii="Arial" w:eastAsiaTheme="minorHAnsi" w:hAnsi="Arial" w:cs="Arial"/>
          <w:lang w:val="es-MX" w:eastAsia="en-US"/>
        </w:rPr>
        <w:t>, por lo que el plazo para impugnar la sentencia transcurrió del cuatro al ocho de junio, dado que no se toman cuenta los días inhábiles (sábado seis y domingo siete del mismo mes)</w:t>
      </w:r>
      <w:r w:rsidR="001D77AF">
        <w:rPr>
          <w:rFonts w:ascii="Arial" w:eastAsiaTheme="minorHAnsi" w:hAnsi="Arial" w:cs="Arial"/>
          <w:lang w:val="es-MX" w:eastAsia="en-US"/>
        </w:rPr>
        <w:t>,</w:t>
      </w:r>
      <w:r>
        <w:rPr>
          <w:rFonts w:ascii="Arial" w:eastAsiaTheme="minorHAnsi" w:hAnsi="Arial" w:cs="Arial"/>
          <w:lang w:val="es-MX" w:eastAsia="en-US"/>
        </w:rPr>
        <w:t xml:space="preserve"> ya que aún </w:t>
      </w:r>
      <w:r w:rsidR="00897590">
        <w:rPr>
          <w:rFonts w:ascii="Arial" w:eastAsiaTheme="minorHAnsi" w:hAnsi="Arial" w:cs="Arial"/>
          <w:lang w:val="es-MX" w:eastAsia="en-US"/>
        </w:rPr>
        <w:t xml:space="preserve">no </w:t>
      </w:r>
      <w:r>
        <w:rPr>
          <w:rFonts w:ascii="Arial" w:eastAsiaTheme="minorHAnsi" w:hAnsi="Arial" w:cs="Arial"/>
          <w:lang w:val="es-MX" w:eastAsia="en-US"/>
        </w:rPr>
        <w:t xml:space="preserve">da inicio el proceso electoral local respectivo. En consecuencia, </w:t>
      </w:r>
      <w:r w:rsidR="00FE3D00">
        <w:rPr>
          <w:rFonts w:ascii="Arial" w:eastAsiaTheme="minorHAnsi" w:hAnsi="Arial" w:cs="Arial"/>
          <w:lang w:val="es-MX" w:eastAsia="en-US"/>
        </w:rPr>
        <w:t xml:space="preserve">se observó </w:t>
      </w:r>
      <w:r>
        <w:rPr>
          <w:rFonts w:ascii="Arial" w:eastAsiaTheme="minorHAnsi" w:hAnsi="Arial" w:cs="Arial"/>
          <w:lang w:val="es-MX" w:eastAsia="en-US"/>
        </w:rPr>
        <w:t>el plazo de tres días</w:t>
      </w:r>
      <w:r w:rsidR="004B481D">
        <w:rPr>
          <w:rFonts w:ascii="Arial" w:eastAsiaTheme="minorHAnsi" w:hAnsi="Arial" w:cs="Arial"/>
          <w:lang w:val="es-MX" w:eastAsia="en-US"/>
        </w:rPr>
        <w:t>,</w:t>
      </w:r>
      <w:r>
        <w:rPr>
          <w:rFonts w:ascii="Arial" w:eastAsiaTheme="minorHAnsi" w:hAnsi="Arial" w:cs="Arial"/>
          <w:lang w:val="es-MX" w:eastAsia="en-US"/>
        </w:rPr>
        <w:t xml:space="preserve"> </w:t>
      </w:r>
      <w:r w:rsidR="005614DA">
        <w:rPr>
          <w:rFonts w:ascii="Arial" w:eastAsiaTheme="minorHAnsi" w:hAnsi="Arial" w:cs="Arial"/>
          <w:lang w:val="es-MX" w:eastAsia="en-US"/>
        </w:rPr>
        <w:t>pues</w:t>
      </w:r>
      <w:r>
        <w:rPr>
          <w:rFonts w:ascii="Arial" w:eastAsiaTheme="minorHAnsi" w:hAnsi="Arial" w:cs="Arial"/>
          <w:lang w:val="es-MX" w:eastAsia="en-US"/>
        </w:rPr>
        <w:t xml:space="preserve"> el recurso se interpuso el ocho de junio. </w:t>
      </w:r>
    </w:p>
    <w:p w14:paraId="77F83B3E" w14:textId="3B020022" w:rsidR="006F1150" w:rsidRDefault="002B400D" w:rsidP="002B400D">
      <w:pPr>
        <w:spacing w:before="240" w:after="240" w:line="360" w:lineRule="auto"/>
        <w:jc w:val="both"/>
        <w:rPr>
          <w:rFonts w:ascii="Arial" w:eastAsiaTheme="minorHAnsi" w:hAnsi="Arial" w:cs="Arial"/>
          <w:lang w:val="es-MX" w:eastAsia="en-US"/>
        </w:rPr>
      </w:pPr>
      <w:r>
        <w:rPr>
          <w:rFonts w:ascii="Arial" w:eastAsiaTheme="minorHAnsi" w:hAnsi="Arial" w:cs="Arial"/>
          <w:b/>
          <w:lang w:val="es-MX" w:eastAsia="en-US"/>
        </w:rPr>
        <w:t>4</w:t>
      </w:r>
      <w:r w:rsidRPr="009F3171">
        <w:rPr>
          <w:rFonts w:ascii="Arial" w:eastAsiaTheme="minorHAnsi" w:hAnsi="Arial" w:cs="Arial"/>
          <w:b/>
          <w:lang w:val="es-MX" w:eastAsia="en-US"/>
        </w:rPr>
        <w:t>.3. Legitimación</w:t>
      </w:r>
      <w:r w:rsidR="00F4676C">
        <w:rPr>
          <w:rFonts w:ascii="Arial" w:eastAsiaTheme="minorHAnsi" w:hAnsi="Arial" w:cs="Arial"/>
          <w:b/>
          <w:lang w:val="es-MX" w:eastAsia="en-US"/>
        </w:rPr>
        <w:t>,</w:t>
      </w:r>
      <w:r w:rsidR="005614DA">
        <w:rPr>
          <w:rFonts w:ascii="Arial" w:eastAsiaTheme="minorHAnsi" w:hAnsi="Arial" w:cs="Arial"/>
          <w:b/>
          <w:lang w:val="es-MX" w:eastAsia="en-US"/>
        </w:rPr>
        <w:t xml:space="preserve"> personería e interés jurídico</w:t>
      </w:r>
      <w:r w:rsidRPr="009F3171">
        <w:rPr>
          <w:rFonts w:ascii="Arial" w:eastAsiaTheme="minorHAnsi" w:hAnsi="Arial" w:cs="Arial"/>
          <w:b/>
          <w:lang w:val="es-MX" w:eastAsia="en-US"/>
        </w:rPr>
        <w:t>.</w:t>
      </w:r>
      <w:r>
        <w:rPr>
          <w:rFonts w:ascii="Arial" w:eastAsiaTheme="minorHAnsi" w:hAnsi="Arial" w:cs="Arial"/>
          <w:lang w:val="es-MX" w:eastAsia="en-US"/>
        </w:rPr>
        <w:t xml:space="preserve"> </w:t>
      </w:r>
      <w:r w:rsidR="00577C75">
        <w:rPr>
          <w:rFonts w:ascii="Arial" w:eastAsiaTheme="minorHAnsi" w:hAnsi="Arial" w:cs="Arial"/>
          <w:lang w:val="es-MX" w:eastAsia="en-US"/>
        </w:rPr>
        <w:t>A partir de una</w:t>
      </w:r>
      <w:r w:rsidR="00021421">
        <w:rPr>
          <w:rFonts w:ascii="Arial" w:eastAsiaTheme="minorHAnsi" w:hAnsi="Arial" w:cs="Arial"/>
          <w:lang w:val="es-MX" w:eastAsia="en-US"/>
        </w:rPr>
        <w:t xml:space="preserve"> interpretación </w:t>
      </w:r>
      <w:r w:rsidR="00021421">
        <w:rPr>
          <w:rFonts w:ascii="Arial" w:eastAsiaTheme="minorHAnsi" w:hAnsi="Arial" w:cs="Arial"/>
          <w:i/>
          <w:lang w:val="es-MX" w:eastAsia="en-US"/>
        </w:rPr>
        <w:t xml:space="preserve">pro actione </w:t>
      </w:r>
      <w:r w:rsidR="00577C75">
        <w:rPr>
          <w:rFonts w:ascii="Arial" w:eastAsiaTheme="minorHAnsi" w:hAnsi="Arial" w:cs="Arial"/>
          <w:lang w:val="es-MX" w:eastAsia="en-US"/>
        </w:rPr>
        <w:t>(en favor de la acción)</w:t>
      </w:r>
      <w:r w:rsidR="00021421">
        <w:rPr>
          <w:rFonts w:ascii="Arial" w:eastAsiaTheme="minorHAnsi" w:hAnsi="Arial" w:cs="Arial"/>
          <w:lang w:val="es-MX" w:eastAsia="en-US"/>
        </w:rPr>
        <w:t xml:space="preserve"> de lo</w:t>
      </w:r>
      <w:r w:rsidR="00577C75">
        <w:rPr>
          <w:rFonts w:ascii="Arial" w:eastAsiaTheme="minorHAnsi" w:hAnsi="Arial" w:cs="Arial"/>
          <w:lang w:val="es-MX" w:eastAsia="en-US"/>
        </w:rPr>
        <w:t>s</w:t>
      </w:r>
      <w:r>
        <w:rPr>
          <w:rFonts w:ascii="Arial" w:eastAsiaTheme="minorHAnsi" w:hAnsi="Arial" w:cs="Arial"/>
          <w:lang w:val="es-MX" w:eastAsia="en-US"/>
        </w:rPr>
        <w:t xml:space="preserve"> </w:t>
      </w:r>
      <w:r w:rsidR="00021421">
        <w:rPr>
          <w:rFonts w:ascii="Arial" w:eastAsiaTheme="minorHAnsi" w:hAnsi="Arial" w:cs="Arial"/>
          <w:lang w:val="es-MX" w:eastAsia="en-US"/>
        </w:rPr>
        <w:t>requisitos previstos</w:t>
      </w:r>
      <w:r w:rsidR="00F4676C">
        <w:rPr>
          <w:rFonts w:ascii="Arial" w:eastAsiaTheme="minorHAnsi" w:hAnsi="Arial" w:cs="Arial"/>
          <w:lang w:val="es-MX" w:eastAsia="en-US"/>
        </w:rPr>
        <w:t xml:space="preserve"> en l</w:t>
      </w:r>
      <w:r w:rsidR="00F4676C" w:rsidRPr="00F4676C">
        <w:rPr>
          <w:rFonts w:ascii="Arial" w:eastAsiaTheme="minorHAnsi" w:hAnsi="Arial" w:cs="Arial"/>
          <w:lang w:val="es-MX" w:eastAsia="en-US"/>
        </w:rPr>
        <w:t>os artículos 61, párrafo 1, inciso b</w:t>
      </w:r>
      <w:r w:rsidR="00E13631">
        <w:rPr>
          <w:rFonts w:ascii="Arial" w:eastAsiaTheme="minorHAnsi" w:hAnsi="Arial" w:cs="Arial"/>
          <w:lang w:val="es-MX" w:eastAsia="en-US"/>
        </w:rPr>
        <w:t>,</w:t>
      </w:r>
      <w:r w:rsidR="00F4676C" w:rsidRPr="00F4676C">
        <w:rPr>
          <w:rFonts w:ascii="Arial" w:eastAsiaTheme="minorHAnsi" w:hAnsi="Arial" w:cs="Arial"/>
          <w:lang w:val="es-MX" w:eastAsia="en-US"/>
        </w:rPr>
        <w:t xml:space="preserve"> y 65, párrafo 1, inciso c)</w:t>
      </w:r>
      <w:r w:rsidR="00F4676C">
        <w:rPr>
          <w:rFonts w:ascii="Arial" w:eastAsiaTheme="minorHAnsi" w:hAnsi="Arial" w:cs="Arial"/>
          <w:lang w:val="es-MX" w:eastAsia="en-US"/>
        </w:rPr>
        <w:t xml:space="preserve"> de la Ley de Medios</w:t>
      </w:r>
      <w:r w:rsidR="00577C75">
        <w:rPr>
          <w:rFonts w:ascii="Arial" w:eastAsiaTheme="minorHAnsi" w:hAnsi="Arial" w:cs="Arial"/>
          <w:lang w:val="es-MX" w:eastAsia="en-US"/>
        </w:rPr>
        <w:t>, se estima</w:t>
      </w:r>
      <w:r w:rsidR="00F4676C">
        <w:rPr>
          <w:rFonts w:ascii="Arial" w:eastAsiaTheme="minorHAnsi" w:hAnsi="Arial" w:cs="Arial"/>
          <w:lang w:val="es-MX" w:eastAsia="en-US"/>
        </w:rPr>
        <w:t xml:space="preserve"> </w:t>
      </w:r>
      <w:r w:rsidR="00577C75">
        <w:rPr>
          <w:rFonts w:ascii="Arial" w:eastAsiaTheme="minorHAnsi" w:hAnsi="Arial" w:cs="Arial"/>
          <w:lang w:val="es-MX" w:eastAsia="en-US"/>
        </w:rPr>
        <w:t xml:space="preserve">que los requisitos se satisfacen </w:t>
      </w:r>
      <w:r>
        <w:rPr>
          <w:rFonts w:ascii="Arial" w:eastAsiaTheme="minorHAnsi" w:hAnsi="Arial" w:cs="Arial"/>
          <w:lang w:val="es-MX" w:eastAsia="en-US"/>
        </w:rPr>
        <w:t xml:space="preserve">porque </w:t>
      </w:r>
      <w:r w:rsidR="006F1150">
        <w:rPr>
          <w:rFonts w:ascii="Arial" w:eastAsiaTheme="minorHAnsi" w:hAnsi="Arial" w:cs="Arial"/>
          <w:lang w:val="es-MX" w:eastAsia="en-US"/>
        </w:rPr>
        <w:t>MORENA acude a esta vía por conducto de sus representantes propietario y suplente acreditados ante el OPL</w:t>
      </w:r>
      <w:r w:rsidR="00956705">
        <w:rPr>
          <w:rFonts w:ascii="Arial" w:eastAsiaTheme="minorHAnsi" w:hAnsi="Arial" w:cs="Arial"/>
          <w:lang w:val="es-MX" w:eastAsia="en-US"/>
        </w:rPr>
        <w:t>E</w:t>
      </w:r>
      <w:r w:rsidR="006F1150">
        <w:rPr>
          <w:rFonts w:ascii="Arial" w:eastAsiaTheme="minorHAnsi" w:hAnsi="Arial" w:cs="Arial"/>
          <w:lang w:val="es-MX" w:eastAsia="en-US"/>
        </w:rPr>
        <w:t>.</w:t>
      </w:r>
    </w:p>
    <w:p w14:paraId="0905B396" w14:textId="56CBEBAC" w:rsidR="006F1150" w:rsidRPr="00817035" w:rsidRDefault="006F1150" w:rsidP="005614DA">
      <w:pPr>
        <w:spacing w:before="240" w:after="240" w:line="360" w:lineRule="auto"/>
        <w:jc w:val="both"/>
        <w:rPr>
          <w:rFonts w:ascii="Arial" w:eastAsiaTheme="minorHAnsi" w:hAnsi="Arial" w:cs="Arial"/>
          <w:lang w:val="es-MX" w:eastAsia="en-US"/>
        </w:rPr>
      </w:pPr>
      <w:r w:rsidRPr="00817035">
        <w:rPr>
          <w:rFonts w:ascii="Arial" w:eastAsiaTheme="minorHAnsi" w:hAnsi="Arial" w:cs="Arial"/>
          <w:lang w:val="es-MX" w:eastAsia="en-US"/>
        </w:rPr>
        <w:lastRenderedPageBreak/>
        <w:t xml:space="preserve">Si bien </w:t>
      </w:r>
      <w:r w:rsidR="005614DA" w:rsidRPr="00817035">
        <w:rPr>
          <w:rFonts w:ascii="Arial" w:eastAsiaTheme="minorHAnsi" w:hAnsi="Arial" w:cs="Arial"/>
          <w:lang w:val="es-MX" w:eastAsia="en-US"/>
        </w:rPr>
        <w:t>el recurrente no fue parte ante la sala regional, la Sala Superior ha permitido que los partidos políticos cuestionen</w:t>
      </w:r>
      <w:r w:rsidR="00F4676C" w:rsidRPr="00817035">
        <w:rPr>
          <w:rFonts w:ascii="Arial" w:eastAsiaTheme="minorHAnsi" w:hAnsi="Arial" w:cs="Arial"/>
          <w:lang w:val="es-MX" w:eastAsia="en-US"/>
        </w:rPr>
        <w:t xml:space="preserve"> </w:t>
      </w:r>
      <w:r w:rsidR="00956705">
        <w:rPr>
          <w:rFonts w:ascii="Arial" w:eastAsiaTheme="minorHAnsi" w:hAnsi="Arial" w:cs="Arial"/>
          <w:lang w:val="es-MX" w:eastAsia="en-US"/>
        </w:rPr>
        <w:t>–</w:t>
      </w:r>
      <w:r w:rsidR="00F4676C" w:rsidRPr="00817035">
        <w:rPr>
          <w:rFonts w:ascii="Arial" w:eastAsiaTheme="minorHAnsi" w:hAnsi="Arial" w:cs="Arial"/>
          <w:lang w:val="es-MX" w:eastAsia="en-US"/>
        </w:rPr>
        <w:t>a través de acciones tuitivas</w:t>
      </w:r>
      <w:r w:rsidRPr="00817035">
        <w:rPr>
          <w:rFonts w:ascii="Arial" w:eastAsiaTheme="minorHAnsi" w:hAnsi="Arial" w:cs="Arial"/>
          <w:lang w:val="es-MX" w:eastAsia="en-US"/>
        </w:rPr>
        <w:t xml:space="preserve"> de interés difusos</w:t>
      </w:r>
      <w:r w:rsidR="00956705">
        <w:rPr>
          <w:rFonts w:ascii="Arial" w:eastAsiaTheme="minorHAnsi" w:hAnsi="Arial" w:cs="Arial"/>
          <w:lang w:val="es-MX" w:eastAsia="en-US"/>
        </w:rPr>
        <w:t>–</w:t>
      </w:r>
      <w:r w:rsidR="005614DA" w:rsidRPr="00817035">
        <w:rPr>
          <w:rFonts w:ascii="Arial" w:eastAsiaTheme="minorHAnsi" w:hAnsi="Arial" w:cs="Arial"/>
          <w:lang w:val="es-MX" w:eastAsia="en-US"/>
        </w:rPr>
        <w:t xml:space="preserve"> </w:t>
      </w:r>
      <w:r w:rsidR="00F4676C" w:rsidRPr="00817035">
        <w:rPr>
          <w:rFonts w:ascii="Arial" w:eastAsiaTheme="minorHAnsi" w:hAnsi="Arial" w:cs="Arial"/>
          <w:lang w:val="es-MX" w:eastAsia="en-US"/>
        </w:rPr>
        <w:t xml:space="preserve">la regularidad constitucional de las </w:t>
      </w:r>
      <w:r w:rsidR="005614DA" w:rsidRPr="00817035">
        <w:rPr>
          <w:rFonts w:ascii="Arial" w:eastAsiaTheme="minorHAnsi" w:hAnsi="Arial" w:cs="Arial"/>
          <w:lang w:val="es-MX" w:eastAsia="en-US"/>
        </w:rPr>
        <w:t xml:space="preserve">sentencias </w:t>
      </w:r>
      <w:r w:rsidR="00F4676C" w:rsidRPr="00817035">
        <w:rPr>
          <w:rFonts w:ascii="Arial" w:eastAsiaTheme="minorHAnsi" w:hAnsi="Arial" w:cs="Arial"/>
          <w:lang w:val="es-MX" w:eastAsia="en-US"/>
        </w:rPr>
        <w:t>emitidas por</w:t>
      </w:r>
      <w:r w:rsidR="005614DA" w:rsidRPr="00817035">
        <w:rPr>
          <w:rFonts w:ascii="Arial" w:eastAsiaTheme="minorHAnsi" w:hAnsi="Arial" w:cs="Arial"/>
          <w:lang w:val="es-MX" w:eastAsia="en-US"/>
        </w:rPr>
        <w:t xml:space="preserve"> las salas regionales</w:t>
      </w:r>
      <w:r w:rsidR="00F4676C" w:rsidRPr="00817035">
        <w:rPr>
          <w:rFonts w:ascii="Arial" w:eastAsiaTheme="minorHAnsi" w:hAnsi="Arial" w:cs="Arial"/>
          <w:lang w:val="es-MX" w:eastAsia="en-US"/>
        </w:rPr>
        <w:t>.</w:t>
      </w:r>
    </w:p>
    <w:p w14:paraId="3AC730EC" w14:textId="77777777" w:rsidR="00817035" w:rsidRPr="000567B5" w:rsidRDefault="00817035" w:rsidP="00817035">
      <w:pPr>
        <w:spacing w:before="240" w:after="240" w:line="360" w:lineRule="auto"/>
        <w:jc w:val="both"/>
        <w:rPr>
          <w:rFonts w:ascii="Arial" w:eastAsiaTheme="minorHAnsi" w:hAnsi="Arial" w:cs="Arial"/>
          <w:lang w:val="es-MX" w:eastAsia="en-US"/>
        </w:rPr>
      </w:pPr>
      <w:r w:rsidRPr="000567B5">
        <w:rPr>
          <w:rFonts w:ascii="Arial" w:eastAsiaTheme="minorHAnsi" w:hAnsi="Arial" w:cs="Arial"/>
          <w:lang w:val="es-MX" w:eastAsia="en-US"/>
        </w:rPr>
        <w:t xml:space="preserve">En ese sentido, el partido político recurrente cuenta con interés para controvertir la sentencia </w:t>
      </w:r>
      <w:r w:rsidR="00956705">
        <w:rPr>
          <w:rFonts w:ascii="Arial" w:eastAsiaTheme="minorHAnsi" w:hAnsi="Arial" w:cs="Arial"/>
          <w:lang w:val="es-MX" w:eastAsia="en-US"/>
        </w:rPr>
        <w:t>que emitió</w:t>
      </w:r>
      <w:r w:rsidRPr="000567B5">
        <w:rPr>
          <w:rFonts w:ascii="Arial" w:eastAsiaTheme="minorHAnsi" w:hAnsi="Arial" w:cs="Arial"/>
          <w:lang w:val="es-MX" w:eastAsia="en-US"/>
        </w:rPr>
        <w:t xml:space="preserve"> la sala regional porque alega que </w:t>
      </w:r>
      <w:r w:rsidR="008C09EC" w:rsidRPr="000567B5">
        <w:rPr>
          <w:rFonts w:ascii="Arial" w:eastAsiaTheme="minorHAnsi" w:hAnsi="Arial" w:cs="Arial"/>
          <w:lang w:val="es-MX" w:eastAsia="en-US"/>
        </w:rPr>
        <w:t>realizó</w:t>
      </w:r>
      <w:r w:rsidRPr="000567B5">
        <w:rPr>
          <w:rFonts w:ascii="Arial" w:eastAsiaTheme="minorHAnsi" w:hAnsi="Arial" w:cs="Arial"/>
          <w:lang w:val="es-MX" w:eastAsia="en-US"/>
        </w:rPr>
        <w:t xml:space="preserve"> un análisis de constitucionalidad en abstracto que no le </w:t>
      </w:r>
      <w:r w:rsidR="008C09EC" w:rsidRPr="000567B5">
        <w:rPr>
          <w:rFonts w:ascii="Arial" w:eastAsiaTheme="minorHAnsi" w:hAnsi="Arial" w:cs="Arial"/>
          <w:lang w:val="es-MX" w:eastAsia="en-US"/>
        </w:rPr>
        <w:t>compete</w:t>
      </w:r>
      <w:r w:rsidRPr="000567B5">
        <w:rPr>
          <w:rFonts w:ascii="Arial" w:eastAsiaTheme="minorHAnsi" w:hAnsi="Arial" w:cs="Arial"/>
          <w:lang w:val="es-MX" w:eastAsia="en-US"/>
        </w:rPr>
        <w:t>, al inaplicar un decreto vinculado con la figura de la diputación migrante en la Ciudad de México</w:t>
      </w:r>
      <w:r w:rsidR="00956705">
        <w:rPr>
          <w:rFonts w:ascii="Arial" w:eastAsiaTheme="minorHAnsi" w:hAnsi="Arial" w:cs="Arial"/>
          <w:lang w:val="es-MX" w:eastAsia="en-US"/>
        </w:rPr>
        <w:t>, por lo que le</w:t>
      </w:r>
      <w:r w:rsidRPr="000567B5">
        <w:rPr>
          <w:rFonts w:ascii="Arial" w:eastAsiaTheme="minorHAnsi" w:hAnsi="Arial" w:cs="Arial"/>
          <w:lang w:val="es-MX" w:eastAsia="en-US"/>
        </w:rPr>
        <w:t xml:space="preserve"> pide a esta Sala Superior revisar su actuación. </w:t>
      </w:r>
    </w:p>
    <w:p w14:paraId="06ACA6C1" w14:textId="77777777" w:rsidR="00817035" w:rsidRPr="000567B5" w:rsidRDefault="00817035" w:rsidP="00021421">
      <w:pPr>
        <w:spacing w:before="240" w:after="240" w:line="360" w:lineRule="auto"/>
        <w:jc w:val="both"/>
        <w:rPr>
          <w:rFonts w:ascii="Arial" w:eastAsiaTheme="minorHAnsi" w:hAnsi="Arial" w:cs="Arial"/>
          <w:lang w:val="es-MX" w:eastAsia="en-US"/>
        </w:rPr>
      </w:pPr>
      <w:r w:rsidRPr="000567B5">
        <w:rPr>
          <w:rFonts w:ascii="Arial" w:eastAsiaTheme="minorHAnsi" w:hAnsi="Arial" w:cs="Arial"/>
          <w:lang w:val="es-MX" w:eastAsia="en-US"/>
        </w:rPr>
        <w:t xml:space="preserve">El surgimiento de un acto de autoridad susceptible de contravenir las </w:t>
      </w:r>
      <w:r w:rsidR="00AF53CF" w:rsidRPr="000567B5">
        <w:rPr>
          <w:rFonts w:ascii="Arial" w:eastAsiaTheme="minorHAnsi" w:hAnsi="Arial" w:cs="Arial"/>
          <w:lang w:val="es-MX" w:eastAsia="en-US"/>
        </w:rPr>
        <w:t>reglas y</w:t>
      </w:r>
      <w:r w:rsidRPr="000567B5">
        <w:rPr>
          <w:rFonts w:ascii="Arial" w:eastAsiaTheme="minorHAnsi" w:hAnsi="Arial" w:cs="Arial"/>
          <w:lang w:val="es-MX" w:eastAsia="en-US"/>
        </w:rPr>
        <w:t xml:space="preserve"> principios jurídicos constitucionales, </w:t>
      </w:r>
      <w:r w:rsidR="00956705">
        <w:rPr>
          <w:rFonts w:ascii="Arial" w:eastAsiaTheme="minorHAnsi" w:hAnsi="Arial" w:cs="Arial"/>
          <w:lang w:val="es-MX" w:eastAsia="en-US"/>
        </w:rPr>
        <w:t xml:space="preserve">le </w:t>
      </w:r>
      <w:r w:rsidRPr="000567B5">
        <w:rPr>
          <w:rFonts w:ascii="Arial" w:eastAsiaTheme="minorHAnsi" w:hAnsi="Arial" w:cs="Arial"/>
          <w:lang w:val="es-MX" w:eastAsia="en-US"/>
        </w:rPr>
        <w:t>otorga en este caso a MORENA la posibilidad de interponer el presente recurso de reconsideración con el objet</w:t>
      </w:r>
      <w:r w:rsidR="00956705">
        <w:rPr>
          <w:rFonts w:ascii="Arial" w:eastAsiaTheme="minorHAnsi" w:hAnsi="Arial" w:cs="Arial"/>
          <w:lang w:val="es-MX" w:eastAsia="en-US"/>
        </w:rPr>
        <w:t>ivo</w:t>
      </w:r>
      <w:r w:rsidRPr="000567B5">
        <w:rPr>
          <w:rFonts w:ascii="Arial" w:eastAsiaTheme="minorHAnsi" w:hAnsi="Arial" w:cs="Arial"/>
          <w:lang w:val="es-MX" w:eastAsia="en-US"/>
        </w:rPr>
        <w:t xml:space="preserve"> de analizar la sentencia dictada por la responsable</w:t>
      </w:r>
      <w:r w:rsidRPr="000567B5">
        <w:rPr>
          <w:rStyle w:val="Refdenotaalpie"/>
          <w:rFonts w:ascii="Arial" w:eastAsiaTheme="minorHAnsi" w:hAnsi="Arial" w:cs="Arial"/>
          <w:lang w:val="es-MX" w:eastAsia="en-US"/>
        </w:rPr>
        <w:footnoteReference w:id="2"/>
      </w:r>
      <w:r w:rsidRPr="000567B5">
        <w:rPr>
          <w:rFonts w:ascii="Arial" w:eastAsiaTheme="minorHAnsi" w:hAnsi="Arial" w:cs="Arial"/>
          <w:lang w:val="es-MX" w:eastAsia="en-US"/>
        </w:rPr>
        <w:t>.</w:t>
      </w:r>
    </w:p>
    <w:p w14:paraId="2885E580" w14:textId="77777777" w:rsidR="002B400D" w:rsidRDefault="002B400D" w:rsidP="002B400D">
      <w:pPr>
        <w:spacing w:before="240" w:after="240" w:line="360" w:lineRule="auto"/>
        <w:jc w:val="both"/>
        <w:rPr>
          <w:rFonts w:ascii="Arial" w:eastAsiaTheme="minorHAnsi" w:hAnsi="Arial" w:cs="Arial"/>
          <w:lang w:val="es-MX" w:eastAsia="en-US"/>
        </w:rPr>
      </w:pPr>
      <w:r>
        <w:rPr>
          <w:rFonts w:ascii="Arial" w:eastAsiaTheme="minorHAnsi" w:hAnsi="Arial" w:cs="Arial"/>
          <w:b/>
          <w:lang w:val="es-MX" w:eastAsia="en-US"/>
        </w:rPr>
        <w:t>4</w:t>
      </w:r>
      <w:r w:rsidRPr="009F3171">
        <w:rPr>
          <w:rFonts w:ascii="Arial" w:eastAsiaTheme="minorHAnsi" w:hAnsi="Arial" w:cs="Arial"/>
          <w:b/>
          <w:lang w:val="es-MX" w:eastAsia="en-US"/>
        </w:rPr>
        <w:t>.4. Definitividad.</w:t>
      </w:r>
      <w:r>
        <w:rPr>
          <w:rFonts w:ascii="Arial" w:eastAsiaTheme="minorHAnsi" w:hAnsi="Arial" w:cs="Arial"/>
          <w:lang w:val="es-MX" w:eastAsia="en-US"/>
        </w:rPr>
        <w:t xml:space="preserve"> El requisito se cumple puesto que el recurso de reconsideración es la única vía que procede para impugnar las sentencias de las salas regionales, por lo que es el medio idóneo para reparar, de ser el caso, los derechos</w:t>
      </w:r>
      <w:r w:rsidR="00577C75">
        <w:rPr>
          <w:rFonts w:ascii="Arial" w:eastAsiaTheme="minorHAnsi" w:hAnsi="Arial" w:cs="Arial"/>
          <w:lang w:val="es-MX" w:eastAsia="en-US"/>
        </w:rPr>
        <w:t xml:space="preserve"> y principios que</w:t>
      </w:r>
      <w:r>
        <w:rPr>
          <w:rFonts w:ascii="Arial" w:eastAsiaTheme="minorHAnsi" w:hAnsi="Arial" w:cs="Arial"/>
          <w:lang w:val="es-MX" w:eastAsia="en-US"/>
        </w:rPr>
        <w:t xml:space="preserve"> presuntamente </w:t>
      </w:r>
      <w:r w:rsidR="00577C75">
        <w:rPr>
          <w:rFonts w:ascii="Arial" w:eastAsiaTheme="minorHAnsi" w:hAnsi="Arial" w:cs="Arial"/>
          <w:lang w:val="es-MX" w:eastAsia="en-US"/>
        </w:rPr>
        <w:t xml:space="preserve">se han </w:t>
      </w:r>
      <w:r>
        <w:rPr>
          <w:rFonts w:ascii="Arial" w:eastAsiaTheme="minorHAnsi" w:hAnsi="Arial" w:cs="Arial"/>
          <w:lang w:val="es-MX" w:eastAsia="en-US"/>
        </w:rPr>
        <w:t>vulnerado</w:t>
      </w:r>
      <w:r w:rsidR="00577C75">
        <w:rPr>
          <w:rFonts w:ascii="Arial" w:eastAsiaTheme="minorHAnsi" w:hAnsi="Arial" w:cs="Arial"/>
          <w:lang w:val="es-MX" w:eastAsia="en-US"/>
        </w:rPr>
        <w:t>.</w:t>
      </w:r>
    </w:p>
    <w:p w14:paraId="33C2197F" w14:textId="0B5E9A2B" w:rsidR="002B400D" w:rsidRDefault="002B400D" w:rsidP="002B400D">
      <w:pPr>
        <w:spacing w:before="240" w:after="240" w:line="360" w:lineRule="auto"/>
        <w:jc w:val="both"/>
        <w:rPr>
          <w:rFonts w:ascii="Arial" w:eastAsiaTheme="minorHAnsi" w:hAnsi="Arial" w:cs="Arial"/>
          <w:lang w:val="es-MX" w:eastAsia="en-US"/>
        </w:rPr>
      </w:pPr>
      <w:r>
        <w:rPr>
          <w:rFonts w:ascii="Arial" w:eastAsiaTheme="minorHAnsi" w:hAnsi="Arial" w:cs="Arial"/>
          <w:b/>
          <w:lang w:val="es-MX" w:eastAsia="en-US"/>
        </w:rPr>
        <w:t>4</w:t>
      </w:r>
      <w:r w:rsidRPr="009F3171">
        <w:rPr>
          <w:rFonts w:ascii="Arial" w:eastAsiaTheme="minorHAnsi" w:hAnsi="Arial" w:cs="Arial"/>
          <w:b/>
          <w:lang w:val="es-MX" w:eastAsia="en-US"/>
        </w:rPr>
        <w:t>.5. Requisitos especiales.</w:t>
      </w:r>
      <w:r>
        <w:rPr>
          <w:rFonts w:ascii="Arial" w:eastAsiaTheme="minorHAnsi" w:hAnsi="Arial" w:cs="Arial"/>
          <w:lang w:val="es-MX" w:eastAsia="en-US"/>
        </w:rPr>
        <w:t xml:space="preserve"> La Sala Superior considera que también se satisfacen los requisitos especiales porque el recurrente impugna una sentencia de fondo, dictada por una sala regional, en la cual subsiste un tema de constitucionalidad</w:t>
      </w:r>
      <w:r w:rsidR="002019A2">
        <w:rPr>
          <w:rFonts w:ascii="Arial" w:eastAsiaTheme="minorHAnsi" w:hAnsi="Arial" w:cs="Arial"/>
          <w:lang w:val="es-MX" w:eastAsia="en-US"/>
        </w:rPr>
        <w:t>,</w:t>
      </w:r>
      <w:r>
        <w:rPr>
          <w:rFonts w:ascii="Arial" w:eastAsiaTheme="minorHAnsi" w:hAnsi="Arial" w:cs="Arial"/>
          <w:lang w:val="es-MX" w:eastAsia="en-US"/>
        </w:rPr>
        <w:t xml:space="preserve"> de acuerdo con las jurisprudencias </w:t>
      </w:r>
      <w:r w:rsidR="001009F1" w:rsidRPr="00A61E75">
        <w:rPr>
          <w:rFonts w:ascii="Arial" w:eastAsiaTheme="minorHAnsi" w:hAnsi="Arial" w:cs="Arial"/>
          <w:b/>
          <w:sz w:val="22"/>
          <w:lang w:val="es-MX" w:eastAsia="en-US"/>
        </w:rPr>
        <w:t>39/2009</w:t>
      </w:r>
      <w:r w:rsidR="004160C9">
        <w:rPr>
          <w:rFonts w:ascii="Arial" w:eastAsiaTheme="minorHAnsi" w:hAnsi="Arial" w:cs="Arial"/>
          <w:b/>
          <w:lang w:val="es-MX" w:eastAsia="en-US"/>
        </w:rPr>
        <w:t>,</w:t>
      </w:r>
      <w:r w:rsidR="001009F1">
        <w:rPr>
          <w:rFonts w:ascii="Arial" w:eastAsiaTheme="minorHAnsi" w:hAnsi="Arial" w:cs="Arial"/>
          <w:lang w:val="es-MX" w:eastAsia="en-US"/>
        </w:rPr>
        <w:t xml:space="preserve"> de rubro </w:t>
      </w:r>
      <w:r w:rsidR="00956705" w:rsidRPr="00956705">
        <w:rPr>
          <w:rFonts w:ascii="Arial Negrita" w:eastAsiaTheme="minorHAnsi" w:hAnsi="Arial Negrita" w:cs="Arial"/>
          <w:b/>
          <w:smallCaps/>
          <w:sz w:val="20"/>
          <w:lang w:val="es-MX" w:eastAsia="en-US"/>
        </w:rPr>
        <w:t>recurso de reconsideraci</w:t>
      </w:r>
      <w:r w:rsidR="00956705" w:rsidRPr="00956705">
        <w:rPr>
          <w:rFonts w:ascii="Arial Negrita" w:eastAsiaTheme="minorHAnsi" w:hAnsi="Arial Negrita" w:cs="Arial" w:hint="eastAsia"/>
          <w:b/>
          <w:smallCaps/>
          <w:sz w:val="20"/>
          <w:lang w:val="es-MX" w:eastAsia="en-US"/>
        </w:rPr>
        <w:t>ó</w:t>
      </w:r>
      <w:r w:rsidR="00956705" w:rsidRPr="00956705">
        <w:rPr>
          <w:rFonts w:ascii="Arial Negrita" w:eastAsiaTheme="minorHAnsi" w:hAnsi="Arial Negrita" w:cs="Arial"/>
          <w:b/>
          <w:smallCaps/>
          <w:sz w:val="20"/>
          <w:lang w:val="es-MX" w:eastAsia="en-US"/>
        </w:rPr>
        <w:t>n. procede si en la sentencia la sala regional inaplica, expresa o impl</w:t>
      </w:r>
      <w:r w:rsidR="00956705" w:rsidRPr="00956705">
        <w:rPr>
          <w:rFonts w:ascii="Arial Negrita" w:eastAsiaTheme="minorHAnsi" w:hAnsi="Arial Negrita" w:cs="Arial" w:hint="eastAsia"/>
          <w:b/>
          <w:smallCaps/>
          <w:sz w:val="20"/>
          <w:lang w:val="es-MX" w:eastAsia="en-US"/>
        </w:rPr>
        <w:t>í</w:t>
      </w:r>
      <w:r w:rsidR="00956705" w:rsidRPr="00956705">
        <w:rPr>
          <w:rFonts w:ascii="Arial Negrita" w:eastAsiaTheme="minorHAnsi" w:hAnsi="Arial Negrita" w:cs="Arial"/>
          <w:b/>
          <w:smallCaps/>
          <w:sz w:val="20"/>
          <w:lang w:val="es-MX" w:eastAsia="en-US"/>
        </w:rPr>
        <w:t xml:space="preserve">citamente, una ley electoral por considerarla </w:t>
      </w:r>
      <w:r w:rsidR="00956705" w:rsidRPr="00956705">
        <w:rPr>
          <w:rFonts w:ascii="Arial Negrita" w:eastAsiaTheme="minorHAnsi" w:hAnsi="Arial Negrita" w:cs="Arial"/>
          <w:b/>
          <w:smallCaps/>
          <w:sz w:val="20"/>
          <w:lang w:val="es-MX" w:eastAsia="en-US"/>
        </w:rPr>
        <w:lastRenderedPageBreak/>
        <w:t>inconstitucional</w:t>
      </w:r>
      <w:r w:rsidR="00956705" w:rsidRPr="00A61E75">
        <w:rPr>
          <w:rFonts w:ascii="Arial" w:eastAsiaTheme="minorHAnsi" w:hAnsi="Arial" w:cs="Arial"/>
          <w:b/>
          <w:smallCaps/>
          <w:lang w:val="es-MX" w:eastAsia="en-US"/>
        </w:rPr>
        <w:t xml:space="preserve"> </w:t>
      </w:r>
      <w:r w:rsidR="00956705" w:rsidRPr="00956705">
        <w:rPr>
          <w:rFonts w:ascii="Arial" w:eastAsiaTheme="minorHAnsi" w:hAnsi="Arial" w:cs="Arial"/>
          <w:lang w:val="es-MX" w:eastAsia="en-US"/>
        </w:rPr>
        <w:t>y</w:t>
      </w:r>
      <w:r w:rsidR="00956705" w:rsidRPr="00A61E75">
        <w:rPr>
          <w:rFonts w:ascii="Arial" w:eastAsiaTheme="minorHAnsi" w:hAnsi="Arial" w:cs="Arial"/>
          <w:b/>
          <w:smallCaps/>
          <w:lang w:val="es-MX" w:eastAsia="en-US"/>
        </w:rPr>
        <w:t xml:space="preserve"> </w:t>
      </w:r>
      <w:r w:rsidR="00956705" w:rsidRPr="00A61E75">
        <w:rPr>
          <w:rFonts w:ascii="Arial" w:eastAsiaTheme="minorHAnsi" w:hAnsi="Arial" w:cs="Arial"/>
          <w:b/>
          <w:smallCaps/>
          <w:sz w:val="22"/>
          <w:szCs w:val="22"/>
          <w:lang w:val="es-MX" w:eastAsia="en-US"/>
        </w:rPr>
        <w:t>26/2012</w:t>
      </w:r>
      <w:r w:rsidRPr="00AC5B55">
        <w:rPr>
          <w:rFonts w:ascii="Arial" w:eastAsiaTheme="minorHAnsi" w:hAnsi="Arial" w:cs="Arial"/>
          <w:lang w:val="es-MX" w:eastAsia="en-US"/>
        </w:rPr>
        <w:t>,</w:t>
      </w:r>
      <w:r>
        <w:rPr>
          <w:rFonts w:ascii="Arial" w:eastAsiaTheme="minorHAnsi" w:hAnsi="Arial" w:cs="Arial"/>
          <w:lang w:val="es-MX" w:eastAsia="en-US"/>
        </w:rPr>
        <w:t xml:space="preserve"> de</w:t>
      </w:r>
      <w:r w:rsidRPr="00AC5B55">
        <w:rPr>
          <w:rFonts w:ascii="Arial" w:eastAsiaTheme="minorHAnsi" w:hAnsi="Arial" w:cs="Arial"/>
          <w:lang w:val="es-MX" w:eastAsia="en-US"/>
        </w:rPr>
        <w:t xml:space="preserve"> rubro </w:t>
      </w:r>
      <w:r w:rsidR="00956705" w:rsidRPr="00A61E75">
        <w:rPr>
          <w:rFonts w:ascii="Arial" w:eastAsiaTheme="minorHAnsi" w:hAnsi="Arial" w:cs="Arial"/>
          <w:b/>
          <w:smallCaps/>
          <w:sz w:val="21"/>
          <w:lang w:val="es-MX" w:eastAsia="en-US"/>
        </w:rPr>
        <w:t>recurso de reconsideración. procede contra sentencias de salas regionales en las que se interpreten directamente preceptos constitucionales</w:t>
      </w:r>
      <w:r w:rsidR="001009F1">
        <w:rPr>
          <w:rFonts w:ascii="Arial" w:eastAsiaTheme="minorHAnsi" w:hAnsi="Arial" w:cs="Arial"/>
          <w:lang w:val="es-MX" w:eastAsia="en-US"/>
        </w:rPr>
        <w:t>.</w:t>
      </w:r>
      <w:r>
        <w:rPr>
          <w:rFonts w:ascii="Arial" w:eastAsiaTheme="minorHAnsi" w:hAnsi="Arial" w:cs="Arial"/>
          <w:lang w:val="es-MX" w:eastAsia="en-US"/>
        </w:rPr>
        <w:t xml:space="preserve"> </w:t>
      </w:r>
    </w:p>
    <w:p w14:paraId="3858E73E" w14:textId="77777777" w:rsidR="002B400D" w:rsidRDefault="00FF48C7" w:rsidP="002B400D">
      <w:pPr>
        <w:spacing w:before="240" w:after="240" w:line="360" w:lineRule="auto"/>
        <w:jc w:val="both"/>
        <w:rPr>
          <w:rFonts w:ascii="Arial" w:eastAsiaTheme="minorHAnsi" w:hAnsi="Arial" w:cs="Arial"/>
          <w:lang w:val="es-MX" w:eastAsia="en-US"/>
        </w:rPr>
      </w:pPr>
      <w:r>
        <w:rPr>
          <w:rFonts w:ascii="Arial" w:eastAsiaTheme="minorHAnsi" w:hAnsi="Arial" w:cs="Arial"/>
          <w:lang w:val="es-MX" w:eastAsia="en-US"/>
        </w:rPr>
        <w:t>E</w:t>
      </w:r>
      <w:r w:rsidR="00AA0E6A">
        <w:rPr>
          <w:rFonts w:ascii="Arial" w:eastAsiaTheme="minorHAnsi" w:hAnsi="Arial" w:cs="Arial"/>
          <w:lang w:val="es-MX" w:eastAsia="en-US"/>
        </w:rPr>
        <w:t xml:space="preserve">sta Sala Superior considera que el requisito específico está satisfecho, ya que la sala regional declaró </w:t>
      </w:r>
      <w:r w:rsidR="00C32558">
        <w:rPr>
          <w:rFonts w:ascii="Arial" w:eastAsiaTheme="minorHAnsi" w:hAnsi="Arial" w:cs="Arial"/>
          <w:lang w:val="es-MX" w:eastAsia="en-US"/>
        </w:rPr>
        <w:t>la invalidez de</w:t>
      </w:r>
      <w:r w:rsidR="00F22371">
        <w:rPr>
          <w:rFonts w:ascii="Arial" w:eastAsiaTheme="minorHAnsi" w:hAnsi="Arial" w:cs="Arial"/>
          <w:lang w:val="es-MX" w:eastAsia="en-US"/>
        </w:rPr>
        <w:t xml:space="preserve"> </w:t>
      </w:r>
      <w:r w:rsidR="000002DC">
        <w:rPr>
          <w:rFonts w:ascii="Arial" w:eastAsiaTheme="minorHAnsi" w:hAnsi="Arial" w:cs="Arial"/>
          <w:lang w:val="es-MX" w:eastAsia="en-US"/>
        </w:rPr>
        <w:t xml:space="preserve">una norma electoral </w:t>
      </w:r>
      <w:r w:rsidR="00D742E2">
        <w:rPr>
          <w:rFonts w:ascii="Arial" w:eastAsiaTheme="minorHAnsi" w:hAnsi="Arial" w:cs="Arial"/>
          <w:lang w:val="es-MX" w:eastAsia="en-US"/>
        </w:rPr>
        <w:t xml:space="preserve">y, en consecuencia, </w:t>
      </w:r>
      <w:r w:rsidR="00F22371">
        <w:rPr>
          <w:rFonts w:ascii="Arial" w:eastAsiaTheme="minorHAnsi" w:hAnsi="Arial" w:cs="Arial"/>
          <w:lang w:val="es-MX" w:eastAsia="en-US"/>
        </w:rPr>
        <w:t>los efectos producidos por</w:t>
      </w:r>
      <w:r w:rsidR="00AA0E6A">
        <w:rPr>
          <w:rFonts w:ascii="Arial" w:eastAsiaTheme="minorHAnsi" w:hAnsi="Arial" w:cs="Arial"/>
          <w:lang w:val="es-MX" w:eastAsia="en-US"/>
        </w:rPr>
        <w:t xml:space="preserve"> un decreto </w:t>
      </w:r>
      <w:r w:rsidR="00506AD0">
        <w:rPr>
          <w:rFonts w:ascii="Arial" w:eastAsiaTheme="minorHAnsi" w:hAnsi="Arial" w:cs="Arial"/>
          <w:lang w:val="es-MX" w:eastAsia="en-US"/>
        </w:rPr>
        <w:t xml:space="preserve">aprobado por el Congreso local </w:t>
      </w:r>
      <w:r w:rsidR="00AA0E6A">
        <w:rPr>
          <w:rFonts w:ascii="Arial" w:eastAsiaTheme="minorHAnsi" w:hAnsi="Arial" w:cs="Arial"/>
          <w:lang w:val="es-MX" w:eastAsia="en-US"/>
        </w:rPr>
        <w:t xml:space="preserve">que suprimió </w:t>
      </w:r>
      <w:r w:rsidR="00F22371">
        <w:rPr>
          <w:rFonts w:ascii="Arial" w:eastAsiaTheme="minorHAnsi" w:hAnsi="Arial" w:cs="Arial"/>
          <w:lang w:val="es-MX" w:eastAsia="en-US"/>
        </w:rPr>
        <w:t>la figura de la diputación migrante</w:t>
      </w:r>
      <w:r w:rsidR="00AA0E6A">
        <w:rPr>
          <w:rFonts w:ascii="Arial" w:eastAsiaTheme="minorHAnsi" w:hAnsi="Arial" w:cs="Arial"/>
          <w:lang w:val="es-MX" w:eastAsia="en-US"/>
        </w:rPr>
        <w:t>,</w:t>
      </w:r>
      <w:r w:rsidR="00F22371">
        <w:rPr>
          <w:rFonts w:ascii="Arial" w:eastAsiaTheme="minorHAnsi" w:hAnsi="Arial" w:cs="Arial"/>
          <w:lang w:val="es-MX" w:eastAsia="en-US"/>
        </w:rPr>
        <w:t xml:space="preserve"> </w:t>
      </w:r>
      <w:r w:rsidR="00FC504B">
        <w:rPr>
          <w:rFonts w:ascii="Arial" w:eastAsiaTheme="minorHAnsi" w:hAnsi="Arial" w:cs="Arial"/>
          <w:lang w:val="es-MX" w:eastAsia="en-US"/>
        </w:rPr>
        <w:t>al considerar que</w:t>
      </w:r>
      <w:r w:rsidR="00F22371">
        <w:rPr>
          <w:rFonts w:ascii="Arial" w:eastAsiaTheme="minorHAnsi" w:hAnsi="Arial" w:cs="Arial"/>
          <w:lang w:val="es-MX" w:eastAsia="en-US"/>
        </w:rPr>
        <w:t xml:space="preserve"> se privó de contenido a una norma en perjuicio de los derechos de votar y ser votados de una colectividad, </w:t>
      </w:r>
      <w:r w:rsidR="00FC504B">
        <w:rPr>
          <w:rFonts w:ascii="Arial" w:eastAsiaTheme="minorHAnsi" w:hAnsi="Arial" w:cs="Arial"/>
          <w:lang w:val="es-MX" w:eastAsia="en-US"/>
        </w:rPr>
        <w:t>por lo que se</w:t>
      </w:r>
      <w:r w:rsidR="00956705">
        <w:rPr>
          <w:rFonts w:ascii="Arial" w:eastAsiaTheme="minorHAnsi" w:hAnsi="Arial" w:cs="Arial"/>
          <w:lang w:val="es-MX" w:eastAsia="en-US"/>
        </w:rPr>
        <w:t xml:space="preserve"> le</w:t>
      </w:r>
      <w:r w:rsidR="00FC504B">
        <w:rPr>
          <w:rFonts w:ascii="Arial" w:eastAsiaTheme="minorHAnsi" w:hAnsi="Arial" w:cs="Arial"/>
          <w:lang w:val="es-MX" w:eastAsia="en-US"/>
        </w:rPr>
        <w:t xml:space="preserve"> ordenó al OPL</w:t>
      </w:r>
      <w:r w:rsidR="00310514">
        <w:rPr>
          <w:rFonts w:ascii="Arial" w:eastAsiaTheme="minorHAnsi" w:hAnsi="Arial" w:cs="Arial"/>
          <w:lang w:val="es-MX" w:eastAsia="en-US"/>
        </w:rPr>
        <w:t>E</w:t>
      </w:r>
      <w:r w:rsidR="00FC504B">
        <w:rPr>
          <w:rFonts w:ascii="Arial" w:eastAsiaTheme="minorHAnsi" w:hAnsi="Arial" w:cs="Arial"/>
          <w:lang w:val="es-MX" w:eastAsia="en-US"/>
        </w:rPr>
        <w:t xml:space="preserve"> </w:t>
      </w:r>
      <w:r w:rsidR="00FC504B" w:rsidRPr="00FC504B">
        <w:rPr>
          <w:rFonts w:ascii="Arial" w:eastAsiaTheme="minorHAnsi" w:hAnsi="Arial" w:cs="Arial"/>
          <w:lang w:val="es-MX" w:eastAsia="en-US"/>
        </w:rPr>
        <w:t>proveer lo necesario para consolidar la diputación migrante para el proceso electoral 2020-2021</w:t>
      </w:r>
      <w:r w:rsidR="00FC504B">
        <w:rPr>
          <w:rFonts w:ascii="Arial" w:eastAsiaTheme="minorHAnsi" w:hAnsi="Arial" w:cs="Arial"/>
          <w:lang w:val="es-MX" w:eastAsia="en-US"/>
        </w:rPr>
        <w:t xml:space="preserve">, </w:t>
      </w:r>
      <w:r w:rsidR="00FC504B" w:rsidRPr="00FC504B">
        <w:rPr>
          <w:rFonts w:ascii="Arial" w:eastAsiaTheme="minorHAnsi" w:hAnsi="Arial" w:cs="Arial"/>
          <w:lang w:val="es-MX" w:eastAsia="en-US"/>
        </w:rPr>
        <w:t xml:space="preserve">en razón de que esa figura encuentra sustento en lo dispuesto en </w:t>
      </w:r>
      <w:r w:rsidR="00CF52C4">
        <w:rPr>
          <w:rFonts w:ascii="Arial" w:eastAsiaTheme="minorHAnsi" w:hAnsi="Arial" w:cs="Arial"/>
          <w:lang w:val="es-MX" w:eastAsia="en-US"/>
        </w:rPr>
        <w:t>los</w:t>
      </w:r>
      <w:r w:rsidR="00FC504B" w:rsidRPr="00FC504B">
        <w:rPr>
          <w:rFonts w:ascii="Arial" w:eastAsiaTheme="minorHAnsi" w:hAnsi="Arial" w:cs="Arial"/>
          <w:lang w:val="es-MX" w:eastAsia="en-US"/>
        </w:rPr>
        <w:t xml:space="preserve"> artículo</w:t>
      </w:r>
      <w:r w:rsidR="00CF52C4">
        <w:rPr>
          <w:rFonts w:ascii="Arial" w:eastAsiaTheme="minorHAnsi" w:hAnsi="Arial" w:cs="Arial"/>
          <w:lang w:val="es-MX" w:eastAsia="en-US"/>
        </w:rPr>
        <w:t>s</w:t>
      </w:r>
      <w:r w:rsidR="00FC504B" w:rsidRPr="00FC504B">
        <w:rPr>
          <w:rFonts w:ascii="Arial" w:eastAsiaTheme="minorHAnsi" w:hAnsi="Arial" w:cs="Arial"/>
          <w:lang w:val="es-MX" w:eastAsia="en-US"/>
        </w:rPr>
        <w:t xml:space="preserve"> 7</w:t>
      </w:r>
      <w:r w:rsidR="00956705">
        <w:rPr>
          <w:rFonts w:ascii="Arial" w:eastAsiaTheme="minorHAnsi" w:hAnsi="Arial" w:cs="Arial"/>
          <w:lang w:val="es-MX" w:eastAsia="en-US"/>
        </w:rPr>
        <w:t xml:space="preserve">. </w:t>
      </w:r>
      <w:r w:rsidR="00FC504B" w:rsidRPr="00FC504B">
        <w:rPr>
          <w:rFonts w:ascii="Arial" w:eastAsiaTheme="minorHAnsi" w:hAnsi="Arial" w:cs="Arial"/>
          <w:lang w:val="es-MX" w:eastAsia="en-US"/>
        </w:rPr>
        <w:t>°, inciso F)</w:t>
      </w:r>
      <w:r w:rsidR="004E4786">
        <w:rPr>
          <w:rFonts w:ascii="Arial" w:eastAsiaTheme="minorHAnsi" w:hAnsi="Arial" w:cs="Arial"/>
          <w:lang w:val="es-MX" w:eastAsia="en-US"/>
        </w:rPr>
        <w:t>,</w:t>
      </w:r>
      <w:r w:rsidR="00FC504B" w:rsidRPr="00FC504B">
        <w:rPr>
          <w:rFonts w:ascii="Arial" w:eastAsiaTheme="minorHAnsi" w:hAnsi="Arial" w:cs="Arial"/>
          <w:lang w:val="es-MX" w:eastAsia="en-US"/>
        </w:rPr>
        <w:t xml:space="preserve"> de la Constitución local, así como, 35, fracciones I y II, de la Constitución Política de los Estados Unidos Mexicanos y 23 de la Convención Americana sobre Derechos Humanos.</w:t>
      </w:r>
    </w:p>
    <w:p w14:paraId="73567DF5" w14:textId="77777777" w:rsidR="00B034CA" w:rsidRDefault="00CF52C4" w:rsidP="002B400D">
      <w:pPr>
        <w:spacing w:before="240" w:after="240" w:line="360" w:lineRule="auto"/>
        <w:jc w:val="both"/>
        <w:rPr>
          <w:rFonts w:ascii="Arial" w:eastAsiaTheme="minorHAnsi" w:hAnsi="Arial" w:cs="Arial"/>
          <w:lang w:val="es-MX" w:eastAsia="en-US"/>
        </w:rPr>
      </w:pPr>
      <w:r>
        <w:rPr>
          <w:rFonts w:ascii="Arial" w:eastAsiaTheme="minorHAnsi" w:hAnsi="Arial" w:cs="Arial"/>
          <w:lang w:val="es-MX" w:eastAsia="en-US"/>
        </w:rPr>
        <w:t>De igual forma</w:t>
      </w:r>
      <w:r w:rsidR="00AA0E6A">
        <w:rPr>
          <w:rFonts w:ascii="Arial" w:eastAsiaTheme="minorHAnsi" w:hAnsi="Arial" w:cs="Arial"/>
          <w:lang w:val="es-MX" w:eastAsia="en-US"/>
        </w:rPr>
        <w:t>, esta</w:t>
      </w:r>
      <w:r w:rsidR="002B400D">
        <w:rPr>
          <w:rFonts w:ascii="Arial" w:eastAsiaTheme="minorHAnsi" w:hAnsi="Arial" w:cs="Arial"/>
          <w:lang w:val="es-MX" w:eastAsia="en-US"/>
        </w:rPr>
        <w:t xml:space="preserve"> Sala Superior advierte que la sala regional</w:t>
      </w:r>
      <w:r w:rsidR="00FC504B">
        <w:rPr>
          <w:rFonts w:ascii="Arial" w:eastAsiaTheme="minorHAnsi" w:hAnsi="Arial" w:cs="Arial"/>
          <w:lang w:val="es-MX" w:eastAsia="en-US"/>
        </w:rPr>
        <w:t xml:space="preserve"> también</w:t>
      </w:r>
      <w:r w:rsidR="002B400D">
        <w:rPr>
          <w:rFonts w:ascii="Arial" w:eastAsiaTheme="minorHAnsi" w:hAnsi="Arial" w:cs="Arial"/>
          <w:lang w:val="es-MX" w:eastAsia="en-US"/>
        </w:rPr>
        <w:t xml:space="preserve"> </w:t>
      </w:r>
      <w:r w:rsidR="002B400D" w:rsidRPr="00B00220">
        <w:rPr>
          <w:rFonts w:ascii="Arial" w:eastAsiaTheme="minorHAnsi" w:hAnsi="Arial" w:cs="Arial"/>
          <w:lang w:val="es-MX" w:eastAsia="en-US"/>
        </w:rPr>
        <w:t>realizó una interpretación</w:t>
      </w:r>
      <w:r w:rsidR="002B400D">
        <w:rPr>
          <w:rFonts w:ascii="Arial" w:eastAsiaTheme="minorHAnsi" w:hAnsi="Arial" w:cs="Arial"/>
          <w:lang w:val="es-MX" w:eastAsia="en-US"/>
        </w:rPr>
        <w:t xml:space="preserve"> directa </w:t>
      </w:r>
      <w:r>
        <w:rPr>
          <w:rFonts w:ascii="Arial" w:eastAsiaTheme="minorHAnsi" w:hAnsi="Arial" w:cs="Arial"/>
          <w:lang w:val="es-MX" w:eastAsia="en-US"/>
        </w:rPr>
        <w:t xml:space="preserve">de diversos preceptos constitucionales </w:t>
      </w:r>
      <w:r w:rsidR="002B400D">
        <w:rPr>
          <w:rFonts w:ascii="Arial" w:eastAsiaTheme="minorHAnsi" w:hAnsi="Arial" w:cs="Arial"/>
          <w:lang w:val="es-MX" w:eastAsia="en-US"/>
        </w:rPr>
        <w:t xml:space="preserve">en torno al alcance </w:t>
      </w:r>
      <w:r w:rsidR="00FC504B">
        <w:rPr>
          <w:rFonts w:ascii="Arial" w:eastAsiaTheme="minorHAnsi" w:hAnsi="Arial" w:cs="Arial"/>
          <w:lang w:val="es-MX" w:eastAsia="en-US"/>
        </w:rPr>
        <w:t>del principio de progresividad</w:t>
      </w:r>
      <w:r w:rsidR="00FC504B" w:rsidRPr="00B00220">
        <w:rPr>
          <w:rFonts w:ascii="Arial" w:eastAsiaTheme="minorHAnsi" w:hAnsi="Arial" w:cs="Arial"/>
          <w:lang w:val="es-MX" w:eastAsia="en-US"/>
        </w:rPr>
        <w:t xml:space="preserve"> </w:t>
      </w:r>
      <w:r>
        <w:rPr>
          <w:rFonts w:ascii="Arial" w:eastAsiaTheme="minorHAnsi" w:hAnsi="Arial" w:cs="Arial"/>
          <w:lang w:val="es-MX" w:eastAsia="en-US"/>
        </w:rPr>
        <w:t>(artículo 1</w:t>
      </w:r>
      <w:r w:rsidR="00956705">
        <w:rPr>
          <w:rFonts w:ascii="Arial" w:eastAsiaTheme="minorHAnsi" w:hAnsi="Arial" w:cs="Arial"/>
          <w:lang w:val="es-MX" w:eastAsia="en-US"/>
        </w:rPr>
        <w:t xml:space="preserve">. </w:t>
      </w:r>
      <w:r>
        <w:rPr>
          <w:rFonts w:ascii="Arial" w:eastAsiaTheme="minorHAnsi" w:hAnsi="Arial" w:cs="Arial"/>
          <w:lang w:val="es-MX" w:eastAsia="en-US"/>
        </w:rPr>
        <w:t>°), en relación con el</w:t>
      </w:r>
      <w:r w:rsidR="00AA0E6A">
        <w:rPr>
          <w:rFonts w:ascii="Arial" w:eastAsiaTheme="minorHAnsi" w:hAnsi="Arial" w:cs="Arial"/>
          <w:lang w:val="es-MX" w:eastAsia="en-US"/>
        </w:rPr>
        <w:t xml:space="preserve"> derecho de votar y ser votados de un grupo </w:t>
      </w:r>
      <w:r w:rsidR="00D21868">
        <w:rPr>
          <w:rFonts w:ascii="Arial" w:eastAsiaTheme="minorHAnsi" w:hAnsi="Arial" w:cs="Arial"/>
          <w:lang w:val="es-MX" w:eastAsia="en-US"/>
        </w:rPr>
        <w:t xml:space="preserve">subrepresentado o </w:t>
      </w:r>
      <w:r w:rsidR="00AA0E6A">
        <w:rPr>
          <w:rFonts w:ascii="Arial" w:eastAsiaTheme="minorHAnsi" w:hAnsi="Arial" w:cs="Arial"/>
          <w:lang w:val="es-MX" w:eastAsia="en-US"/>
        </w:rPr>
        <w:t>minoritario</w:t>
      </w:r>
      <w:r>
        <w:rPr>
          <w:rFonts w:ascii="Arial" w:eastAsiaTheme="minorHAnsi" w:hAnsi="Arial" w:cs="Arial"/>
          <w:lang w:val="es-MX" w:eastAsia="en-US"/>
        </w:rPr>
        <w:t xml:space="preserve"> (artículo 35</w:t>
      </w:r>
      <w:r w:rsidR="00AA0E6A">
        <w:rPr>
          <w:rFonts w:ascii="Arial" w:eastAsiaTheme="minorHAnsi" w:hAnsi="Arial" w:cs="Arial"/>
          <w:lang w:val="es-MX" w:eastAsia="en-US"/>
        </w:rPr>
        <w:t>,</w:t>
      </w:r>
      <w:r>
        <w:rPr>
          <w:rFonts w:ascii="Arial" w:eastAsiaTheme="minorHAnsi" w:hAnsi="Arial" w:cs="Arial"/>
          <w:lang w:val="es-MX" w:eastAsia="en-US"/>
        </w:rPr>
        <w:t xml:space="preserve"> fracciones I y II)</w:t>
      </w:r>
      <w:r w:rsidR="002B400D">
        <w:rPr>
          <w:rFonts w:ascii="Arial" w:eastAsiaTheme="minorHAnsi" w:hAnsi="Arial" w:cs="Arial"/>
          <w:lang w:val="es-MX" w:eastAsia="en-US"/>
        </w:rPr>
        <w:t>,</w:t>
      </w:r>
      <w:r w:rsidR="002B400D" w:rsidRPr="00B00220">
        <w:rPr>
          <w:rFonts w:ascii="Arial" w:eastAsiaTheme="minorHAnsi" w:hAnsi="Arial" w:cs="Arial"/>
          <w:lang w:val="es-MX" w:eastAsia="en-US"/>
        </w:rPr>
        <w:t xml:space="preserve"> </w:t>
      </w:r>
      <w:r w:rsidR="002B400D">
        <w:rPr>
          <w:rFonts w:ascii="Arial" w:eastAsiaTheme="minorHAnsi" w:hAnsi="Arial" w:cs="Arial"/>
          <w:lang w:val="es-MX" w:eastAsia="en-US"/>
        </w:rPr>
        <w:t>al determinar qu</w:t>
      </w:r>
      <w:r w:rsidR="00F22371">
        <w:rPr>
          <w:rFonts w:ascii="Arial" w:eastAsiaTheme="minorHAnsi" w:hAnsi="Arial" w:cs="Arial"/>
          <w:lang w:val="es-MX" w:eastAsia="en-US"/>
        </w:rPr>
        <w:t xml:space="preserve">e el decreto eliminó la figura de la diputación migrante </w:t>
      </w:r>
      <w:r w:rsidR="00FC504B">
        <w:rPr>
          <w:rFonts w:ascii="Arial" w:eastAsiaTheme="minorHAnsi" w:hAnsi="Arial" w:cs="Arial"/>
          <w:lang w:val="es-MX" w:eastAsia="en-US"/>
        </w:rPr>
        <w:t>a pesar de que ya</w:t>
      </w:r>
      <w:r w:rsidR="00F22371">
        <w:rPr>
          <w:rFonts w:ascii="Arial" w:eastAsiaTheme="minorHAnsi" w:hAnsi="Arial" w:cs="Arial"/>
          <w:lang w:val="es-MX" w:eastAsia="en-US"/>
        </w:rPr>
        <w:t xml:space="preserve"> se había reconocido</w:t>
      </w:r>
      <w:r w:rsidR="00FC504B">
        <w:rPr>
          <w:rFonts w:ascii="Arial" w:eastAsiaTheme="minorHAnsi" w:hAnsi="Arial" w:cs="Arial"/>
          <w:lang w:val="es-MX" w:eastAsia="en-US"/>
        </w:rPr>
        <w:t xml:space="preserve"> en</w:t>
      </w:r>
      <w:r>
        <w:rPr>
          <w:rFonts w:ascii="Arial" w:eastAsiaTheme="minorHAnsi" w:hAnsi="Arial" w:cs="Arial"/>
          <w:lang w:val="es-MX" w:eastAsia="en-US"/>
        </w:rPr>
        <w:t xml:space="preserve"> la normativa local y se dispuso expresamente,</w:t>
      </w:r>
      <w:r w:rsidR="00FC504B">
        <w:rPr>
          <w:rFonts w:ascii="Arial" w:eastAsiaTheme="minorHAnsi" w:hAnsi="Arial" w:cs="Arial"/>
          <w:lang w:val="es-MX" w:eastAsia="en-US"/>
        </w:rPr>
        <w:t xml:space="preserve"> </w:t>
      </w:r>
      <w:r>
        <w:rPr>
          <w:rFonts w:ascii="Arial" w:eastAsiaTheme="minorHAnsi" w:hAnsi="Arial" w:cs="Arial"/>
          <w:lang w:val="es-MX" w:eastAsia="en-US"/>
        </w:rPr>
        <w:t xml:space="preserve">en </w:t>
      </w:r>
      <w:r w:rsidR="00FC504B">
        <w:rPr>
          <w:rFonts w:ascii="Arial" w:eastAsiaTheme="minorHAnsi" w:hAnsi="Arial" w:cs="Arial"/>
          <w:lang w:val="es-MX" w:eastAsia="en-US"/>
        </w:rPr>
        <w:t>un transitorio, que su</w:t>
      </w:r>
      <w:r w:rsidR="00F22371">
        <w:rPr>
          <w:rFonts w:ascii="Arial" w:eastAsiaTheme="minorHAnsi" w:hAnsi="Arial" w:cs="Arial"/>
          <w:lang w:val="es-MX" w:eastAsia="en-US"/>
        </w:rPr>
        <w:t xml:space="preserve"> aplicación </w:t>
      </w:r>
      <w:r w:rsidR="00FC504B">
        <w:rPr>
          <w:rFonts w:ascii="Arial" w:eastAsiaTheme="minorHAnsi" w:hAnsi="Arial" w:cs="Arial"/>
          <w:lang w:val="es-MX" w:eastAsia="en-US"/>
        </w:rPr>
        <w:t>tendría lugar en</w:t>
      </w:r>
      <w:r w:rsidR="00F22371">
        <w:rPr>
          <w:rFonts w:ascii="Arial" w:eastAsiaTheme="minorHAnsi" w:hAnsi="Arial" w:cs="Arial"/>
          <w:lang w:val="es-MX" w:eastAsia="en-US"/>
        </w:rPr>
        <w:t xml:space="preserve"> el proceso electoral local 2020-2021.</w:t>
      </w:r>
    </w:p>
    <w:p w14:paraId="0846112D" w14:textId="77777777" w:rsidR="00B034CA" w:rsidRDefault="00B034CA" w:rsidP="002B400D">
      <w:pPr>
        <w:spacing w:before="240" w:after="240" w:line="360" w:lineRule="auto"/>
        <w:jc w:val="both"/>
        <w:rPr>
          <w:rFonts w:ascii="Arial" w:eastAsiaTheme="minorHAnsi" w:hAnsi="Arial" w:cs="Arial"/>
          <w:lang w:val="es-MX" w:eastAsia="en-US"/>
        </w:rPr>
      </w:pPr>
    </w:p>
    <w:p w14:paraId="45AC01A7" w14:textId="030DA126" w:rsidR="002B400D" w:rsidRDefault="002B400D" w:rsidP="002B400D">
      <w:pPr>
        <w:spacing w:before="240" w:after="240" w:line="360" w:lineRule="auto"/>
        <w:jc w:val="both"/>
        <w:rPr>
          <w:rFonts w:ascii="Arial" w:eastAsiaTheme="minorHAnsi" w:hAnsi="Arial" w:cs="Arial"/>
          <w:lang w:val="es-MX" w:eastAsia="en-US"/>
        </w:rPr>
      </w:pPr>
    </w:p>
    <w:p w14:paraId="72C82C1F" w14:textId="77777777" w:rsidR="007066D9" w:rsidRDefault="00FC504B" w:rsidP="002B400D">
      <w:pPr>
        <w:spacing w:before="240" w:after="240" w:line="360" w:lineRule="auto"/>
        <w:jc w:val="both"/>
        <w:rPr>
          <w:rFonts w:ascii="Arial" w:eastAsiaTheme="minorHAnsi" w:hAnsi="Arial" w:cs="Arial"/>
          <w:b/>
          <w:lang w:val="es-MX" w:eastAsia="en-US"/>
        </w:rPr>
      </w:pPr>
      <w:r w:rsidRPr="00FC504B">
        <w:rPr>
          <w:rFonts w:ascii="Arial" w:eastAsiaTheme="minorHAnsi" w:hAnsi="Arial" w:cs="Arial"/>
          <w:b/>
          <w:lang w:val="es-MX" w:eastAsia="en-US"/>
        </w:rPr>
        <w:t xml:space="preserve">4.6. </w:t>
      </w:r>
      <w:r w:rsidR="00F861CB">
        <w:rPr>
          <w:rFonts w:ascii="Arial" w:eastAsiaTheme="minorHAnsi" w:hAnsi="Arial" w:cs="Arial"/>
          <w:b/>
          <w:lang w:val="es-MX" w:eastAsia="en-US"/>
        </w:rPr>
        <w:t>Procedencia de los escritos</w:t>
      </w:r>
      <w:r w:rsidR="007066D9">
        <w:rPr>
          <w:rFonts w:ascii="Arial" w:eastAsiaTheme="minorHAnsi" w:hAnsi="Arial" w:cs="Arial"/>
          <w:b/>
          <w:lang w:val="es-MX" w:eastAsia="en-US"/>
        </w:rPr>
        <w:t xml:space="preserve"> de terceros interesados </w:t>
      </w:r>
    </w:p>
    <w:p w14:paraId="045193E8" w14:textId="77777777" w:rsidR="00910446" w:rsidRDefault="003D2993" w:rsidP="002B400D">
      <w:pPr>
        <w:spacing w:before="240" w:after="240" w:line="360" w:lineRule="auto"/>
        <w:jc w:val="both"/>
        <w:rPr>
          <w:rFonts w:ascii="Arial" w:eastAsiaTheme="minorHAnsi" w:hAnsi="Arial" w:cs="Arial"/>
          <w:lang w:val="es-MX" w:eastAsia="en-US"/>
        </w:rPr>
      </w:pPr>
      <w:r>
        <w:rPr>
          <w:rFonts w:ascii="Arial" w:eastAsiaTheme="minorHAnsi" w:hAnsi="Arial" w:cs="Arial"/>
          <w:lang w:val="es-MX" w:eastAsia="en-US"/>
        </w:rPr>
        <w:lastRenderedPageBreak/>
        <w:t>Esta Sala Superior</w:t>
      </w:r>
      <w:r w:rsidR="00F861CB">
        <w:rPr>
          <w:rFonts w:ascii="Arial" w:eastAsiaTheme="minorHAnsi" w:hAnsi="Arial" w:cs="Arial"/>
          <w:lang w:val="es-MX" w:eastAsia="en-US"/>
        </w:rPr>
        <w:t xml:space="preserve"> estima que</w:t>
      </w:r>
      <w:r>
        <w:rPr>
          <w:rFonts w:ascii="Arial" w:eastAsiaTheme="minorHAnsi" w:hAnsi="Arial" w:cs="Arial"/>
          <w:lang w:val="es-MX" w:eastAsia="en-US"/>
        </w:rPr>
        <w:t xml:space="preserve"> </w:t>
      </w:r>
      <w:r w:rsidR="00F861CB">
        <w:rPr>
          <w:rFonts w:ascii="Arial" w:eastAsiaTheme="minorHAnsi" w:hAnsi="Arial" w:cs="Arial"/>
          <w:lang w:val="es-MX" w:eastAsia="en-US"/>
        </w:rPr>
        <w:t>la admisión de los dos escritos presentados para comparecer en calidad de terceros interesados, por parte de Juan Carlos Guerrero Anaya y Diana Reyes Ángeles</w:t>
      </w:r>
      <w:r w:rsidR="00956705">
        <w:rPr>
          <w:rFonts w:ascii="Arial" w:eastAsiaTheme="minorHAnsi" w:hAnsi="Arial" w:cs="Arial"/>
          <w:lang w:val="es-MX" w:eastAsia="en-US"/>
        </w:rPr>
        <w:t>,</w:t>
      </w:r>
      <w:r w:rsidR="00956705" w:rsidRPr="00956705">
        <w:rPr>
          <w:rFonts w:ascii="Arial" w:eastAsiaTheme="minorHAnsi" w:hAnsi="Arial" w:cs="Arial"/>
          <w:lang w:val="es-MX" w:eastAsia="en-US"/>
        </w:rPr>
        <w:t xml:space="preserve"> </w:t>
      </w:r>
      <w:r w:rsidR="00956705">
        <w:rPr>
          <w:rFonts w:ascii="Arial" w:eastAsiaTheme="minorHAnsi" w:hAnsi="Arial" w:cs="Arial"/>
          <w:lang w:val="es-MX" w:eastAsia="en-US"/>
        </w:rPr>
        <w:t>es procedente,</w:t>
      </w:r>
      <w:r w:rsidR="00F861CB">
        <w:rPr>
          <w:rFonts w:ascii="Arial" w:eastAsiaTheme="minorHAnsi" w:hAnsi="Arial" w:cs="Arial"/>
          <w:lang w:val="es-MX" w:eastAsia="en-US"/>
        </w:rPr>
        <w:t xml:space="preserve"> puesto que ambos se presentaron dentro del plazo de cuarenta y ocho horas</w:t>
      </w:r>
      <w:r w:rsidR="00910446">
        <w:rPr>
          <w:rStyle w:val="Refdenotaalpie"/>
          <w:rFonts w:ascii="Arial" w:eastAsiaTheme="minorHAnsi" w:hAnsi="Arial" w:cs="Arial"/>
          <w:lang w:val="es-MX" w:eastAsia="en-US"/>
        </w:rPr>
        <w:footnoteReference w:id="3"/>
      </w:r>
      <w:r w:rsidR="00F861CB">
        <w:rPr>
          <w:rFonts w:ascii="Arial" w:eastAsiaTheme="minorHAnsi" w:hAnsi="Arial" w:cs="Arial"/>
          <w:lang w:val="es-MX" w:eastAsia="en-US"/>
        </w:rPr>
        <w:t xml:space="preserve"> previsto</w:t>
      </w:r>
      <w:r w:rsidR="00910446">
        <w:rPr>
          <w:rFonts w:ascii="Arial" w:eastAsiaTheme="minorHAnsi" w:hAnsi="Arial" w:cs="Arial"/>
          <w:lang w:val="es-MX" w:eastAsia="en-US"/>
        </w:rPr>
        <w:t xml:space="preserve"> en el artículo 67 de la Ley de Medios y manifiestan tener un interés incompatible con el del recurrente.</w:t>
      </w:r>
    </w:p>
    <w:p w14:paraId="48A3DB76" w14:textId="77777777" w:rsidR="007066D9" w:rsidRDefault="00910446" w:rsidP="002B400D">
      <w:pPr>
        <w:spacing w:before="240" w:after="240" w:line="360" w:lineRule="auto"/>
        <w:jc w:val="both"/>
        <w:rPr>
          <w:rFonts w:ascii="Arial" w:eastAsiaTheme="minorHAnsi" w:hAnsi="Arial" w:cs="Arial"/>
          <w:lang w:val="es-MX" w:eastAsia="en-US"/>
        </w:rPr>
      </w:pPr>
      <w:r>
        <w:rPr>
          <w:rFonts w:ascii="Arial" w:eastAsiaTheme="minorHAnsi" w:hAnsi="Arial" w:cs="Arial"/>
          <w:lang w:val="es-MX" w:eastAsia="en-US"/>
        </w:rPr>
        <w:t xml:space="preserve">Los terceros interesados se ostentan como ciudadanos originarios de la Cuidad de México y expresan que en la sentencia controvertida se resolvió garantizar debidamente sus derechos político-electorales de votar y ser votado respecto de la figura de la diputación migrante, por lo que su interés reside en que subsista tal decisión. </w:t>
      </w:r>
    </w:p>
    <w:p w14:paraId="51270FD7" w14:textId="77777777" w:rsidR="00FF1492" w:rsidRDefault="00FF1492" w:rsidP="002B400D">
      <w:pPr>
        <w:spacing w:before="240" w:after="240" w:line="360" w:lineRule="auto"/>
        <w:jc w:val="both"/>
        <w:rPr>
          <w:rFonts w:ascii="Arial" w:eastAsiaTheme="minorHAnsi" w:hAnsi="Arial" w:cs="Arial"/>
          <w:lang w:val="es-MX" w:eastAsia="en-US"/>
        </w:rPr>
      </w:pPr>
      <w:r>
        <w:rPr>
          <w:rFonts w:ascii="Arial" w:eastAsiaTheme="minorHAnsi" w:hAnsi="Arial" w:cs="Arial"/>
          <w:lang w:val="es-MX" w:eastAsia="en-US"/>
        </w:rPr>
        <w:t>Del escrito presentado por Juan Carlos Guerrero Anaya ante la responsable, se</w:t>
      </w:r>
      <w:r w:rsidRPr="00FF1492">
        <w:rPr>
          <w:rFonts w:ascii="Arial" w:eastAsiaTheme="minorHAnsi" w:hAnsi="Arial" w:cs="Arial"/>
          <w:lang w:val="es-MX" w:eastAsia="en-US"/>
        </w:rPr>
        <w:t xml:space="preserve"> hace constar el nombre y firma autógrafa de</w:t>
      </w:r>
      <w:r>
        <w:rPr>
          <w:rFonts w:ascii="Arial" w:eastAsiaTheme="minorHAnsi" w:hAnsi="Arial" w:cs="Arial"/>
          <w:lang w:val="es-MX" w:eastAsia="en-US"/>
        </w:rPr>
        <w:t>l</w:t>
      </w:r>
      <w:r w:rsidRPr="00FF1492">
        <w:rPr>
          <w:rFonts w:ascii="Arial" w:eastAsiaTheme="minorHAnsi" w:hAnsi="Arial" w:cs="Arial"/>
          <w:lang w:val="es-MX" w:eastAsia="en-US"/>
        </w:rPr>
        <w:t xml:space="preserve"> compareciente,</w:t>
      </w:r>
      <w:r>
        <w:rPr>
          <w:rFonts w:ascii="Arial" w:eastAsiaTheme="minorHAnsi" w:hAnsi="Arial" w:cs="Arial"/>
          <w:lang w:val="es-MX" w:eastAsia="en-US"/>
        </w:rPr>
        <w:t xml:space="preserve"> por lo que es innecesario hacer un pronunciamiento en torno al escrito idéntico presentado electrónicamente por él mismo. </w:t>
      </w:r>
    </w:p>
    <w:p w14:paraId="62977A01" w14:textId="0A134B42" w:rsidR="00EC3E41" w:rsidRDefault="00FF1492" w:rsidP="002B400D">
      <w:pPr>
        <w:spacing w:before="240" w:after="240" w:line="360" w:lineRule="auto"/>
        <w:jc w:val="both"/>
        <w:rPr>
          <w:rFonts w:ascii="Arial" w:eastAsiaTheme="minorHAnsi" w:hAnsi="Arial" w:cs="Arial"/>
          <w:lang w:val="es-MX" w:eastAsia="en-US"/>
        </w:rPr>
      </w:pPr>
      <w:r>
        <w:rPr>
          <w:rFonts w:ascii="Arial" w:eastAsiaTheme="minorHAnsi" w:hAnsi="Arial" w:cs="Arial"/>
          <w:lang w:val="es-MX" w:eastAsia="en-US"/>
        </w:rPr>
        <w:t xml:space="preserve">En relación con el escrito de </w:t>
      </w:r>
      <w:bookmarkStart w:id="9" w:name="_Hlk44625618"/>
      <w:r w:rsidRPr="00FF1492">
        <w:rPr>
          <w:rFonts w:ascii="Arial" w:eastAsiaTheme="minorHAnsi" w:hAnsi="Arial" w:cs="Arial"/>
          <w:lang w:val="es-MX" w:eastAsia="en-US"/>
        </w:rPr>
        <w:t>Diana Reyes Ángeles</w:t>
      </w:r>
      <w:bookmarkEnd w:id="9"/>
      <w:r>
        <w:rPr>
          <w:rFonts w:ascii="Arial" w:eastAsiaTheme="minorHAnsi" w:hAnsi="Arial" w:cs="Arial"/>
          <w:lang w:val="es-MX" w:eastAsia="en-US"/>
        </w:rPr>
        <w:t>, si bien en autos existe únicamente constancia de su env</w:t>
      </w:r>
      <w:r w:rsidR="00CF52C4">
        <w:rPr>
          <w:rFonts w:ascii="Arial" w:eastAsiaTheme="minorHAnsi" w:hAnsi="Arial" w:cs="Arial"/>
          <w:lang w:val="es-MX" w:eastAsia="en-US"/>
        </w:rPr>
        <w:t>ío</w:t>
      </w:r>
      <w:r>
        <w:rPr>
          <w:rFonts w:ascii="Arial" w:eastAsiaTheme="minorHAnsi" w:hAnsi="Arial" w:cs="Arial"/>
          <w:lang w:val="es-MX" w:eastAsia="en-US"/>
        </w:rPr>
        <w:t xml:space="preserve"> de forma electrónica</w:t>
      </w:r>
      <w:r>
        <w:rPr>
          <w:rStyle w:val="Refdenotaalpie"/>
          <w:rFonts w:ascii="Arial" w:eastAsiaTheme="minorHAnsi" w:hAnsi="Arial" w:cs="Arial"/>
          <w:lang w:val="es-MX" w:eastAsia="en-US"/>
        </w:rPr>
        <w:footnoteReference w:id="4"/>
      </w:r>
      <w:r>
        <w:rPr>
          <w:rFonts w:ascii="Arial" w:eastAsiaTheme="minorHAnsi" w:hAnsi="Arial" w:cs="Arial"/>
          <w:lang w:val="es-MX" w:eastAsia="en-US"/>
        </w:rPr>
        <w:t>, esta Sala Superior considera que es admisible su comparecencia</w:t>
      </w:r>
      <w:r w:rsidR="00956705">
        <w:rPr>
          <w:rFonts w:ascii="Arial" w:eastAsiaTheme="minorHAnsi" w:hAnsi="Arial" w:cs="Arial"/>
          <w:lang w:val="es-MX" w:eastAsia="en-US"/>
        </w:rPr>
        <w:t>,</w:t>
      </w:r>
      <w:r>
        <w:rPr>
          <w:rFonts w:ascii="Arial" w:eastAsiaTheme="minorHAnsi" w:hAnsi="Arial" w:cs="Arial"/>
          <w:lang w:val="es-MX" w:eastAsia="en-US"/>
        </w:rPr>
        <w:t xml:space="preserve"> puesto que si bien se reconoce la exigencia prevista en la Ley de Medios de hacer constar su firma autógrafa</w:t>
      </w:r>
      <w:r w:rsidR="00EC3E41">
        <w:rPr>
          <w:rFonts w:ascii="Arial" w:eastAsiaTheme="minorHAnsi" w:hAnsi="Arial" w:cs="Arial"/>
          <w:lang w:val="es-MX" w:eastAsia="en-US"/>
        </w:rPr>
        <w:t xml:space="preserve"> en un contexto ordinario</w:t>
      </w:r>
      <w:r>
        <w:rPr>
          <w:rFonts w:ascii="Arial" w:eastAsiaTheme="minorHAnsi" w:hAnsi="Arial" w:cs="Arial"/>
          <w:lang w:val="es-MX" w:eastAsia="en-US"/>
        </w:rPr>
        <w:t xml:space="preserve">, en el presente caso, </w:t>
      </w:r>
      <w:r w:rsidR="00EC3E41" w:rsidRPr="00EC3E41">
        <w:rPr>
          <w:rFonts w:ascii="Arial" w:eastAsiaTheme="minorHAnsi" w:hAnsi="Arial" w:cs="Arial"/>
          <w:lang w:val="es-MX" w:eastAsia="en-US"/>
        </w:rPr>
        <w:t>la</w:t>
      </w:r>
      <w:r w:rsidR="00EC3E41">
        <w:rPr>
          <w:rFonts w:ascii="Arial" w:eastAsiaTheme="minorHAnsi" w:hAnsi="Arial" w:cs="Arial"/>
          <w:lang w:val="es-MX" w:eastAsia="en-US"/>
        </w:rPr>
        <w:t xml:space="preserve"> situación actual de la</w:t>
      </w:r>
      <w:r w:rsidR="00EC3E41" w:rsidRPr="00EC3E41">
        <w:rPr>
          <w:rFonts w:ascii="Arial" w:eastAsiaTheme="minorHAnsi" w:hAnsi="Arial" w:cs="Arial"/>
          <w:lang w:val="es-MX" w:eastAsia="en-US"/>
        </w:rPr>
        <w:t xml:space="preserve"> pandemia de</w:t>
      </w:r>
      <w:r w:rsidR="00956705">
        <w:rPr>
          <w:rFonts w:ascii="Arial" w:eastAsiaTheme="minorHAnsi" w:hAnsi="Arial" w:cs="Arial"/>
          <w:lang w:val="es-MX" w:eastAsia="en-US"/>
        </w:rPr>
        <w:t xml:space="preserve"> </w:t>
      </w:r>
      <w:r w:rsidR="00EC3E41" w:rsidRPr="00EC3E41">
        <w:rPr>
          <w:rFonts w:ascii="Arial" w:eastAsiaTheme="minorHAnsi" w:hAnsi="Arial" w:cs="Arial"/>
          <w:lang w:val="es-MX" w:eastAsia="en-US"/>
        </w:rPr>
        <w:t>l</w:t>
      </w:r>
      <w:r w:rsidR="00956705">
        <w:rPr>
          <w:rFonts w:ascii="Arial" w:eastAsiaTheme="minorHAnsi" w:hAnsi="Arial" w:cs="Arial"/>
          <w:lang w:val="es-MX" w:eastAsia="en-US"/>
        </w:rPr>
        <w:t>a enfermedad</w:t>
      </w:r>
      <w:r w:rsidR="00EC3E41" w:rsidRPr="00EC3E41">
        <w:rPr>
          <w:rFonts w:ascii="Arial" w:eastAsiaTheme="minorHAnsi" w:hAnsi="Arial" w:cs="Arial"/>
          <w:lang w:val="es-MX" w:eastAsia="en-US"/>
        </w:rPr>
        <w:t xml:space="preserve"> COVID-19, derivada del virus SARS-CoV-2, representa un impedimento material para el cumplimiento de dicho requisito, que, de exigirse de manera estricta, pone en riesgo la salud </w:t>
      </w:r>
      <w:r w:rsidR="00EC3E41" w:rsidRPr="00EC3E41">
        <w:rPr>
          <w:rFonts w:ascii="Arial" w:eastAsiaTheme="minorHAnsi" w:hAnsi="Arial" w:cs="Arial"/>
          <w:lang w:val="es-MX" w:eastAsia="en-US"/>
        </w:rPr>
        <w:lastRenderedPageBreak/>
        <w:t xml:space="preserve">de los justiciables y, por ende, </w:t>
      </w:r>
      <w:r w:rsidR="002640BE">
        <w:rPr>
          <w:rFonts w:ascii="Arial" w:eastAsiaTheme="minorHAnsi" w:hAnsi="Arial" w:cs="Arial"/>
          <w:lang w:val="es-MX" w:eastAsia="en-US"/>
        </w:rPr>
        <w:t xml:space="preserve">su inadmisibilidad </w:t>
      </w:r>
      <w:r w:rsidR="00EC3E41" w:rsidRPr="00EC3E41">
        <w:rPr>
          <w:rFonts w:ascii="Arial" w:eastAsiaTheme="minorHAnsi" w:hAnsi="Arial" w:cs="Arial"/>
          <w:lang w:val="es-MX" w:eastAsia="en-US"/>
        </w:rPr>
        <w:t>representa</w:t>
      </w:r>
      <w:r w:rsidR="002640BE">
        <w:rPr>
          <w:rFonts w:ascii="Arial" w:eastAsiaTheme="minorHAnsi" w:hAnsi="Arial" w:cs="Arial"/>
          <w:lang w:val="es-MX" w:eastAsia="en-US"/>
        </w:rPr>
        <w:t>ría</w:t>
      </w:r>
      <w:r w:rsidR="00EC3E41" w:rsidRPr="00EC3E41">
        <w:rPr>
          <w:rFonts w:ascii="Arial" w:eastAsiaTheme="minorHAnsi" w:hAnsi="Arial" w:cs="Arial"/>
          <w:lang w:val="es-MX" w:eastAsia="en-US"/>
        </w:rPr>
        <w:t xml:space="preserve"> un obstáculo en el acceso a la justicia.</w:t>
      </w:r>
      <w:r w:rsidR="00EC3E41">
        <w:rPr>
          <w:rFonts w:ascii="Arial" w:eastAsiaTheme="minorHAnsi" w:hAnsi="Arial" w:cs="Arial"/>
          <w:lang w:val="es-MX" w:eastAsia="en-US"/>
        </w:rPr>
        <w:t xml:space="preserve"> </w:t>
      </w:r>
    </w:p>
    <w:p w14:paraId="213AD6D4" w14:textId="6545B4E4" w:rsidR="003B05EA" w:rsidRDefault="003B05EA" w:rsidP="002B400D">
      <w:pPr>
        <w:spacing w:before="240" w:after="240" w:line="360" w:lineRule="auto"/>
        <w:jc w:val="both"/>
        <w:rPr>
          <w:rFonts w:ascii="Arial" w:eastAsiaTheme="minorHAnsi" w:hAnsi="Arial" w:cs="Arial"/>
          <w:lang w:val="es-MX" w:eastAsia="en-US"/>
        </w:rPr>
      </w:pPr>
      <w:r w:rsidRPr="001316AA">
        <w:rPr>
          <w:rFonts w:ascii="Arial" w:eastAsiaTheme="minorHAnsi" w:hAnsi="Arial" w:cs="Arial"/>
          <w:lang w:val="es-MX" w:eastAsia="en-US"/>
        </w:rPr>
        <w:t>Por ello, d</w:t>
      </w:r>
      <w:r w:rsidRPr="001316AA">
        <w:rPr>
          <w:rFonts w:ascii="Arial" w:eastAsiaTheme="minorHAnsi" w:hAnsi="Arial" w:cs="Arial"/>
          <w:iCs/>
          <w:lang w:val="es-MX" w:eastAsia="en-US"/>
        </w:rPr>
        <w:t>adas las características particulares del asunto, el contexto y la calidad de la persona como ciudadana migrante se considera procedente tenerla por tercera interesada</w:t>
      </w:r>
      <w:r w:rsidRPr="001316AA">
        <w:rPr>
          <w:rFonts w:ascii="Arial" w:eastAsiaTheme="minorHAnsi" w:hAnsi="Arial" w:cs="Arial"/>
          <w:lang w:val="es-MX" w:eastAsia="en-US"/>
        </w:rPr>
        <w:t>.</w:t>
      </w:r>
    </w:p>
    <w:p w14:paraId="68305C77" w14:textId="77777777" w:rsidR="00FF1492" w:rsidRDefault="00EC3E41" w:rsidP="002B400D">
      <w:pPr>
        <w:spacing w:before="240" w:after="240" w:line="360" w:lineRule="auto"/>
        <w:jc w:val="both"/>
        <w:rPr>
          <w:rFonts w:ascii="Arial" w:eastAsiaTheme="minorHAnsi" w:hAnsi="Arial" w:cs="Arial"/>
          <w:lang w:val="es-MX" w:eastAsia="en-US"/>
        </w:rPr>
      </w:pPr>
      <w:r w:rsidRPr="00EC3E41">
        <w:rPr>
          <w:rFonts w:ascii="Arial" w:eastAsiaTheme="minorHAnsi" w:hAnsi="Arial" w:cs="Arial"/>
          <w:lang w:val="es-MX" w:eastAsia="en-US"/>
        </w:rPr>
        <w:t>La situación sanitaria de la pandemia es un hecho notorio</w:t>
      </w:r>
      <w:r>
        <w:rPr>
          <w:rFonts w:ascii="Arial" w:eastAsiaTheme="minorHAnsi" w:hAnsi="Arial" w:cs="Arial"/>
          <w:lang w:val="es-MX" w:eastAsia="en-US"/>
        </w:rPr>
        <w:t xml:space="preserve"> y extraordinario,</w:t>
      </w:r>
      <w:r w:rsidRPr="00EC3E41">
        <w:rPr>
          <w:rFonts w:ascii="Arial" w:eastAsiaTheme="minorHAnsi" w:hAnsi="Arial" w:cs="Arial"/>
          <w:lang w:val="es-MX" w:eastAsia="en-US"/>
        </w:rPr>
        <w:t xml:space="preserve"> tan es así que esta Sala Superior y otras autoridades jurisdiccionales han tenido que implementar medidas extraordinarias y excepcionales a las formalidades previstas en la ley. Por lo tanto, esa situación </w:t>
      </w:r>
      <w:r>
        <w:rPr>
          <w:rFonts w:ascii="Arial" w:eastAsiaTheme="minorHAnsi" w:hAnsi="Arial" w:cs="Arial"/>
          <w:lang w:val="es-MX" w:eastAsia="en-US"/>
        </w:rPr>
        <w:t>hace que sea suficiente la presentación de manera electrónica del escrito de comparecencia de</w:t>
      </w:r>
      <w:r w:rsidRPr="00EC3E41">
        <w:t xml:space="preserve"> </w:t>
      </w:r>
      <w:r w:rsidRPr="00EC3E41">
        <w:rPr>
          <w:rFonts w:ascii="Arial" w:eastAsiaTheme="minorHAnsi" w:hAnsi="Arial" w:cs="Arial"/>
          <w:lang w:val="es-MX" w:eastAsia="en-US"/>
        </w:rPr>
        <w:t>Diana Reyes Ángeles</w:t>
      </w:r>
      <w:r>
        <w:rPr>
          <w:rFonts w:ascii="Arial" w:eastAsiaTheme="minorHAnsi" w:hAnsi="Arial" w:cs="Arial"/>
          <w:lang w:val="es-MX" w:eastAsia="en-US"/>
        </w:rPr>
        <w:t xml:space="preserve">, junto con dos credenciales de identificación. </w:t>
      </w:r>
    </w:p>
    <w:p w14:paraId="225834D9" w14:textId="77777777" w:rsidR="00802F4B" w:rsidRPr="007066D9" w:rsidRDefault="00EC3E41" w:rsidP="002B400D">
      <w:pPr>
        <w:spacing w:before="240" w:after="240" w:line="360" w:lineRule="auto"/>
        <w:jc w:val="both"/>
        <w:rPr>
          <w:rFonts w:ascii="Arial" w:eastAsiaTheme="minorHAnsi" w:hAnsi="Arial" w:cs="Arial"/>
          <w:lang w:val="es-MX" w:eastAsia="en-US"/>
        </w:rPr>
      </w:pPr>
      <w:r>
        <w:rPr>
          <w:rFonts w:ascii="Arial" w:eastAsiaTheme="minorHAnsi" w:hAnsi="Arial" w:cs="Arial"/>
          <w:lang w:val="es-MX" w:eastAsia="en-US"/>
        </w:rPr>
        <w:t>Tal proceder fortalece</w:t>
      </w:r>
      <w:r w:rsidRPr="00EC3E41">
        <w:rPr>
          <w:rFonts w:ascii="Arial" w:eastAsiaTheme="minorHAnsi" w:hAnsi="Arial" w:cs="Arial"/>
          <w:lang w:val="es-MX" w:eastAsia="en-US"/>
        </w:rPr>
        <w:t xml:space="preserve"> las acciones tomadas frente a la </w:t>
      </w:r>
      <w:r w:rsidR="00CC52AE" w:rsidRPr="00EC3E41">
        <w:rPr>
          <w:rFonts w:ascii="Arial" w:eastAsiaTheme="minorHAnsi" w:hAnsi="Arial" w:cs="Arial"/>
          <w:lang w:val="es-MX" w:eastAsia="en-US"/>
        </w:rPr>
        <w:t>pandemia</w:t>
      </w:r>
      <w:r w:rsidR="00CC52AE">
        <w:rPr>
          <w:rFonts w:ascii="Arial" w:eastAsiaTheme="minorHAnsi" w:hAnsi="Arial" w:cs="Arial"/>
          <w:lang w:val="es-MX" w:eastAsia="en-US"/>
        </w:rPr>
        <w:t xml:space="preserve"> por</w:t>
      </w:r>
      <w:r>
        <w:rPr>
          <w:rFonts w:ascii="Arial" w:eastAsiaTheme="minorHAnsi" w:hAnsi="Arial" w:cs="Arial"/>
          <w:lang w:val="es-MX" w:eastAsia="en-US"/>
        </w:rPr>
        <w:t xml:space="preserve"> parte de esta Sala Superior</w:t>
      </w:r>
      <w:r w:rsidRPr="00EC3E41">
        <w:rPr>
          <w:rFonts w:ascii="Arial" w:eastAsiaTheme="minorHAnsi" w:hAnsi="Arial" w:cs="Arial"/>
          <w:lang w:val="es-MX" w:eastAsia="en-US"/>
        </w:rPr>
        <w:t xml:space="preserve"> </w:t>
      </w:r>
      <w:r w:rsidR="002824C3">
        <w:rPr>
          <w:rFonts w:ascii="Arial" w:eastAsiaTheme="minorHAnsi" w:hAnsi="Arial" w:cs="Arial"/>
          <w:lang w:val="es-MX" w:eastAsia="en-US"/>
        </w:rPr>
        <w:t>y se da</w:t>
      </w:r>
      <w:r w:rsidRPr="00EC3E41">
        <w:rPr>
          <w:rFonts w:ascii="Arial" w:eastAsiaTheme="minorHAnsi" w:hAnsi="Arial" w:cs="Arial"/>
          <w:lang w:val="es-MX" w:eastAsia="en-US"/>
        </w:rPr>
        <w:t xml:space="preserve"> una respuesta inmediata ante el riesgo de salud actual, buscando el desarrollo continuo, necesario y permanente del sistema de justicia electoral.</w:t>
      </w:r>
    </w:p>
    <w:p w14:paraId="2CF026B9" w14:textId="77777777" w:rsidR="002B400D" w:rsidRDefault="007066D9" w:rsidP="002B400D">
      <w:pPr>
        <w:spacing w:before="240" w:after="240" w:line="360" w:lineRule="auto"/>
        <w:jc w:val="both"/>
        <w:rPr>
          <w:rFonts w:ascii="Arial" w:eastAsiaTheme="minorHAnsi" w:hAnsi="Arial" w:cs="Arial"/>
          <w:b/>
          <w:lang w:val="es-MX" w:eastAsia="en-US"/>
        </w:rPr>
      </w:pPr>
      <w:r>
        <w:rPr>
          <w:rFonts w:ascii="Arial" w:eastAsiaTheme="minorHAnsi" w:hAnsi="Arial" w:cs="Arial"/>
          <w:b/>
          <w:lang w:val="es-MX" w:eastAsia="en-US"/>
        </w:rPr>
        <w:t xml:space="preserve">4.7. </w:t>
      </w:r>
      <w:r w:rsidR="00E51B55">
        <w:rPr>
          <w:rFonts w:ascii="Arial" w:eastAsiaTheme="minorHAnsi" w:hAnsi="Arial" w:cs="Arial"/>
          <w:b/>
          <w:lang w:val="es-MX" w:eastAsia="en-US"/>
        </w:rPr>
        <w:t>A</w:t>
      </w:r>
      <w:r w:rsidR="00FC504B" w:rsidRPr="00FC504B">
        <w:rPr>
          <w:rFonts w:ascii="Arial" w:eastAsiaTheme="minorHAnsi" w:hAnsi="Arial" w:cs="Arial"/>
          <w:b/>
          <w:lang w:val="es-MX" w:eastAsia="en-US"/>
        </w:rPr>
        <w:t>migos de la corte</w:t>
      </w:r>
    </w:p>
    <w:p w14:paraId="140A6266" w14:textId="77777777" w:rsidR="00CA783F" w:rsidRDefault="002640BE" w:rsidP="00F543FA">
      <w:pPr>
        <w:pStyle w:val="NormalWeb"/>
        <w:shd w:val="clear" w:color="auto" w:fill="FFFFFF"/>
        <w:spacing w:before="240" w:beforeAutospacing="0" w:after="240" w:afterAutospacing="0" w:line="360" w:lineRule="auto"/>
        <w:jc w:val="both"/>
        <w:rPr>
          <w:rFonts w:ascii="Arial" w:eastAsiaTheme="minorHAnsi" w:hAnsi="Arial" w:cs="Arial"/>
          <w:lang w:val="es-ES_tradnl" w:eastAsia="en-US"/>
        </w:rPr>
      </w:pPr>
      <w:r>
        <w:rPr>
          <w:rFonts w:ascii="Arial" w:eastAsiaTheme="minorHAnsi" w:hAnsi="Arial" w:cs="Arial"/>
          <w:lang w:val="es-ES_tradnl" w:eastAsia="en-US"/>
        </w:rPr>
        <w:t>Como se indicó, d</w:t>
      </w:r>
      <w:r w:rsidR="00CA783F">
        <w:rPr>
          <w:rFonts w:ascii="Arial" w:eastAsiaTheme="minorHAnsi" w:hAnsi="Arial" w:cs="Arial"/>
          <w:lang w:val="es-ES_tradnl" w:eastAsia="en-US"/>
        </w:rPr>
        <w:t>urante la instrucción del presente asunto, los integrantes del Observatorio Binacional de la Iniciativa Ciudadana para la Promoción de la Cultura del Diálogo, A.</w:t>
      </w:r>
      <w:r w:rsidR="00956705">
        <w:rPr>
          <w:rFonts w:ascii="Arial" w:eastAsiaTheme="minorHAnsi" w:hAnsi="Arial" w:cs="Arial"/>
          <w:lang w:val="es-ES_tradnl" w:eastAsia="en-US"/>
        </w:rPr>
        <w:t xml:space="preserve"> </w:t>
      </w:r>
      <w:r w:rsidR="00CA783F">
        <w:rPr>
          <w:rFonts w:ascii="Arial" w:eastAsiaTheme="minorHAnsi" w:hAnsi="Arial" w:cs="Arial"/>
          <w:lang w:val="es-ES_tradnl" w:eastAsia="en-US"/>
        </w:rPr>
        <w:t xml:space="preserve">C. (Observatorio Binacional) y del Comité Especializado en torno a la Figura de la Diputación Migrante (CODIM) solicitaron comparecer en </w:t>
      </w:r>
      <w:r>
        <w:rPr>
          <w:rFonts w:ascii="Arial" w:eastAsiaTheme="minorHAnsi" w:hAnsi="Arial" w:cs="Arial"/>
          <w:lang w:val="es-ES_tradnl" w:eastAsia="en-US"/>
        </w:rPr>
        <w:t>este</w:t>
      </w:r>
      <w:r w:rsidR="00CA783F">
        <w:rPr>
          <w:rFonts w:ascii="Arial" w:eastAsiaTheme="minorHAnsi" w:hAnsi="Arial" w:cs="Arial"/>
          <w:lang w:val="es-ES_tradnl" w:eastAsia="en-US"/>
        </w:rPr>
        <w:t xml:space="preserve"> </w:t>
      </w:r>
      <w:r>
        <w:rPr>
          <w:rFonts w:ascii="Arial" w:eastAsiaTheme="minorHAnsi" w:hAnsi="Arial" w:cs="Arial"/>
          <w:lang w:val="es-ES_tradnl" w:eastAsia="en-US"/>
        </w:rPr>
        <w:t>recurso</w:t>
      </w:r>
      <w:r w:rsidR="00CA783F">
        <w:rPr>
          <w:rFonts w:ascii="Arial" w:eastAsiaTheme="minorHAnsi" w:hAnsi="Arial" w:cs="Arial"/>
          <w:lang w:val="es-ES_tradnl" w:eastAsia="en-US"/>
        </w:rPr>
        <w:t xml:space="preserve"> en calidad de </w:t>
      </w:r>
      <w:r w:rsidR="00CA783F">
        <w:rPr>
          <w:rFonts w:ascii="Arial" w:eastAsiaTheme="minorHAnsi" w:hAnsi="Arial" w:cs="Arial"/>
          <w:i/>
          <w:lang w:val="es-ES_tradnl" w:eastAsia="en-US"/>
        </w:rPr>
        <w:t>amicus curiae</w:t>
      </w:r>
      <w:r w:rsidR="00CA783F">
        <w:rPr>
          <w:rFonts w:ascii="Arial" w:eastAsiaTheme="minorHAnsi" w:hAnsi="Arial" w:cs="Arial"/>
          <w:lang w:val="es-ES_tradnl" w:eastAsia="en-US"/>
        </w:rPr>
        <w:t xml:space="preserve">. </w:t>
      </w:r>
    </w:p>
    <w:p w14:paraId="6D6D98B3" w14:textId="77777777" w:rsidR="00CA783F" w:rsidRDefault="00CA783F" w:rsidP="00F543FA">
      <w:pPr>
        <w:pStyle w:val="NormalWeb"/>
        <w:shd w:val="clear" w:color="auto" w:fill="FFFFFF"/>
        <w:spacing w:before="240" w:beforeAutospacing="0" w:after="240" w:afterAutospacing="0" w:line="360" w:lineRule="auto"/>
        <w:jc w:val="both"/>
        <w:rPr>
          <w:rFonts w:ascii="Arial" w:eastAsiaTheme="minorHAnsi" w:hAnsi="Arial" w:cs="Arial"/>
          <w:lang w:val="es-ES_tradnl" w:eastAsia="en-US"/>
        </w:rPr>
      </w:pPr>
      <w:r>
        <w:rPr>
          <w:rFonts w:ascii="Arial" w:eastAsiaTheme="minorHAnsi" w:hAnsi="Arial" w:cs="Arial"/>
          <w:lang w:val="es-ES_tradnl" w:eastAsia="en-US"/>
        </w:rPr>
        <w:lastRenderedPageBreak/>
        <w:t>Ambas organizaciones lo solicitaron vía correo electrónico y expusieron sus opiniones de manera oral ante el magistrado instructor</w:t>
      </w:r>
      <w:r>
        <w:rPr>
          <w:rStyle w:val="Refdenotaalpie"/>
          <w:rFonts w:ascii="Arial" w:eastAsiaTheme="minorHAnsi" w:hAnsi="Arial" w:cs="Arial"/>
          <w:lang w:val="es-ES_tradnl" w:eastAsia="en-US"/>
        </w:rPr>
        <w:footnoteReference w:id="5"/>
      </w:r>
      <w:r>
        <w:rPr>
          <w:rFonts w:ascii="Arial" w:eastAsiaTheme="minorHAnsi" w:hAnsi="Arial" w:cs="Arial"/>
          <w:lang w:val="es-ES_tradnl" w:eastAsia="en-US"/>
        </w:rPr>
        <w:t>. Además, el Observatorio Binacional envió por escrito sus planteamientos y el CODIM presentó</w:t>
      </w:r>
      <w:r w:rsidR="00956705">
        <w:rPr>
          <w:rFonts w:ascii="Arial" w:eastAsiaTheme="minorHAnsi" w:hAnsi="Arial" w:cs="Arial"/>
          <w:lang w:val="es-ES_tradnl" w:eastAsia="en-US"/>
        </w:rPr>
        <w:t xml:space="preserve"> ante el Instituto Electoral de la Ciudad de México</w:t>
      </w:r>
      <w:r w:rsidR="002D08D2">
        <w:rPr>
          <w:rStyle w:val="Refdenotaalpie"/>
          <w:rFonts w:ascii="Arial" w:eastAsiaTheme="minorHAnsi" w:hAnsi="Arial" w:cs="Arial"/>
          <w:lang w:val="es-ES_tradnl" w:eastAsia="en-US"/>
        </w:rPr>
        <w:footnoteReference w:id="6"/>
      </w:r>
      <w:r>
        <w:rPr>
          <w:rFonts w:ascii="Arial" w:eastAsiaTheme="minorHAnsi" w:hAnsi="Arial" w:cs="Arial"/>
          <w:lang w:val="es-ES_tradnl" w:eastAsia="en-US"/>
        </w:rPr>
        <w:t>, también por escrito, el Informe final de sus actividades</w:t>
      </w:r>
      <w:r>
        <w:rPr>
          <w:rStyle w:val="Refdenotaalpie"/>
          <w:rFonts w:ascii="Arial" w:eastAsiaTheme="minorHAnsi" w:hAnsi="Arial" w:cs="Arial"/>
          <w:lang w:val="es-ES_tradnl" w:eastAsia="en-US"/>
        </w:rPr>
        <w:footnoteReference w:id="7"/>
      </w:r>
      <w:r>
        <w:rPr>
          <w:rFonts w:ascii="Arial" w:eastAsiaTheme="minorHAnsi" w:hAnsi="Arial" w:cs="Arial"/>
          <w:lang w:val="es-ES_tradnl" w:eastAsia="en-US"/>
        </w:rPr>
        <w:t xml:space="preserve">. </w:t>
      </w:r>
    </w:p>
    <w:p w14:paraId="20880D54" w14:textId="77777777" w:rsidR="00C811D9" w:rsidRPr="00C811D9" w:rsidRDefault="00C811D9" w:rsidP="00F543FA">
      <w:pPr>
        <w:pStyle w:val="NormalWeb"/>
        <w:shd w:val="clear" w:color="auto" w:fill="FFFFFF"/>
        <w:spacing w:before="240" w:beforeAutospacing="0" w:after="240" w:afterAutospacing="0" w:line="360" w:lineRule="auto"/>
        <w:jc w:val="both"/>
        <w:rPr>
          <w:rFonts w:ascii="Arial" w:eastAsiaTheme="minorHAnsi" w:hAnsi="Arial" w:cs="Arial"/>
          <w:b/>
          <w:i/>
          <w:lang w:val="es-ES_tradnl" w:eastAsia="en-US"/>
        </w:rPr>
      </w:pPr>
      <w:r w:rsidRPr="000567B5">
        <w:rPr>
          <w:rFonts w:ascii="Arial" w:eastAsiaTheme="minorHAnsi" w:hAnsi="Arial" w:cs="Arial"/>
          <w:b/>
          <w:i/>
          <w:lang w:val="es-ES_tradnl" w:eastAsia="en-US"/>
        </w:rPr>
        <w:t>Figura de amicus curiae</w:t>
      </w:r>
    </w:p>
    <w:p w14:paraId="1E742490" w14:textId="77777777" w:rsidR="00CA783F" w:rsidRPr="00007C0D" w:rsidRDefault="00CA783F" w:rsidP="00F543FA">
      <w:pPr>
        <w:pStyle w:val="NormalWeb"/>
        <w:shd w:val="clear" w:color="auto" w:fill="FFFFFF"/>
        <w:spacing w:before="240" w:beforeAutospacing="0" w:after="240" w:afterAutospacing="0" w:line="360" w:lineRule="auto"/>
        <w:jc w:val="both"/>
        <w:rPr>
          <w:rFonts w:ascii="Arial" w:eastAsiaTheme="minorHAnsi" w:hAnsi="Arial" w:cs="Arial"/>
          <w:lang w:val="es-ES_tradnl" w:eastAsia="en-US"/>
        </w:rPr>
      </w:pPr>
      <w:r w:rsidRPr="00202A6E">
        <w:rPr>
          <w:rFonts w:ascii="Arial" w:eastAsiaTheme="minorHAnsi" w:hAnsi="Arial" w:cs="Arial"/>
          <w:lang w:val="es-ES_tradnl" w:eastAsia="en-US"/>
        </w:rPr>
        <w:t>El </w:t>
      </w:r>
      <w:r w:rsidRPr="00202A6E">
        <w:rPr>
          <w:rFonts w:ascii="Arial" w:eastAsiaTheme="minorHAnsi" w:hAnsi="Arial" w:cs="Arial"/>
          <w:i/>
          <w:lang w:val="es-ES_tradnl" w:eastAsia="en-US"/>
        </w:rPr>
        <w:t>amicus curiae</w:t>
      </w:r>
      <w:r>
        <w:rPr>
          <w:rFonts w:ascii="Arial" w:eastAsiaTheme="minorHAnsi" w:hAnsi="Arial" w:cs="Arial"/>
          <w:lang w:val="es-ES_tradnl" w:eastAsia="en-US"/>
        </w:rPr>
        <w:t xml:space="preserve"> es </w:t>
      </w:r>
      <w:r w:rsidRPr="00202A6E">
        <w:rPr>
          <w:rFonts w:ascii="Arial" w:eastAsiaTheme="minorHAnsi" w:hAnsi="Arial" w:cs="Arial"/>
          <w:lang w:val="es-ES_tradnl" w:eastAsia="en-US"/>
        </w:rPr>
        <w:t>una figura jurídica</w:t>
      </w:r>
      <w:r>
        <w:rPr>
          <w:rFonts w:ascii="Arial" w:eastAsiaTheme="minorHAnsi" w:hAnsi="Arial" w:cs="Arial"/>
          <w:lang w:val="es-ES_tradnl" w:eastAsia="en-US"/>
        </w:rPr>
        <w:t xml:space="preserve"> reconocida a nivel internacional</w:t>
      </w:r>
      <w:r w:rsidRPr="00202A6E">
        <w:rPr>
          <w:rFonts w:ascii="Arial" w:eastAsiaTheme="minorHAnsi" w:hAnsi="Arial" w:cs="Arial"/>
          <w:lang w:val="es-ES_tradnl" w:eastAsia="en-US"/>
        </w:rPr>
        <w:t xml:space="preserve"> </w:t>
      </w:r>
      <w:r>
        <w:rPr>
          <w:rFonts w:ascii="Arial" w:eastAsiaTheme="minorHAnsi" w:hAnsi="Arial" w:cs="Arial"/>
          <w:lang w:val="es-ES_tradnl" w:eastAsia="en-US"/>
        </w:rPr>
        <w:t>que permite a las personas o instituciones ajenas a un litigio presentar a los tribunales razonamientos relacionados con un caso a través de un documento o de un alegato en audiencia</w:t>
      </w:r>
      <w:r>
        <w:rPr>
          <w:rStyle w:val="Refdenotaalpie"/>
          <w:rFonts w:ascii="Arial" w:eastAsiaTheme="minorHAnsi" w:hAnsi="Arial" w:cs="Arial"/>
          <w:lang w:val="es-ES_tradnl" w:eastAsia="en-US"/>
        </w:rPr>
        <w:footnoteReference w:id="8"/>
      </w:r>
      <w:r>
        <w:rPr>
          <w:rFonts w:ascii="Arial" w:eastAsiaTheme="minorHAnsi" w:hAnsi="Arial" w:cs="Arial"/>
          <w:lang w:val="es-ES_tradnl" w:eastAsia="en-US"/>
        </w:rPr>
        <w:t>.</w:t>
      </w:r>
    </w:p>
    <w:p w14:paraId="68AB6201" w14:textId="77777777" w:rsidR="00CA783F" w:rsidRDefault="00CA783F" w:rsidP="00FC741C">
      <w:pPr>
        <w:spacing w:before="100" w:beforeAutospacing="1" w:after="100" w:afterAutospacing="1" w:line="360" w:lineRule="auto"/>
        <w:jc w:val="both"/>
        <w:rPr>
          <w:rFonts w:ascii="Arial" w:hAnsi="Arial" w:cs="Arial"/>
          <w:lang w:val="es-ES_tradnl"/>
        </w:rPr>
      </w:pPr>
      <w:r>
        <w:rPr>
          <w:rFonts w:ascii="Arial" w:hAnsi="Arial" w:cs="Arial"/>
          <w:lang w:val="es-ES_tradnl"/>
        </w:rPr>
        <w:t xml:space="preserve">Por su parte, esta Sala Superior ha reconocido que, en la tramitación de los medios de impugnación en materia electoral, dicha figura jurídica es admisible como instrumento para coadyuvar en la generación de argumentos en sentencias sobre temas jurídicos relevantes o relacionadas con el respeto, protección y garantía de </w:t>
      </w:r>
      <w:r w:rsidR="002D08D2">
        <w:rPr>
          <w:rFonts w:ascii="Arial" w:hAnsi="Arial" w:cs="Arial"/>
          <w:lang w:val="es-ES_tradnl"/>
        </w:rPr>
        <w:t xml:space="preserve">los </w:t>
      </w:r>
      <w:r>
        <w:rPr>
          <w:rFonts w:ascii="Arial" w:hAnsi="Arial" w:cs="Arial"/>
          <w:lang w:val="es-ES_tradnl"/>
        </w:rPr>
        <w:t xml:space="preserve">derechos fundamentales. </w:t>
      </w:r>
    </w:p>
    <w:p w14:paraId="11DBBB53" w14:textId="77777777" w:rsidR="00CA783F" w:rsidRDefault="00CA783F" w:rsidP="00CA783F">
      <w:pPr>
        <w:spacing w:before="100" w:beforeAutospacing="1" w:after="100" w:afterAutospacing="1" w:line="360" w:lineRule="auto"/>
        <w:jc w:val="both"/>
        <w:rPr>
          <w:rFonts w:ascii="Arial" w:hAnsi="Arial" w:cs="Arial"/>
          <w:lang w:val="es-ES_tradnl"/>
        </w:rPr>
      </w:pPr>
      <w:r>
        <w:rPr>
          <w:rFonts w:ascii="Arial" w:hAnsi="Arial" w:cs="Arial"/>
          <w:lang w:val="es-ES_tradnl"/>
        </w:rPr>
        <w:lastRenderedPageBreak/>
        <w:t xml:space="preserve">Así, la jurisprudencia </w:t>
      </w:r>
      <w:r>
        <w:rPr>
          <w:rFonts w:ascii="Arial" w:hAnsi="Arial" w:cs="Arial"/>
          <w:b/>
          <w:lang w:val="es-ES_tradnl"/>
        </w:rPr>
        <w:t xml:space="preserve">8/2018 </w:t>
      </w:r>
      <w:r>
        <w:rPr>
          <w:rFonts w:ascii="Arial" w:hAnsi="Arial" w:cs="Arial"/>
          <w:lang w:val="es-ES_tradnl"/>
        </w:rPr>
        <w:t xml:space="preserve">de esta Sala Superior establece </w:t>
      </w:r>
      <w:r w:rsidR="002D08D2">
        <w:rPr>
          <w:rFonts w:ascii="Arial" w:hAnsi="Arial" w:cs="Arial"/>
          <w:lang w:val="es-ES_tradnl"/>
        </w:rPr>
        <w:t xml:space="preserve">algunos </w:t>
      </w:r>
      <w:r>
        <w:rPr>
          <w:rFonts w:ascii="Arial" w:hAnsi="Arial" w:cs="Arial"/>
          <w:lang w:val="es-ES_tradnl"/>
        </w:rPr>
        <w:t xml:space="preserve">requisitos para reconocer el carácter de </w:t>
      </w:r>
      <w:r>
        <w:rPr>
          <w:rFonts w:ascii="Arial" w:hAnsi="Arial" w:cs="Arial"/>
          <w:i/>
          <w:lang w:val="es-ES_tradnl"/>
        </w:rPr>
        <w:t>amicus curiae</w:t>
      </w:r>
      <w:r w:rsidR="002D08D2">
        <w:rPr>
          <w:rFonts w:ascii="Arial" w:hAnsi="Arial" w:cs="Arial"/>
          <w:i/>
          <w:lang w:val="es-ES_tradnl"/>
        </w:rPr>
        <w:t xml:space="preserve">, </w:t>
      </w:r>
      <w:r w:rsidR="002D08D2" w:rsidRPr="00A61E75">
        <w:rPr>
          <w:rFonts w:ascii="Arial" w:hAnsi="Arial" w:cs="Arial"/>
          <w:lang w:val="es-ES_tradnl"/>
        </w:rPr>
        <w:t>es decir</w:t>
      </w:r>
      <w:r w:rsidR="002D08D2">
        <w:rPr>
          <w:rFonts w:ascii="Arial" w:hAnsi="Arial" w:cs="Arial"/>
          <w:lang w:val="es-ES_tradnl"/>
        </w:rPr>
        <w:t>,</w:t>
      </w:r>
      <w:r>
        <w:rPr>
          <w:rFonts w:ascii="Arial" w:hAnsi="Arial" w:cs="Arial"/>
          <w:lang w:val="es-ES_tradnl"/>
        </w:rPr>
        <w:t xml:space="preserve"> que los comparecientes</w:t>
      </w:r>
      <w:r>
        <w:rPr>
          <w:rStyle w:val="Refdenotaalpie"/>
          <w:rFonts w:ascii="Arial" w:hAnsi="Arial" w:cs="Arial"/>
          <w:lang w:val="es-ES_tradnl"/>
        </w:rPr>
        <w:footnoteReference w:id="9"/>
      </w:r>
      <w:r w:rsidR="002D08D2">
        <w:rPr>
          <w:rFonts w:ascii="Arial" w:hAnsi="Arial" w:cs="Arial"/>
          <w:lang w:val="es-ES_tradnl"/>
        </w:rPr>
        <w:t xml:space="preserve"> cumplan con lo siguiente</w:t>
      </w:r>
      <w:r>
        <w:rPr>
          <w:rFonts w:ascii="Arial" w:hAnsi="Arial" w:cs="Arial"/>
          <w:lang w:val="es-ES_tradnl"/>
        </w:rPr>
        <w:t>:</w:t>
      </w:r>
    </w:p>
    <w:p w14:paraId="35AE1567" w14:textId="77777777" w:rsidR="00CA783F" w:rsidRPr="00B61A71" w:rsidRDefault="00CA783F" w:rsidP="00991F83">
      <w:pPr>
        <w:pStyle w:val="NormalWeb"/>
        <w:numPr>
          <w:ilvl w:val="0"/>
          <w:numId w:val="2"/>
        </w:numPr>
        <w:shd w:val="clear" w:color="auto" w:fill="FFFFFF"/>
        <w:spacing w:before="240" w:beforeAutospacing="0" w:after="240" w:afterAutospacing="0"/>
        <w:ind w:left="924" w:hanging="357"/>
        <w:jc w:val="both"/>
        <w:rPr>
          <w:rFonts w:ascii="Arial" w:eastAsiaTheme="minorHAnsi" w:hAnsi="Arial" w:cs="Arial"/>
          <w:lang w:val="es-ES_tradnl" w:eastAsia="en-US"/>
        </w:rPr>
      </w:pPr>
      <w:r>
        <w:rPr>
          <w:rFonts w:ascii="Arial" w:eastAsiaTheme="minorHAnsi" w:hAnsi="Arial" w:cs="Arial"/>
          <w:lang w:val="es-ES_tradnl" w:eastAsia="en-US"/>
        </w:rPr>
        <w:t>Present</w:t>
      </w:r>
      <w:r w:rsidR="002D08D2">
        <w:rPr>
          <w:rFonts w:ascii="Arial" w:eastAsiaTheme="minorHAnsi" w:hAnsi="Arial" w:cs="Arial"/>
          <w:lang w:val="es-ES_tradnl" w:eastAsia="en-US"/>
        </w:rPr>
        <w:t>ar</w:t>
      </w:r>
      <w:r>
        <w:rPr>
          <w:rFonts w:ascii="Arial" w:eastAsiaTheme="minorHAnsi" w:hAnsi="Arial" w:cs="Arial"/>
          <w:lang w:val="es-ES_tradnl" w:eastAsia="en-US"/>
        </w:rPr>
        <w:t xml:space="preserve"> sus planteamientos </w:t>
      </w:r>
      <w:r w:rsidRPr="00B61A71">
        <w:rPr>
          <w:rFonts w:ascii="Arial" w:eastAsiaTheme="minorHAnsi" w:hAnsi="Arial" w:cs="Arial"/>
          <w:lang w:val="es-ES_tradnl" w:eastAsia="en-US"/>
        </w:rPr>
        <w:t>antes de la resolución del asunto,</w:t>
      </w:r>
    </w:p>
    <w:p w14:paraId="7277D75F" w14:textId="77777777" w:rsidR="00CA783F" w:rsidRPr="00B61A71" w:rsidRDefault="002D08D2" w:rsidP="00991F83">
      <w:pPr>
        <w:pStyle w:val="NormalWeb"/>
        <w:numPr>
          <w:ilvl w:val="0"/>
          <w:numId w:val="2"/>
        </w:numPr>
        <w:shd w:val="clear" w:color="auto" w:fill="FFFFFF"/>
        <w:spacing w:before="240" w:beforeAutospacing="0" w:after="240" w:afterAutospacing="0"/>
        <w:ind w:left="924" w:hanging="357"/>
        <w:jc w:val="both"/>
        <w:rPr>
          <w:rFonts w:ascii="Arial" w:eastAsiaTheme="minorHAnsi" w:hAnsi="Arial" w:cs="Arial"/>
          <w:lang w:val="es-ES_tradnl" w:eastAsia="en-US"/>
        </w:rPr>
      </w:pPr>
      <w:r>
        <w:rPr>
          <w:rFonts w:ascii="Arial" w:eastAsiaTheme="minorHAnsi" w:hAnsi="Arial" w:cs="Arial"/>
          <w:lang w:val="es-ES_tradnl" w:eastAsia="en-US"/>
        </w:rPr>
        <w:t>Ser</w:t>
      </w:r>
      <w:r w:rsidR="00CA783F">
        <w:rPr>
          <w:rFonts w:ascii="Arial" w:eastAsiaTheme="minorHAnsi" w:hAnsi="Arial" w:cs="Arial"/>
          <w:lang w:val="es-ES_tradnl" w:eastAsia="en-US"/>
        </w:rPr>
        <w:t xml:space="preserve"> </w:t>
      </w:r>
      <w:r w:rsidR="00CA783F" w:rsidRPr="00B61A71">
        <w:rPr>
          <w:rFonts w:ascii="Arial" w:eastAsiaTheme="minorHAnsi" w:hAnsi="Arial" w:cs="Arial"/>
          <w:lang w:val="es-ES_tradnl" w:eastAsia="en-US"/>
        </w:rPr>
        <w:t>persona</w:t>
      </w:r>
      <w:r w:rsidR="00CA783F">
        <w:rPr>
          <w:rFonts w:ascii="Arial" w:eastAsiaTheme="minorHAnsi" w:hAnsi="Arial" w:cs="Arial"/>
          <w:lang w:val="es-ES_tradnl" w:eastAsia="en-US"/>
        </w:rPr>
        <w:t>s</w:t>
      </w:r>
      <w:r w:rsidR="00CA783F" w:rsidRPr="00B61A71">
        <w:rPr>
          <w:rFonts w:ascii="Arial" w:eastAsiaTheme="minorHAnsi" w:hAnsi="Arial" w:cs="Arial"/>
          <w:lang w:val="es-ES_tradnl" w:eastAsia="en-US"/>
        </w:rPr>
        <w:t xml:space="preserve"> ajena</w:t>
      </w:r>
      <w:r w:rsidR="00CA783F">
        <w:rPr>
          <w:rFonts w:ascii="Arial" w:eastAsiaTheme="minorHAnsi" w:hAnsi="Arial" w:cs="Arial"/>
          <w:lang w:val="es-ES_tradnl" w:eastAsia="en-US"/>
        </w:rPr>
        <w:t>s</w:t>
      </w:r>
      <w:r w:rsidR="00CA783F" w:rsidRPr="00B61A71">
        <w:rPr>
          <w:rFonts w:ascii="Arial" w:eastAsiaTheme="minorHAnsi" w:hAnsi="Arial" w:cs="Arial"/>
          <w:lang w:val="es-ES_tradnl" w:eastAsia="en-US"/>
        </w:rPr>
        <w:t xml:space="preserve"> al proceso, </w:t>
      </w:r>
      <w:r>
        <w:rPr>
          <w:rFonts w:ascii="Arial" w:eastAsiaTheme="minorHAnsi" w:hAnsi="Arial" w:cs="Arial"/>
          <w:lang w:val="es-ES_tradnl" w:eastAsia="en-US"/>
        </w:rPr>
        <w:t xml:space="preserve">es decir, </w:t>
      </w:r>
      <w:r w:rsidR="00CA783F" w:rsidRPr="00B61A71">
        <w:rPr>
          <w:rFonts w:ascii="Arial" w:eastAsiaTheme="minorHAnsi" w:hAnsi="Arial" w:cs="Arial"/>
          <w:lang w:val="es-ES_tradnl" w:eastAsia="en-US"/>
        </w:rPr>
        <w:t>que no tenga</w:t>
      </w:r>
      <w:r w:rsidR="00CA783F">
        <w:rPr>
          <w:rFonts w:ascii="Arial" w:eastAsiaTheme="minorHAnsi" w:hAnsi="Arial" w:cs="Arial"/>
          <w:lang w:val="es-ES_tradnl" w:eastAsia="en-US"/>
        </w:rPr>
        <w:t>n</w:t>
      </w:r>
      <w:r w:rsidR="00CA783F" w:rsidRPr="00B61A71">
        <w:rPr>
          <w:rFonts w:ascii="Arial" w:eastAsiaTheme="minorHAnsi" w:hAnsi="Arial" w:cs="Arial"/>
          <w:lang w:val="es-ES_tradnl" w:eastAsia="en-US"/>
        </w:rPr>
        <w:t xml:space="preserve"> el carácter de parte en el litigio, y</w:t>
      </w:r>
    </w:p>
    <w:p w14:paraId="7A8E583C" w14:textId="77777777" w:rsidR="00CA783F" w:rsidRPr="00B61A71" w:rsidRDefault="002D08D2" w:rsidP="00991F83">
      <w:pPr>
        <w:pStyle w:val="NormalWeb"/>
        <w:numPr>
          <w:ilvl w:val="0"/>
          <w:numId w:val="2"/>
        </w:numPr>
        <w:shd w:val="clear" w:color="auto" w:fill="FFFFFF"/>
        <w:spacing w:before="240" w:beforeAutospacing="0" w:after="240" w:afterAutospacing="0"/>
        <w:ind w:left="924" w:hanging="357"/>
        <w:jc w:val="both"/>
        <w:rPr>
          <w:rFonts w:ascii="Arial" w:eastAsiaTheme="minorHAnsi" w:hAnsi="Arial" w:cs="Arial"/>
          <w:lang w:val="es-ES_tradnl" w:eastAsia="en-US"/>
        </w:rPr>
      </w:pPr>
      <w:r>
        <w:rPr>
          <w:rFonts w:ascii="Arial" w:eastAsiaTheme="minorHAnsi" w:hAnsi="Arial" w:cs="Arial"/>
          <w:lang w:val="es-ES_tradnl" w:eastAsia="en-US"/>
        </w:rPr>
        <w:t xml:space="preserve">Tener </w:t>
      </w:r>
      <w:r w:rsidR="00CA783F">
        <w:rPr>
          <w:rFonts w:ascii="Arial" w:eastAsiaTheme="minorHAnsi" w:hAnsi="Arial" w:cs="Arial"/>
          <w:lang w:val="es-ES_tradnl" w:eastAsia="en-US"/>
        </w:rPr>
        <w:t xml:space="preserve">como única </w:t>
      </w:r>
      <w:r w:rsidR="00CA783F" w:rsidRPr="00B61A71">
        <w:rPr>
          <w:rFonts w:ascii="Arial" w:eastAsiaTheme="minorHAnsi" w:hAnsi="Arial" w:cs="Arial"/>
          <w:lang w:val="es-ES_tradnl" w:eastAsia="en-US"/>
        </w:rPr>
        <w:t xml:space="preserve">finalidad o intención </w:t>
      </w:r>
      <w:r w:rsidR="00CA783F">
        <w:rPr>
          <w:rFonts w:ascii="Arial" w:eastAsiaTheme="minorHAnsi" w:hAnsi="Arial" w:cs="Arial"/>
          <w:lang w:val="es-ES_tradnl" w:eastAsia="en-US"/>
        </w:rPr>
        <w:t xml:space="preserve">la </w:t>
      </w:r>
      <w:r w:rsidR="00CA783F" w:rsidRPr="00B61A71">
        <w:rPr>
          <w:rFonts w:ascii="Arial" w:eastAsiaTheme="minorHAnsi" w:hAnsi="Arial" w:cs="Arial"/>
          <w:lang w:val="es-ES_tradnl" w:eastAsia="en-US"/>
        </w:rPr>
        <w:t>de aumentar el conocimiento del juzgador mediante razonamientos o información científica y jurídica (nacional e internacional) pertinente para resolver la cuestión planteada.</w:t>
      </w:r>
    </w:p>
    <w:p w14:paraId="41DBF866" w14:textId="77777777" w:rsidR="00CA783F" w:rsidRDefault="00CA783F" w:rsidP="00CA783F">
      <w:pPr>
        <w:spacing w:before="100" w:beforeAutospacing="1" w:after="100" w:afterAutospacing="1" w:line="360" w:lineRule="auto"/>
        <w:jc w:val="both"/>
        <w:rPr>
          <w:rFonts w:ascii="Arial" w:hAnsi="Arial" w:cs="Arial"/>
          <w:lang w:val="es-ES_tradnl"/>
        </w:rPr>
      </w:pPr>
      <w:r>
        <w:rPr>
          <w:rFonts w:ascii="Arial" w:hAnsi="Arial" w:cs="Arial"/>
          <w:lang w:val="es-ES_tradnl"/>
        </w:rPr>
        <w:t xml:space="preserve">Además, a través de diversos precedentes se ha delimitado de manera más precisa esta figura jurídica para incluir </w:t>
      </w:r>
      <w:r w:rsidR="002D08D2">
        <w:rPr>
          <w:rFonts w:ascii="Arial" w:hAnsi="Arial" w:cs="Arial"/>
          <w:lang w:val="es-ES_tradnl"/>
        </w:rPr>
        <w:t xml:space="preserve">las siguientes </w:t>
      </w:r>
      <w:r>
        <w:rPr>
          <w:rFonts w:ascii="Arial" w:hAnsi="Arial" w:cs="Arial"/>
          <w:lang w:val="es-ES_tradnl"/>
        </w:rPr>
        <w:t>características: 1) que se trate de opiniones fundadas e imparciales</w:t>
      </w:r>
      <w:r>
        <w:rPr>
          <w:rStyle w:val="Refdenotaalpie"/>
          <w:rFonts w:ascii="Arial" w:hAnsi="Arial" w:cs="Arial"/>
          <w:lang w:val="es-ES_tradnl"/>
        </w:rPr>
        <w:footnoteReference w:id="10"/>
      </w:r>
      <w:r>
        <w:rPr>
          <w:rFonts w:ascii="Arial" w:hAnsi="Arial" w:cs="Arial"/>
          <w:lang w:val="es-ES_tradnl"/>
        </w:rPr>
        <w:t>; 2) que aporten conocimientos ajenos a este órgano jurisdiccional para tomar una decisión más informada</w:t>
      </w:r>
      <w:r>
        <w:rPr>
          <w:rStyle w:val="Refdenotaalpie"/>
          <w:rFonts w:ascii="Arial" w:hAnsi="Arial" w:cs="Arial"/>
          <w:lang w:val="es-ES_tradnl"/>
        </w:rPr>
        <w:footnoteReference w:id="11"/>
      </w:r>
      <w:r>
        <w:rPr>
          <w:rFonts w:ascii="Arial" w:hAnsi="Arial" w:cs="Arial"/>
          <w:lang w:val="es-ES_tradnl"/>
        </w:rPr>
        <w:t>, y 3) que los comparecientes no tengan una pretensión o interés evidente, derivado del cual la sentencia les pueda beneficiar o perjudicar de manera directa</w:t>
      </w:r>
      <w:r>
        <w:rPr>
          <w:rStyle w:val="Refdenotaalpie"/>
          <w:rFonts w:ascii="Arial" w:hAnsi="Arial" w:cs="Arial"/>
          <w:lang w:val="es-ES_tradnl"/>
        </w:rPr>
        <w:footnoteReference w:id="12"/>
      </w:r>
      <w:r>
        <w:rPr>
          <w:rFonts w:ascii="Arial" w:hAnsi="Arial" w:cs="Arial"/>
          <w:lang w:val="es-ES_tradnl"/>
        </w:rPr>
        <w:t>.</w:t>
      </w:r>
    </w:p>
    <w:p w14:paraId="2ED52B9C" w14:textId="77777777" w:rsidR="00CA783F" w:rsidRPr="008C4FAD" w:rsidRDefault="006F76DB" w:rsidP="00CA783F">
      <w:pPr>
        <w:spacing w:before="100" w:beforeAutospacing="1" w:after="100" w:afterAutospacing="1" w:line="360" w:lineRule="auto"/>
        <w:jc w:val="both"/>
        <w:rPr>
          <w:rFonts w:ascii="Arial" w:hAnsi="Arial" w:cs="Arial"/>
          <w:b/>
          <w:i/>
          <w:lang w:val="es-ES_tradnl"/>
        </w:rPr>
      </w:pPr>
      <w:r>
        <w:rPr>
          <w:rFonts w:ascii="Arial" w:hAnsi="Arial" w:cs="Arial"/>
          <w:b/>
          <w:i/>
          <w:lang w:val="es-ES_tradnl"/>
        </w:rPr>
        <w:t xml:space="preserve">Organizaciones que comparecieron </w:t>
      </w:r>
    </w:p>
    <w:p w14:paraId="42F6CF3F" w14:textId="77777777" w:rsidR="00CA783F" w:rsidRDefault="00CA783F" w:rsidP="00CA783F">
      <w:pPr>
        <w:spacing w:before="100" w:beforeAutospacing="1" w:after="100" w:afterAutospacing="1" w:line="360" w:lineRule="auto"/>
        <w:jc w:val="both"/>
        <w:rPr>
          <w:rFonts w:ascii="Arial" w:hAnsi="Arial" w:cs="Arial"/>
          <w:lang w:val="es-ES_tradnl"/>
        </w:rPr>
      </w:pPr>
      <w:r>
        <w:rPr>
          <w:rFonts w:ascii="Arial" w:hAnsi="Arial" w:cs="Arial"/>
          <w:lang w:val="es-ES_tradnl"/>
        </w:rPr>
        <w:t xml:space="preserve">En primer </w:t>
      </w:r>
      <w:r w:rsidR="006F76DB">
        <w:rPr>
          <w:rFonts w:ascii="Arial" w:hAnsi="Arial" w:cs="Arial"/>
          <w:lang w:val="es-ES_tradnl"/>
        </w:rPr>
        <w:t>lugar,</w:t>
      </w:r>
      <w:r w:rsidR="00977726">
        <w:rPr>
          <w:rFonts w:ascii="Arial" w:hAnsi="Arial" w:cs="Arial"/>
          <w:lang w:val="es-ES_tradnl"/>
        </w:rPr>
        <w:t xml:space="preserve"> compareció </w:t>
      </w:r>
      <w:r>
        <w:rPr>
          <w:rFonts w:ascii="Arial" w:hAnsi="Arial" w:cs="Arial"/>
          <w:lang w:val="es-ES_tradnl"/>
        </w:rPr>
        <w:t xml:space="preserve">el Observatorio Binacional, quien presentó sus argumentos mediante un documento y una audiencia pública celebrada el </w:t>
      </w:r>
      <w:r>
        <w:rPr>
          <w:rFonts w:ascii="Arial" w:hAnsi="Arial" w:cs="Arial"/>
          <w:lang w:val="es-ES_tradnl"/>
        </w:rPr>
        <w:lastRenderedPageBreak/>
        <w:t>veinticinco de junio del presente año</w:t>
      </w:r>
      <w:r w:rsidR="00977726">
        <w:rPr>
          <w:rFonts w:ascii="Arial" w:hAnsi="Arial" w:cs="Arial"/>
          <w:lang w:val="es-ES_tradnl"/>
        </w:rPr>
        <w:t xml:space="preserve">, en la cual </w:t>
      </w:r>
      <w:r>
        <w:rPr>
          <w:rFonts w:ascii="Arial" w:hAnsi="Arial" w:cs="Arial"/>
          <w:lang w:val="es-ES_tradnl"/>
        </w:rPr>
        <w:t>sus integrantes presentaron</w:t>
      </w:r>
      <w:r w:rsidR="00977726">
        <w:rPr>
          <w:rFonts w:ascii="Arial" w:hAnsi="Arial" w:cs="Arial"/>
          <w:lang w:val="es-ES_tradnl"/>
        </w:rPr>
        <w:t>, de manera general,</w:t>
      </w:r>
      <w:r>
        <w:rPr>
          <w:rFonts w:ascii="Arial" w:hAnsi="Arial" w:cs="Arial"/>
          <w:lang w:val="es-ES_tradnl"/>
        </w:rPr>
        <w:t xml:space="preserve"> los siguientes argumentos:</w:t>
      </w:r>
    </w:p>
    <w:p w14:paraId="117979FC" w14:textId="77777777" w:rsidR="00CA783F" w:rsidRDefault="00CA783F" w:rsidP="00991F83">
      <w:pPr>
        <w:pStyle w:val="Prrafodelista"/>
        <w:numPr>
          <w:ilvl w:val="0"/>
          <w:numId w:val="3"/>
        </w:numPr>
        <w:spacing w:after="120" w:line="360" w:lineRule="auto"/>
        <w:ind w:left="714" w:hanging="357"/>
        <w:contextualSpacing w:val="0"/>
        <w:jc w:val="both"/>
        <w:rPr>
          <w:rFonts w:ascii="Arial" w:hAnsi="Arial" w:cs="Arial"/>
        </w:rPr>
      </w:pPr>
      <w:r w:rsidRPr="002B0E33">
        <w:rPr>
          <w:rFonts w:ascii="Arial" w:hAnsi="Arial" w:cs="Arial"/>
        </w:rPr>
        <w:t xml:space="preserve">La población migrante es un grupo poblacional extenso que </w:t>
      </w:r>
      <w:r>
        <w:rPr>
          <w:rFonts w:ascii="Arial" w:hAnsi="Arial" w:cs="Arial"/>
        </w:rPr>
        <w:t xml:space="preserve">asciende a casi 12 millones de personas (11,848,537). La Ciudad de México </w:t>
      </w:r>
      <w:r w:rsidR="003A1EA7">
        <w:rPr>
          <w:rFonts w:ascii="Arial" w:hAnsi="Arial" w:cs="Arial"/>
        </w:rPr>
        <w:t>aporta</w:t>
      </w:r>
      <w:r>
        <w:rPr>
          <w:rFonts w:ascii="Arial" w:hAnsi="Arial" w:cs="Arial"/>
        </w:rPr>
        <w:t xml:space="preserve"> cerca del 6 % del total de migrantes en el extranjero.</w:t>
      </w:r>
    </w:p>
    <w:p w14:paraId="7C4960B5" w14:textId="77777777" w:rsidR="00CA783F" w:rsidRPr="002B0E33" w:rsidRDefault="00CA783F" w:rsidP="00991F83">
      <w:pPr>
        <w:pStyle w:val="Prrafodelista"/>
        <w:numPr>
          <w:ilvl w:val="0"/>
          <w:numId w:val="3"/>
        </w:numPr>
        <w:spacing w:after="120" w:line="360" w:lineRule="auto"/>
        <w:ind w:left="714" w:hanging="357"/>
        <w:contextualSpacing w:val="0"/>
        <w:jc w:val="both"/>
        <w:rPr>
          <w:rFonts w:ascii="Arial" w:hAnsi="Arial" w:cs="Arial"/>
        </w:rPr>
      </w:pPr>
      <w:r>
        <w:rPr>
          <w:rFonts w:ascii="Arial" w:hAnsi="Arial" w:cs="Arial"/>
        </w:rPr>
        <w:t xml:space="preserve">Este grupo de población </w:t>
      </w:r>
      <w:r w:rsidRPr="002B0E33">
        <w:rPr>
          <w:rFonts w:ascii="Arial" w:hAnsi="Arial" w:cs="Arial"/>
        </w:rPr>
        <w:t>tiene un bajo nivel de representación dentro de la Ciudad de México, por eso, los candidatos migrantes requieren mecanismos de protección reforzada.</w:t>
      </w:r>
    </w:p>
    <w:p w14:paraId="260FE762" w14:textId="77777777" w:rsidR="00CA783F" w:rsidRPr="002B0E33" w:rsidRDefault="00CA783F" w:rsidP="00991F83">
      <w:pPr>
        <w:pStyle w:val="Prrafodelista"/>
        <w:numPr>
          <w:ilvl w:val="0"/>
          <w:numId w:val="3"/>
        </w:numPr>
        <w:spacing w:after="120" w:line="360" w:lineRule="auto"/>
        <w:ind w:left="714" w:hanging="357"/>
        <w:contextualSpacing w:val="0"/>
        <w:jc w:val="both"/>
        <w:rPr>
          <w:rFonts w:ascii="Arial" w:hAnsi="Arial" w:cs="Arial"/>
        </w:rPr>
      </w:pPr>
      <w:r w:rsidRPr="002B0E33">
        <w:rPr>
          <w:rFonts w:ascii="Arial" w:hAnsi="Arial" w:cs="Arial"/>
        </w:rPr>
        <w:t>La Sala Regional tenía la facultad de realizar una acción declarativa y, además, de no actuar se dejaría en un estado de indefensión a los grupos vulnerables.</w:t>
      </w:r>
    </w:p>
    <w:p w14:paraId="4B2C562B" w14:textId="77777777" w:rsidR="00CA783F" w:rsidRPr="002B0E33" w:rsidRDefault="00CA783F" w:rsidP="00991F83">
      <w:pPr>
        <w:pStyle w:val="Prrafodelista"/>
        <w:numPr>
          <w:ilvl w:val="0"/>
          <w:numId w:val="3"/>
        </w:numPr>
        <w:spacing w:after="120" w:line="360" w:lineRule="auto"/>
        <w:ind w:left="714" w:hanging="357"/>
        <w:contextualSpacing w:val="0"/>
        <w:jc w:val="both"/>
        <w:rPr>
          <w:rFonts w:ascii="Arial" w:hAnsi="Arial" w:cs="Arial"/>
        </w:rPr>
      </w:pPr>
      <w:r w:rsidRPr="002B0E33">
        <w:rPr>
          <w:rFonts w:ascii="Arial" w:hAnsi="Arial" w:cs="Arial"/>
        </w:rPr>
        <w:t>El TEPJF puede conocer de normas autoaplicativas desde el punto de vista de un acto de aplicación extensivo.</w:t>
      </w:r>
    </w:p>
    <w:p w14:paraId="7EF298F7" w14:textId="77777777" w:rsidR="00CA783F" w:rsidRPr="002B0E33" w:rsidRDefault="00CA783F" w:rsidP="00991F83">
      <w:pPr>
        <w:pStyle w:val="Prrafodelista"/>
        <w:numPr>
          <w:ilvl w:val="0"/>
          <w:numId w:val="3"/>
        </w:numPr>
        <w:spacing w:after="120" w:line="360" w:lineRule="auto"/>
        <w:ind w:left="714" w:hanging="357"/>
        <w:contextualSpacing w:val="0"/>
        <w:jc w:val="both"/>
        <w:rPr>
          <w:rFonts w:ascii="Arial" w:hAnsi="Arial" w:cs="Arial"/>
        </w:rPr>
      </w:pPr>
      <w:r w:rsidRPr="002B0E33">
        <w:rPr>
          <w:rFonts w:ascii="Arial" w:hAnsi="Arial" w:cs="Arial"/>
        </w:rPr>
        <w:t>Los recurrentes tenían interés porque forman parte de un grupo cuyos derechos se podrían ver afectados.</w:t>
      </w:r>
    </w:p>
    <w:p w14:paraId="3BE34AC5" w14:textId="77777777" w:rsidR="00CA783F" w:rsidRPr="002B0E33" w:rsidRDefault="00CA783F" w:rsidP="00991F83">
      <w:pPr>
        <w:pStyle w:val="Prrafodelista"/>
        <w:numPr>
          <w:ilvl w:val="0"/>
          <w:numId w:val="3"/>
        </w:numPr>
        <w:spacing w:after="120" w:line="360" w:lineRule="auto"/>
        <w:ind w:left="714" w:hanging="357"/>
        <w:contextualSpacing w:val="0"/>
        <w:jc w:val="both"/>
        <w:rPr>
          <w:rFonts w:ascii="Arial" w:hAnsi="Arial" w:cs="Arial"/>
        </w:rPr>
      </w:pPr>
      <w:r w:rsidRPr="002B0E33">
        <w:rPr>
          <w:rFonts w:ascii="Arial" w:hAnsi="Arial" w:cs="Arial"/>
        </w:rPr>
        <w:t>El simple acto legislativo de derogar una norma que garantiza derechos constituye un acto regresivo e inconstitucional, por lo tanto, es justiciable por medio del juicio de protección de derechos político</w:t>
      </w:r>
      <w:r>
        <w:rPr>
          <w:rFonts w:ascii="Arial" w:hAnsi="Arial" w:cs="Arial"/>
        </w:rPr>
        <w:t>-</w:t>
      </w:r>
      <w:r w:rsidRPr="002B0E33">
        <w:rPr>
          <w:rFonts w:ascii="Arial" w:hAnsi="Arial" w:cs="Arial"/>
        </w:rPr>
        <w:t>electorales.</w:t>
      </w:r>
    </w:p>
    <w:p w14:paraId="19B837F8" w14:textId="77777777" w:rsidR="00CA783F" w:rsidRPr="002B0E33" w:rsidRDefault="00CA783F" w:rsidP="00991F83">
      <w:pPr>
        <w:pStyle w:val="Prrafodelista"/>
        <w:numPr>
          <w:ilvl w:val="0"/>
          <w:numId w:val="3"/>
        </w:numPr>
        <w:spacing w:before="240" w:after="120" w:line="360" w:lineRule="auto"/>
        <w:ind w:left="714" w:hanging="357"/>
        <w:contextualSpacing w:val="0"/>
        <w:jc w:val="both"/>
        <w:rPr>
          <w:rFonts w:ascii="Arial" w:hAnsi="Arial" w:cs="Arial"/>
        </w:rPr>
      </w:pPr>
      <w:r w:rsidRPr="002B0E33">
        <w:rPr>
          <w:rFonts w:ascii="Arial" w:hAnsi="Arial" w:cs="Arial"/>
        </w:rPr>
        <w:t>La derogación de la diputación migrante del marco normativo en la Ciudad de México es contraria al proceso de reconocimiento de adeudos históricos con quienes</w:t>
      </w:r>
      <w:r>
        <w:rPr>
          <w:rFonts w:ascii="Arial" w:hAnsi="Arial" w:cs="Arial"/>
        </w:rPr>
        <w:t>,</w:t>
      </w:r>
      <w:r w:rsidRPr="002B0E33">
        <w:rPr>
          <w:rFonts w:ascii="Arial" w:hAnsi="Arial" w:cs="Arial"/>
        </w:rPr>
        <w:t xml:space="preserve"> a la distancia</w:t>
      </w:r>
      <w:r>
        <w:rPr>
          <w:rFonts w:ascii="Arial" w:hAnsi="Arial" w:cs="Arial"/>
        </w:rPr>
        <w:t>,</w:t>
      </w:r>
      <w:r w:rsidRPr="002B0E33">
        <w:rPr>
          <w:rFonts w:ascii="Arial" w:hAnsi="Arial" w:cs="Arial"/>
        </w:rPr>
        <w:t xml:space="preserve"> contribuyen económica y culturalmente con el país.</w:t>
      </w:r>
    </w:p>
    <w:p w14:paraId="4B47D4BF" w14:textId="77777777" w:rsidR="00CA783F" w:rsidRDefault="00CA783F" w:rsidP="00CA783F">
      <w:pPr>
        <w:spacing w:before="100" w:beforeAutospacing="1" w:after="100" w:afterAutospacing="1" w:line="360" w:lineRule="auto"/>
        <w:jc w:val="both"/>
        <w:rPr>
          <w:rFonts w:ascii="Arial" w:hAnsi="Arial" w:cs="Arial"/>
          <w:lang w:val="es-ES_tradnl"/>
        </w:rPr>
      </w:pPr>
      <w:r>
        <w:rPr>
          <w:rFonts w:ascii="Arial" w:hAnsi="Arial" w:cs="Arial"/>
          <w:lang w:val="es-ES_tradnl"/>
        </w:rPr>
        <w:t>En segundo término</w:t>
      </w:r>
      <w:r w:rsidR="006F76DB">
        <w:rPr>
          <w:rFonts w:ascii="Arial" w:hAnsi="Arial" w:cs="Arial"/>
          <w:lang w:val="es-ES_tradnl"/>
        </w:rPr>
        <w:t>,</w:t>
      </w:r>
      <w:r w:rsidR="00977726">
        <w:rPr>
          <w:rFonts w:ascii="Arial" w:hAnsi="Arial" w:cs="Arial"/>
          <w:lang w:val="es-ES_tradnl"/>
        </w:rPr>
        <w:t xml:space="preserve"> </w:t>
      </w:r>
      <w:r w:rsidR="008C3055">
        <w:rPr>
          <w:rFonts w:ascii="Arial" w:hAnsi="Arial" w:cs="Arial"/>
          <w:lang w:val="es-ES_tradnl"/>
        </w:rPr>
        <w:t>los integrantes del</w:t>
      </w:r>
      <w:r>
        <w:rPr>
          <w:rFonts w:ascii="Arial" w:hAnsi="Arial" w:cs="Arial"/>
          <w:lang w:val="es-ES_tradnl"/>
        </w:rPr>
        <w:t xml:space="preserve"> CODIM</w:t>
      </w:r>
      <w:r w:rsidR="00977726">
        <w:rPr>
          <w:rFonts w:ascii="Arial" w:hAnsi="Arial" w:cs="Arial"/>
          <w:lang w:val="es-ES_tradnl"/>
        </w:rPr>
        <w:t xml:space="preserve"> </w:t>
      </w:r>
      <w:r w:rsidR="008C3055">
        <w:rPr>
          <w:rFonts w:ascii="Arial" w:hAnsi="Arial" w:cs="Arial"/>
          <w:lang w:val="es-ES_tradnl"/>
        </w:rPr>
        <w:t xml:space="preserve">manifestaron sus argumentos ante el magistrado </w:t>
      </w:r>
      <w:r w:rsidR="00650434">
        <w:rPr>
          <w:rFonts w:ascii="Arial" w:hAnsi="Arial" w:cs="Arial"/>
          <w:lang w:val="es-ES_tradnl"/>
        </w:rPr>
        <w:t>instructor</w:t>
      </w:r>
      <w:r w:rsidR="008C3055">
        <w:rPr>
          <w:rFonts w:ascii="Arial" w:hAnsi="Arial" w:cs="Arial"/>
          <w:lang w:val="es-ES_tradnl"/>
        </w:rPr>
        <w:t xml:space="preserve"> </w:t>
      </w:r>
      <w:r>
        <w:rPr>
          <w:rFonts w:ascii="Arial" w:hAnsi="Arial" w:cs="Arial"/>
          <w:lang w:val="es-ES_tradnl"/>
        </w:rPr>
        <w:t>mediante una audiencia pública</w:t>
      </w:r>
      <w:r w:rsidR="002640BE">
        <w:rPr>
          <w:rFonts w:ascii="Arial" w:hAnsi="Arial" w:cs="Arial"/>
          <w:lang w:val="es-ES_tradnl"/>
        </w:rPr>
        <w:t xml:space="preserve"> </w:t>
      </w:r>
      <w:r w:rsidR="002640BE">
        <w:rPr>
          <w:rFonts w:ascii="Arial" w:hAnsi="Arial" w:cs="Arial"/>
          <w:lang w:val="es-ES_tradnl"/>
        </w:rPr>
        <w:lastRenderedPageBreak/>
        <w:t>celebrada</w:t>
      </w:r>
      <w:r>
        <w:rPr>
          <w:rFonts w:ascii="Arial" w:hAnsi="Arial" w:cs="Arial"/>
          <w:lang w:val="es-ES_tradnl"/>
        </w:rPr>
        <w:t xml:space="preserve"> el veintiséis de junio del presente año y present</w:t>
      </w:r>
      <w:r w:rsidR="005641B0">
        <w:rPr>
          <w:rFonts w:ascii="Arial" w:hAnsi="Arial" w:cs="Arial"/>
          <w:lang w:val="es-ES_tradnl"/>
        </w:rPr>
        <w:t>aron</w:t>
      </w:r>
      <w:r>
        <w:rPr>
          <w:rFonts w:ascii="Arial" w:hAnsi="Arial" w:cs="Arial"/>
          <w:lang w:val="es-ES_tradnl"/>
        </w:rPr>
        <w:t xml:space="preserve"> por escrito el “Informe </w:t>
      </w:r>
      <w:r w:rsidRPr="00A92F38">
        <w:rPr>
          <w:rFonts w:ascii="Arial" w:hAnsi="Arial" w:cs="Arial"/>
          <w:bCs/>
        </w:rPr>
        <w:t>final de actividades y resultados del Comité especializado en torno a la figura de la Diputación Migrante (CODIM)</w:t>
      </w:r>
      <w:r>
        <w:rPr>
          <w:rFonts w:ascii="Arial" w:hAnsi="Arial" w:cs="Arial"/>
          <w:bCs/>
        </w:rPr>
        <w:t>”</w:t>
      </w:r>
      <w:r w:rsidRPr="00A92F38">
        <w:rPr>
          <w:rFonts w:ascii="Arial" w:hAnsi="Arial" w:cs="Arial"/>
          <w:lang w:val="es-ES_tradnl"/>
        </w:rPr>
        <w:t>.</w:t>
      </w:r>
    </w:p>
    <w:p w14:paraId="1DB9914F" w14:textId="77777777" w:rsidR="00CA783F" w:rsidRDefault="00CA783F" w:rsidP="00CA783F">
      <w:pPr>
        <w:spacing w:before="100" w:beforeAutospacing="1" w:after="100" w:afterAutospacing="1" w:line="360" w:lineRule="auto"/>
        <w:jc w:val="both"/>
        <w:rPr>
          <w:rFonts w:ascii="Arial" w:hAnsi="Arial" w:cs="Arial"/>
          <w:lang w:val="es-ES_tradnl"/>
        </w:rPr>
      </w:pPr>
      <w:r>
        <w:rPr>
          <w:rFonts w:ascii="Arial" w:hAnsi="Arial" w:cs="Arial"/>
          <w:lang w:val="es-ES_tradnl"/>
        </w:rPr>
        <w:t>De manera general, el CODIM planteó argumentos sobre</w:t>
      </w:r>
      <w:r w:rsidR="008C3055">
        <w:rPr>
          <w:rFonts w:ascii="Arial" w:hAnsi="Arial" w:cs="Arial"/>
          <w:lang w:val="es-ES_tradnl"/>
        </w:rPr>
        <w:t xml:space="preserve"> los siguientes temas</w:t>
      </w:r>
      <w:r>
        <w:rPr>
          <w:rFonts w:ascii="Arial" w:hAnsi="Arial" w:cs="Arial"/>
          <w:lang w:val="es-ES_tradnl"/>
        </w:rPr>
        <w:t xml:space="preserve">: </w:t>
      </w:r>
    </w:p>
    <w:p w14:paraId="73084914" w14:textId="77777777" w:rsidR="00CA783F" w:rsidRPr="00A92F38" w:rsidRDefault="00CA783F" w:rsidP="00991F83">
      <w:pPr>
        <w:pStyle w:val="Prrafodelista"/>
        <w:numPr>
          <w:ilvl w:val="0"/>
          <w:numId w:val="4"/>
        </w:numPr>
        <w:spacing w:before="100" w:beforeAutospacing="1" w:after="100" w:afterAutospacing="1" w:line="360" w:lineRule="auto"/>
        <w:jc w:val="both"/>
        <w:rPr>
          <w:rFonts w:ascii="Arial" w:hAnsi="Arial" w:cs="Arial"/>
          <w:lang w:val="es-ES_tradnl"/>
        </w:rPr>
      </w:pPr>
      <w:r w:rsidRPr="00A92F38">
        <w:rPr>
          <w:rFonts w:ascii="Arial" w:hAnsi="Arial" w:cs="Arial"/>
          <w:lang w:val="es-ES_tradnl"/>
        </w:rPr>
        <w:t>La relevancia de que la jurisdicción electoral conozca de los medios de defensa en contra de la derogación de esta norma.</w:t>
      </w:r>
    </w:p>
    <w:p w14:paraId="1FE88C1D" w14:textId="77777777" w:rsidR="00CA783F" w:rsidRPr="002B0E33" w:rsidRDefault="00977726" w:rsidP="00991F83">
      <w:pPr>
        <w:pStyle w:val="Prrafodelista"/>
        <w:numPr>
          <w:ilvl w:val="0"/>
          <w:numId w:val="4"/>
        </w:numPr>
        <w:spacing w:before="100" w:beforeAutospacing="1" w:after="100" w:afterAutospacing="1" w:line="360" w:lineRule="auto"/>
        <w:jc w:val="both"/>
        <w:rPr>
          <w:rFonts w:ascii="Arial" w:hAnsi="Arial" w:cs="Arial"/>
          <w:lang w:val="es-ES_tradnl"/>
        </w:rPr>
      </w:pPr>
      <w:r>
        <w:rPr>
          <w:rFonts w:ascii="Arial" w:hAnsi="Arial" w:cs="Arial"/>
          <w:lang w:val="es-ES_tradnl"/>
        </w:rPr>
        <w:t>El p</w:t>
      </w:r>
      <w:r w:rsidR="00CA783F" w:rsidRPr="002B0E33">
        <w:rPr>
          <w:rFonts w:ascii="Arial" w:hAnsi="Arial" w:cs="Arial"/>
          <w:lang w:val="es-ES_tradnl"/>
        </w:rPr>
        <w:t>anorama genérico de los migrantes como grupo poblacional.</w:t>
      </w:r>
    </w:p>
    <w:p w14:paraId="3753F426" w14:textId="77777777" w:rsidR="00C811D9" w:rsidRDefault="00977726" w:rsidP="00991F83">
      <w:pPr>
        <w:pStyle w:val="Prrafodelista"/>
        <w:numPr>
          <w:ilvl w:val="0"/>
          <w:numId w:val="4"/>
        </w:numPr>
        <w:spacing w:before="100" w:beforeAutospacing="1" w:after="100" w:afterAutospacing="1" w:line="360" w:lineRule="auto"/>
        <w:jc w:val="both"/>
        <w:rPr>
          <w:rFonts w:ascii="Arial" w:hAnsi="Arial" w:cs="Arial"/>
          <w:lang w:val="es-ES_tradnl"/>
        </w:rPr>
      </w:pPr>
      <w:r>
        <w:rPr>
          <w:rFonts w:ascii="Arial" w:hAnsi="Arial" w:cs="Arial"/>
          <w:lang w:val="es-ES_tradnl"/>
        </w:rPr>
        <w:t>La i</w:t>
      </w:r>
      <w:r w:rsidR="00CA783F" w:rsidRPr="002B0E33">
        <w:rPr>
          <w:rFonts w:ascii="Arial" w:hAnsi="Arial" w:cs="Arial"/>
          <w:lang w:val="es-ES_tradnl"/>
        </w:rPr>
        <w:t xml:space="preserve">nconstitucionalidad de la </w:t>
      </w:r>
      <w:r w:rsidR="00CA783F">
        <w:rPr>
          <w:rFonts w:ascii="Arial" w:hAnsi="Arial" w:cs="Arial"/>
          <w:lang w:val="es-ES_tradnl"/>
        </w:rPr>
        <w:t xml:space="preserve">derogación de la </w:t>
      </w:r>
      <w:r w:rsidR="00CA783F" w:rsidRPr="002B0E33">
        <w:rPr>
          <w:rFonts w:ascii="Arial" w:hAnsi="Arial" w:cs="Arial"/>
          <w:lang w:val="es-ES_tradnl"/>
        </w:rPr>
        <w:t>norma por afectar derechos y principios previamente reconocidos.</w:t>
      </w:r>
    </w:p>
    <w:p w14:paraId="2ACA37D0" w14:textId="77777777" w:rsidR="00C811D9" w:rsidRPr="00C811D9" w:rsidRDefault="00C811D9" w:rsidP="00C811D9">
      <w:pPr>
        <w:spacing w:before="100" w:beforeAutospacing="1" w:after="100" w:afterAutospacing="1" w:line="360" w:lineRule="auto"/>
        <w:jc w:val="both"/>
        <w:rPr>
          <w:rFonts w:ascii="Arial" w:hAnsi="Arial" w:cs="Arial"/>
          <w:lang w:val="es-ES_tradnl"/>
        </w:rPr>
      </w:pPr>
      <w:r w:rsidRPr="000567B5">
        <w:rPr>
          <w:rFonts w:ascii="Arial" w:hAnsi="Arial" w:cs="Arial"/>
          <w:lang w:val="es-ES_tradnl"/>
        </w:rPr>
        <w:t xml:space="preserve">Además, durante la audiencia y mediante el documento presentado por escrito, </w:t>
      </w:r>
      <w:r w:rsidR="008C3055">
        <w:rPr>
          <w:rFonts w:ascii="Arial" w:hAnsi="Arial" w:cs="Arial"/>
          <w:lang w:val="es-ES_tradnl"/>
        </w:rPr>
        <w:t xml:space="preserve">este Comité </w:t>
      </w:r>
      <w:r w:rsidRPr="000567B5">
        <w:rPr>
          <w:rFonts w:ascii="Arial" w:hAnsi="Arial" w:cs="Arial"/>
          <w:lang w:val="es-ES_tradnl"/>
        </w:rPr>
        <w:t>hizo de conocimiento detalles técnicos y jurídicos sobre la situación de la comunidad mexicana migrante, las condiciones de su participación política y el contexto social y jurídico para la implementación de la figura, en particular:</w:t>
      </w:r>
    </w:p>
    <w:p w14:paraId="2ACBF085" w14:textId="77777777" w:rsidR="00CA783F" w:rsidRDefault="00CA783F" w:rsidP="00991F83">
      <w:pPr>
        <w:pStyle w:val="Prrafodelista"/>
        <w:numPr>
          <w:ilvl w:val="0"/>
          <w:numId w:val="5"/>
        </w:numPr>
        <w:spacing w:before="100" w:beforeAutospacing="1" w:after="100" w:afterAutospacing="1" w:line="360" w:lineRule="auto"/>
        <w:jc w:val="both"/>
        <w:rPr>
          <w:rFonts w:ascii="Arial" w:hAnsi="Arial" w:cs="Arial"/>
          <w:lang w:val="es-ES_tradnl"/>
        </w:rPr>
      </w:pPr>
      <w:r w:rsidRPr="00225E0F">
        <w:rPr>
          <w:rFonts w:ascii="Arial" w:hAnsi="Arial" w:cs="Arial"/>
          <w:lang w:val="es-ES_tradnl"/>
        </w:rPr>
        <w:t xml:space="preserve">El </w:t>
      </w:r>
      <w:r>
        <w:rPr>
          <w:rFonts w:ascii="Arial" w:hAnsi="Arial" w:cs="Arial"/>
          <w:lang w:val="es-ES_tradnl"/>
        </w:rPr>
        <w:t xml:space="preserve">contexto teórico, demográfico y político que justificaría la inclusión de un representante para los ciudadanos mexicanos en calidad de migrantes. </w:t>
      </w:r>
    </w:p>
    <w:p w14:paraId="6CD6DC81" w14:textId="77777777" w:rsidR="00CA783F" w:rsidRDefault="00CA783F" w:rsidP="00991F83">
      <w:pPr>
        <w:pStyle w:val="Prrafodelista"/>
        <w:numPr>
          <w:ilvl w:val="0"/>
          <w:numId w:val="5"/>
        </w:numPr>
        <w:spacing w:before="100" w:beforeAutospacing="1" w:after="100" w:afterAutospacing="1" w:line="360" w:lineRule="auto"/>
        <w:jc w:val="both"/>
        <w:rPr>
          <w:rFonts w:ascii="Arial" w:hAnsi="Arial" w:cs="Arial"/>
          <w:lang w:val="es-ES_tradnl"/>
        </w:rPr>
      </w:pPr>
      <w:r>
        <w:rPr>
          <w:rFonts w:ascii="Arial" w:hAnsi="Arial" w:cs="Arial"/>
          <w:lang w:val="es-ES_tradnl"/>
        </w:rPr>
        <w:t>La experiencia mexicana y global en la incorporación de esta figura.</w:t>
      </w:r>
    </w:p>
    <w:p w14:paraId="09D637EE" w14:textId="77777777" w:rsidR="00CA783F" w:rsidRDefault="00CA783F" w:rsidP="00991F83">
      <w:pPr>
        <w:pStyle w:val="Prrafodelista"/>
        <w:numPr>
          <w:ilvl w:val="0"/>
          <w:numId w:val="5"/>
        </w:numPr>
        <w:spacing w:before="100" w:beforeAutospacing="1" w:after="100" w:afterAutospacing="1" w:line="360" w:lineRule="auto"/>
        <w:jc w:val="both"/>
        <w:rPr>
          <w:rFonts w:ascii="Arial" w:hAnsi="Arial" w:cs="Arial"/>
          <w:lang w:val="es-ES_tradnl"/>
        </w:rPr>
      </w:pPr>
      <w:r>
        <w:rPr>
          <w:rFonts w:ascii="Arial" w:hAnsi="Arial" w:cs="Arial"/>
          <w:lang w:val="es-ES_tradnl"/>
        </w:rPr>
        <w:t>Los posibles escenarios para implementar una diputación migrante en el Congreso de la Ciudad de México, atendiendo a la regulación y las limitaciones legales existentes.</w:t>
      </w:r>
    </w:p>
    <w:p w14:paraId="7A2C4AB2" w14:textId="77777777" w:rsidR="00CA783F" w:rsidRDefault="00CA783F" w:rsidP="00991F83">
      <w:pPr>
        <w:pStyle w:val="Prrafodelista"/>
        <w:numPr>
          <w:ilvl w:val="0"/>
          <w:numId w:val="5"/>
        </w:numPr>
        <w:spacing w:before="100" w:beforeAutospacing="1" w:after="100" w:afterAutospacing="1" w:line="360" w:lineRule="auto"/>
        <w:jc w:val="both"/>
        <w:rPr>
          <w:rFonts w:ascii="Arial" w:hAnsi="Arial" w:cs="Arial"/>
          <w:lang w:val="es-ES_tradnl"/>
        </w:rPr>
      </w:pPr>
      <w:r>
        <w:rPr>
          <w:rFonts w:ascii="Arial" w:hAnsi="Arial" w:cs="Arial"/>
          <w:lang w:val="es-ES_tradnl"/>
        </w:rPr>
        <w:t>El resultado de un sondeo y varias reuniones con mexicanos migrantes sobre la expectativa en</w:t>
      </w:r>
      <w:r w:rsidR="008C3055">
        <w:rPr>
          <w:rFonts w:ascii="Arial" w:hAnsi="Arial" w:cs="Arial"/>
          <w:lang w:val="es-ES_tradnl"/>
        </w:rPr>
        <w:t xml:space="preserve"> </w:t>
      </w:r>
      <w:r>
        <w:rPr>
          <w:rFonts w:ascii="Arial" w:hAnsi="Arial" w:cs="Arial"/>
          <w:lang w:val="es-ES_tradnl"/>
        </w:rPr>
        <w:t xml:space="preserve">torno a la diputación migrante, el proceso de credencialización, las campañas electorales en el </w:t>
      </w:r>
      <w:r>
        <w:rPr>
          <w:rFonts w:ascii="Arial" w:hAnsi="Arial" w:cs="Arial"/>
          <w:lang w:val="es-ES_tradnl"/>
        </w:rPr>
        <w:lastRenderedPageBreak/>
        <w:t>extranjero y la necesidad de lograr una inclusión política efectiva de dicho grupo poblacional.</w:t>
      </w:r>
    </w:p>
    <w:p w14:paraId="331CFA16" w14:textId="77777777" w:rsidR="002B400D" w:rsidRPr="00A07264" w:rsidRDefault="002B400D" w:rsidP="002B400D">
      <w:pPr>
        <w:pStyle w:val="Ttulo1"/>
        <w:spacing w:before="240" w:beforeAutospacing="0" w:after="240" w:afterAutospacing="0"/>
        <w:ind w:firstLine="708"/>
        <w:rPr>
          <w:rFonts w:eastAsiaTheme="minorHAnsi" w:cs="Arial"/>
          <w:caps w:val="0"/>
          <w:szCs w:val="24"/>
        </w:rPr>
      </w:pPr>
      <w:bookmarkStart w:id="10" w:name="_Toc48404869"/>
      <w:r>
        <w:rPr>
          <w:rFonts w:eastAsiaTheme="minorHAnsi" w:cs="Arial"/>
          <w:szCs w:val="24"/>
        </w:rPr>
        <w:t>5</w:t>
      </w:r>
      <w:r w:rsidRPr="00A07264">
        <w:rPr>
          <w:rFonts w:eastAsiaTheme="minorHAnsi" w:cs="Arial"/>
          <w:szCs w:val="24"/>
        </w:rPr>
        <w:t xml:space="preserve">. </w:t>
      </w:r>
      <w:r w:rsidRPr="00A07264">
        <w:rPr>
          <w:rFonts w:eastAsiaTheme="minorHAnsi" w:cs="Arial"/>
          <w:caps w:val="0"/>
          <w:szCs w:val="24"/>
        </w:rPr>
        <w:t>ESTUDIO DE FONDO</w:t>
      </w:r>
      <w:bookmarkEnd w:id="10"/>
    </w:p>
    <w:p w14:paraId="79B2F1C2" w14:textId="77777777" w:rsidR="00E80EE6" w:rsidRPr="006215A7" w:rsidRDefault="00CA783F" w:rsidP="00D72782">
      <w:pPr>
        <w:pStyle w:val="Ttulo1"/>
        <w:spacing w:before="240" w:beforeAutospacing="0" w:after="240" w:afterAutospacing="0"/>
        <w:jc w:val="both"/>
        <w:rPr>
          <w:rFonts w:ascii="Arial Negrita" w:eastAsiaTheme="minorHAnsi" w:hAnsi="Arial Negrita" w:cs="Arial"/>
          <w:caps w:val="0"/>
          <w:szCs w:val="24"/>
        </w:rPr>
      </w:pPr>
      <w:bookmarkStart w:id="11" w:name="_Toc48404870"/>
      <w:r w:rsidRPr="006215A7">
        <w:rPr>
          <w:rFonts w:ascii="Arial Negrita" w:eastAsiaTheme="minorHAnsi" w:hAnsi="Arial Negrita" w:cs="Arial"/>
          <w:caps w:val="0"/>
          <w:szCs w:val="24"/>
        </w:rPr>
        <w:t>5.</w:t>
      </w:r>
      <w:r w:rsidR="00DF198F" w:rsidRPr="006215A7">
        <w:rPr>
          <w:rFonts w:ascii="Arial Negrita" w:eastAsiaTheme="minorHAnsi" w:hAnsi="Arial Negrita" w:cs="Arial"/>
          <w:caps w:val="0"/>
          <w:szCs w:val="24"/>
        </w:rPr>
        <w:t>1</w:t>
      </w:r>
      <w:r w:rsidRPr="006215A7">
        <w:rPr>
          <w:rFonts w:ascii="Arial Negrita" w:eastAsiaTheme="minorHAnsi" w:hAnsi="Arial Negrita" w:cs="Arial"/>
          <w:caps w:val="0"/>
          <w:szCs w:val="24"/>
        </w:rPr>
        <w:t xml:space="preserve">. </w:t>
      </w:r>
      <w:r w:rsidR="002B400D" w:rsidRPr="006215A7">
        <w:rPr>
          <w:rFonts w:ascii="Arial Negrita" w:eastAsiaTheme="minorHAnsi" w:hAnsi="Arial Negrita" w:cs="Arial"/>
          <w:caps w:val="0"/>
          <w:szCs w:val="24"/>
        </w:rPr>
        <w:t>P</w:t>
      </w:r>
      <w:r w:rsidR="00E80EE6" w:rsidRPr="006215A7">
        <w:rPr>
          <w:rFonts w:ascii="Arial Negrita" w:eastAsiaTheme="minorHAnsi" w:hAnsi="Arial Negrita" w:cs="Arial"/>
          <w:caps w:val="0"/>
          <w:szCs w:val="24"/>
        </w:rPr>
        <w:t>roblema jurídico y metodología de estudio</w:t>
      </w:r>
      <w:bookmarkEnd w:id="11"/>
    </w:p>
    <w:p w14:paraId="60F1A286" w14:textId="77777777" w:rsidR="00E80EE6" w:rsidRDefault="00E80EE6" w:rsidP="00E80EE6">
      <w:pPr>
        <w:spacing w:before="240" w:after="240" w:line="360" w:lineRule="auto"/>
        <w:jc w:val="both"/>
        <w:rPr>
          <w:rFonts w:ascii="Arial" w:hAnsi="Arial" w:cs="Arial"/>
        </w:rPr>
      </w:pPr>
      <w:r>
        <w:rPr>
          <w:rFonts w:ascii="Arial" w:hAnsi="Arial" w:cs="Arial"/>
        </w:rPr>
        <w:t>El problema que se analiza en este recurso se originó cuando el Congreso local determinó suprimir la figura de la diputación migrante</w:t>
      </w:r>
      <w:r w:rsidR="00042A49">
        <w:rPr>
          <w:rFonts w:ascii="Arial" w:hAnsi="Arial" w:cs="Arial"/>
        </w:rPr>
        <w:t xml:space="preserve"> y</w:t>
      </w:r>
      <w:r w:rsidR="009B6599">
        <w:rPr>
          <w:rFonts w:ascii="Arial" w:hAnsi="Arial" w:cs="Arial"/>
        </w:rPr>
        <w:t xml:space="preserve"> con ello el derecho humano fundamental a</w:t>
      </w:r>
      <w:r w:rsidR="00D8555B">
        <w:rPr>
          <w:rFonts w:ascii="Arial" w:hAnsi="Arial" w:cs="Arial"/>
        </w:rPr>
        <w:t xml:space="preserve"> la </w:t>
      </w:r>
      <w:r w:rsidR="00D46AE2">
        <w:rPr>
          <w:rFonts w:ascii="Arial" w:hAnsi="Arial" w:cs="Arial"/>
        </w:rPr>
        <w:t>participación</w:t>
      </w:r>
      <w:r w:rsidR="00D8555B">
        <w:rPr>
          <w:rFonts w:ascii="Arial" w:hAnsi="Arial" w:cs="Arial"/>
        </w:rPr>
        <w:t xml:space="preserve"> y representación</w:t>
      </w:r>
      <w:r w:rsidR="00D46AE2">
        <w:rPr>
          <w:rFonts w:ascii="Arial" w:hAnsi="Arial" w:cs="Arial"/>
        </w:rPr>
        <w:t xml:space="preserve"> política de personas mexicanas originarias de la Ciudad de México </w:t>
      </w:r>
      <w:r w:rsidR="008C3055">
        <w:rPr>
          <w:rFonts w:ascii="Arial" w:hAnsi="Arial" w:cs="Arial"/>
        </w:rPr>
        <w:t>que</w:t>
      </w:r>
      <w:r w:rsidR="00D46AE2">
        <w:rPr>
          <w:rFonts w:ascii="Arial" w:hAnsi="Arial" w:cs="Arial"/>
        </w:rPr>
        <w:t xml:space="preserve"> residen en el extranjero, en su vertiente de</w:t>
      </w:r>
      <w:r w:rsidR="00344BA6">
        <w:rPr>
          <w:rFonts w:ascii="Arial" w:hAnsi="Arial" w:cs="Arial"/>
        </w:rPr>
        <w:t>l</w:t>
      </w:r>
      <w:r w:rsidR="00D8555B">
        <w:rPr>
          <w:rFonts w:ascii="Arial" w:hAnsi="Arial" w:cs="Arial"/>
        </w:rPr>
        <w:t xml:space="preserve"> </w:t>
      </w:r>
      <w:r w:rsidR="009B6599">
        <w:rPr>
          <w:rFonts w:ascii="Arial" w:hAnsi="Arial" w:cs="Arial"/>
        </w:rPr>
        <w:t>sufragio tanto activo como pasivo de la ciudadanía</w:t>
      </w:r>
      <w:r>
        <w:rPr>
          <w:rFonts w:ascii="Arial" w:hAnsi="Arial" w:cs="Arial"/>
        </w:rPr>
        <w:t xml:space="preserve">. </w:t>
      </w:r>
    </w:p>
    <w:p w14:paraId="30F4E30B" w14:textId="77777777" w:rsidR="009652E7" w:rsidRDefault="00E80EE6" w:rsidP="002B400D">
      <w:pPr>
        <w:spacing w:before="240" w:after="240" w:line="360" w:lineRule="auto"/>
        <w:jc w:val="both"/>
        <w:rPr>
          <w:rFonts w:ascii="Arial" w:hAnsi="Arial" w:cs="Arial"/>
        </w:rPr>
      </w:pPr>
      <w:r>
        <w:rPr>
          <w:rFonts w:ascii="Arial" w:hAnsi="Arial" w:cs="Arial"/>
        </w:rPr>
        <w:t>En un primer momento, el Tribunal local consideró que no podía analizar dicho acto legislativo</w:t>
      </w:r>
      <w:r w:rsidR="002D42DC">
        <w:rPr>
          <w:rFonts w:ascii="Arial" w:hAnsi="Arial" w:cs="Arial"/>
        </w:rPr>
        <w:t xml:space="preserve"> por carecer de competencia legal</w:t>
      </w:r>
      <w:r>
        <w:rPr>
          <w:rFonts w:ascii="Arial" w:hAnsi="Arial" w:cs="Arial"/>
        </w:rPr>
        <w:t xml:space="preserve">. Sin embargo, </w:t>
      </w:r>
      <w:r w:rsidR="000E2DC5">
        <w:rPr>
          <w:rFonts w:ascii="Arial" w:hAnsi="Arial" w:cs="Arial"/>
        </w:rPr>
        <w:t>tras la impugnación</w:t>
      </w:r>
      <w:r>
        <w:rPr>
          <w:rFonts w:ascii="Arial" w:hAnsi="Arial" w:cs="Arial"/>
        </w:rPr>
        <w:t xml:space="preserve"> ante la Sala Regional, ésta consideró que </w:t>
      </w:r>
      <w:r w:rsidR="00DC246D">
        <w:rPr>
          <w:rFonts w:ascii="Arial" w:hAnsi="Arial" w:cs="Arial"/>
        </w:rPr>
        <w:t xml:space="preserve">el </w:t>
      </w:r>
      <w:r w:rsidR="008C3055">
        <w:rPr>
          <w:rFonts w:ascii="Arial" w:hAnsi="Arial" w:cs="Arial"/>
        </w:rPr>
        <w:t>T</w:t>
      </w:r>
      <w:r w:rsidR="00DC246D">
        <w:rPr>
          <w:rFonts w:ascii="Arial" w:hAnsi="Arial" w:cs="Arial"/>
        </w:rPr>
        <w:t xml:space="preserve">ribunal local </w:t>
      </w:r>
      <w:r>
        <w:rPr>
          <w:rFonts w:ascii="Arial" w:hAnsi="Arial" w:cs="Arial"/>
        </w:rPr>
        <w:t xml:space="preserve">sí tenía </w:t>
      </w:r>
      <w:r w:rsidR="00F46EAF" w:rsidRPr="00E80EE6">
        <w:rPr>
          <w:rFonts w:ascii="Arial" w:hAnsi="Arial" w:cs="Arial"/>
        </w:rPr>
        <w:t xml:space="preserve">competencia para conocer del problema jurídico que le fue planteado </w:t>
      </w:r>
      <w:r w:rsidR="008C3055">
        <w:rPr>
          <w:rFonts w:ascii="Arial" w:hAnsi="Arial" w:cs="Arial"/>
        </w:rPr>
        <w:t>por lo que</w:t>
      </w:r>
      <w:r w:rsidR="00F46EAF" w:rsidRPr="00E80EE6">
        <w:rPr>
          <w:rFonts w:ascii="Arial" w:hAnsi="Arial" w:cs="Arial"/>
        </w:rPr>
        <w:t xml:space="preserve">, en plenitud de jurisdicción, </w:t>
      </w:r>
      <w:r w:rsidR="008C3055">
        <w:rPr>
          <w:rFonts w:ascii="Arial" w:hAnsi="Arial" w:cs="Arial"/>
        </w:rPr>
        <w:t xml:space="preserve">la Sala </w:t>
      </w:r>
      <w:r w:rsidR="00F46EAF" w:rsidRPr="00E80EE6">
        <w:rPr>
          <w:rFonts w:ascii="Arial" w:hAnsi="Arial" w:cs="Arial"/>
        </w:rPr>
        <w:t>revocó el acuerdo legislativo por el cual se derogó la figura de diputación migrante, lo que tuvo como consecuencia dejar vigente la figura</w:t>
      </w:r>
      <w:r w:rsidR="00672569">
        <w:rPr>
          <w:rFonts w:ascii="Arial" w:hAnsi="Arial" w:cs="Arial"/>
        </w:rPr>
        <w:t>, tal y como</w:t>
      </w:r>
      <w:r w:rsidR="00F46EAF" w:rsidRPr="00E80EE6">
        <w:rPr>
          <w:rFonts w:ascii="Arial" w:hAnsi="Arial" w:cs="Arial"/>
        </w:rPr>
        <w:t xml:space="preserve"> se publicó en 2017. </w:t>
      </w:r>
    </w:p>
    <w:p w14:paraId="3DB6FA35" w14:textId="77777777" w:rsidR="00E80EE6" w:rsidRDefault="00E80EE6" w:rsidP="002B400D">
      <w:pPr>
        <w:spacing w:before="240" w:after="240" w:line="360" w:lineRule="auto"/>
        <w:jc w:val="both"/>
        <w:rPr>
          <w:rFonts w:ascii="Arial" w:hAnsi="Arial" w:cs="Arial"/>
        </w:rPr>
      </w:pPr>
      <w:r>
        <w:rPr>
          <w:rFonts w:ascii="Arial" w:hAnsi="Arial" w:cs="Arial"/>
        </w:rPr>
        <w:t xml:space="preserve">En esta instancia, el partido MORENA impugna la decisión de la </w:t>
      </w:r>
      <w:r w:rsidR="008C3055" w:rsidRPr="00A61E75">
        <w:rPr>
          <w:rFonts w:ascii="Arial" w:hAnsi="Arial" w:cs="Arial"/>
        </w:rPr>
        <w:t>S</w:t>
      </w:r>
      <w:r w:rsidRPr="00A61E75">
        <w:rPr>
          <w:rFonts w:ascii="Arial" w:hAnsi="Arial" w:cs="Arial"/>
        </w:rPr>
        <w:t xml:space="preserve">ala </w:t>
      </w:r>
      <w:r w:rsidR="008C3055" w:rsidRPr="00A61E75">
        <w:rPr>
          <w:rFonts w:ascii="Arial" w:hAnsi="Arial" w:cs="Arial"/>
        </w:rPr>
        <w:t>R</w:t>
      </w:r>
      <w:r w:rsidRPr="00A61E75">
        <w:rPr>
          <w:rFonts w:ascii="Arial" w:hAnsi="Arial" w:cs="Arial"/>
        </w:rPr>
        <w:t>egional</w:t>
      </w:r>
      <w:r>
        <w:rPr>
          <w:rFonts w:ascii="Arial" w:hAnsi="Arial" w:cs="Arial"/>
        </w:rPr>
        <w:t xml:space="preserve">, pretendiendo revoque la resolución impugnada y, por tanto, que subsistan los efectos derogatorios de la figura de la diputación migrante. Esto es, la pretensión </w:t>
      </w:r>
      <w:r w:rsidR="00F13B82">
        <w:rPr>
          <w:rFonts w:ascii="Arial" w:hAnsi="Arial" w:cs="Arial"/>
        </w:rPr>
        <w:t xml:space="preserve">final </w:t>
      </w:r>
      <w:r>
        <w:rPr>
          <w:rFonts w:ascii="Arial" w:hAnsi="Arial" w:cs="Arial"/>
        </w:rPr>
        <w:t>de MORENA es que se mantenga la supresión de la diputación migrante.</w:t>
      </w:r>
    </w:p>
    <w:p w14:paraId="2FA99B98" w14:textId="77777777" w:rsidR="009B726E" w:rsidRPr="00E80EE6" w:rsidRDefault="00E80EE6" w:rsidP="00E80EE6">
      <w:pPr>
        <w:spacing w:before="240" w:after="240" w:line="360" w:lineRule="auto"/>
        <w:jc w:val="both"/>
        <w:rPr>
          <w:rFonts w:ascii="Arial" w:hAnsi="Arial" w:cs="Arial"/>
          <w:u w:val="single"/>
        </w:rPr>
      </w:pPr>
      <w:r>
        <w:rPr>
          <w:rFonts w:ascii="Arial" w:hAnsi="Arial" w:cs="Arial"/>
        </w:rPr>
        <w:t xml:space="preserve">A juicio de la parte </w:t>
      </w:r>
      <w:r w:rsidR="0029054D">
        <w:rPr>
          <w:rFonts w:ascii="Arial" w:hAnsi="Arial" w:cs="Arial"/>
        </w:rPr>
        <w:t>recurrente</w:t>
      </w:r>
      <w:r>
        <w:rPr>
          <w:rFonts w:ascii="Arial" w:hAnsi="Arial" w:cs="Arial"/>
        </w:rPr>
        <w:t xml:space="preserve">, la </w:t>
      </w:r>
      <w:r w:rsidR="008C3055">
        <w:rPr>
          <w:rFonts w:ascii="Arial" w:hAnsi="Arial" w:cs="Arial"/>
        </w:rPr>
        <w:t>S</w:t>
      </w:r>
      <w:r>
        <w:rPr>
          <w:rFonts w:ascii="Arial" w:hAnsi="Arial" w:cs="Arial"/>
        </w:rPr>
        <w:t xml:space="preserve">ala </w:t>
      </w:r>
      <w:r w:rsidR="008C3055">
        <w:rPr>
          <w:rFonts w:ascii="Arial" w:hAnsi="Arial" w:cs="Arial"/>
        </w:rPr>
        <w:t>R</w:t>
      </w:r>
      <w:r>
        <w:rPr>
          <w:rFonts w:ascii="Arial" w:hAnsi="Arial" w:cs="Arial"/>
        </w:rPr>
        <w:t>egional fundó y motivó indebidamente su decisión porque, debió advertir que se actualizaba una causal de improcedencia</w:t>
      </w:r>
      <w:r w:rsidR="0029054D">
        <w:rPr>
          <w:rFonts w:ascii="Arial" w:hAnsi="Arial" w:cs="Arial"/>
        </w:rPr>
        <w:t>,</w:t>
      </w:r>
      <w:r>
        <w:rPr>
          <w:rFonts w:ascii="Arial" w:hAnsi="Arial" w:cs="Arial"/>
        </w:rPr>
        <w:t xml:space="preserve"> dado que la vía para analizar la validez </w:t>
      </w:r>
      <w:r>
        <w:rPr>
          <w:rFonts w:ascii="Arial" w:hAnsi="Arial" w:cs="Arial"/>
        </w:rPr>
        <w:lastRenderedPageBreak/>
        <w:t xml:space="preserve">constitucional del acto legislativo no era el juicio ciudadano electoral, sino la acción de inconstitucionalidad. </w:t>
      </w:r>
    </w:p>
    <w:p w14:paraId="18C2F5FB" w14:textId="77777777" w:rsidR="00E115D8" w:rsidRPr="00E80EE6" w:rsidRDefault="00E37480" w:rsidP="00E37480">
      <w:pPr>
        <w:spacing w:before="240" w:after="240" w:line="360" w:lineRule="auto"/>
        <w:jc w:val="both"/>
        <w:rPr>
          <w:rFonts w:ascii="Arial" w:hAnsi="Arial" w:cs="Arial"/>
        </w:rPr>
      </w:pPr>
      <w:r w:rsidRPr="00E80EE6">
        <w:rPr>
          <w:rFonts w:ascii="Arial" w:hAnsi="Arial" w:cs="Arial"/>
        </w:rPr>
        <w:t>En este sentido, el recurrente afirma que</w:t>
      </w:r>
      <w:r w:rsidR="00E115D8" w:rsidRPr="00E80EE6">
        <w:rPr>
          <w:rFonts w:ascii="Arial" w:hAnsi="Arial" w:cs="Arial"/>
        </w:rPr>
        <w:t>:</w:t>
      </w:r>
    </w:p>
    <w:p w14:paraId="0A6356E8" w14:textId="77777777" w:rsidR="00E115D8" w:rsidRPr="00E80EE6" w:rsidRDefault="00E115D8" w:rsidP="00991F83">
      <w:pPr>
        <w:pStyle w:val="Prrafodelista"/>
        <w:numPr>
          <w:ilvl w:val="0"/>
          <w:numId w:val="7"/>
        </w:numPr>
        <w:spacing w:before="240" w:after="240" w:line="360" w:lineRule="auto"/>
        <w:jc w:val="both"/>
        <w:rPr>
          <w:rFonts w:ascii="Arial" w:hAnsi="Arial" w:cs="Arial"/>
        </w:rPr>
      </w:pPr>
      <w:r w:rsidRPr="00E80EE6">
        <w:rPr>
          <w:rFonts w:ascii="Arial" w:hAnsi="Arial" w:cs="Arial"/>
        </w:rPr>
        <w:t>L</w:t>
      </w:r>
      <w:r w:rsidR="00E37480" w:rsidRPr="00E80EE6">
        <w:rPr>
          <w:rFonts w:ascii="Arial" w:hAnsi="Arial" w:cs="Arial"/>
        </w:rPr>
        <w:t xml:space="preserve">os actores no demostraron la existencia de un acto concreto de aplicación ni la </w:t>
      </w:r>
      <w:r w:rsidR="008C3055">
        <w:rPr>
          <w:rFonts w:ascii="Arial" w:hAnsi="Arial" w:cs="Arial"/>
        </w:rPr>
        <w:t>S</w:t>
      </w:r>
      <w:r w:rsidR="00E37480" w:rsidRPr="00E80EE6">
        <w:rPr>
          <w:rFonts w:ascii="Arial" w:hAnsi="Arial" w:cs="Arial"/>
        </w:rPr>
        <w:t xml:space="preserve">ala </w:t>
      </w:r>
      <w:r w:rsidR="008C3055">
        <w:rPr>
          <w:rFonts w:ascii="Arial" w:hAnsi="Arial" w:cs="Arial"/>
        </w:rPr>
        <w:t>R</w:t>
      </w:r>
      <w:r w:rsidR="00E37480" w:rsidRPr="00E80EE6">
        <w:rPr>
          <w:rFonts w:ascii="Arial" w:hAnsi="Arial" w:cs="Arial"/>
        </w:rPr>
        <w:t xml:space="preserve">egional lo demostró, máxime que el proceso electoral no ha comenzado. </w:t>
      </w:r>
    </w:p>
    <w:p w14:paraId="2009C904" w14:textId="77777777" w:rsidR="00E115D8" w:rsidRPr="00E80EE6" w:rsidRDefault="00E115D8" w:rsidP="00E115D8">
      <w:pPr>
        <w:pStyle w:val="Prrafodelista"/>
        <w:spacing w:before="240" w:after="240" w:line="360" w:lineRule="auto"/>
        <w:ind w:left="790"/>
        <w:jc w:val="both"/>
        <w:rPr>
          <w:rFonts w:ascii="Arial" w:hAnsi="Arial" w:cs="Arial"/>
        </w:rPr>
      </w:pPr>
    </w:p>
    <w:p w14:paraId="327163EA" w14:textId="77777777" w:rsidR="00E115D8" w:rsidRPr="00E80EE6" w:rsidRDefault="00E37480" w:rsidP="00991F83">
      <w:pPr>
        <w:pStyle w:val="Prrafodelista"/>
        <w:numPr>
          <w:ilvl w:val="0"/>
          <w:numId w:val="7"/>
        </w:numPr>
        <w:spacing w:before="240" w:after="240" w:line="360" w:lineRule="auto"/>
        <w:jc w:val="both"/>
        <w:rPr>
          <w:rFonts w:ascii="Arial" w:hAnsi="Arial" w:cs="Arial"/>
        </w:rPr>
      </w:pPr>
      <w:r w:rsidRPr="00E80EE6">
        <w:rPr>
          <w:rFonts w:ascii="Arial" w:hAnsi="Arial" w:cs="Arial"/>
        </w:rPr>
        <w:t xml:space="preserve">Los efectos de la sentencia controvertida evidencian un exceso en las atribuciones de la </w:t>
      </w:r>
      <w:r w:rsidR="008C3055">
        <w:rPr>
          <w:rFonts w:ascii="Arial" w:hAnsi="Arial" w:cs="Arial"/>
        </w:rPr>
        <w:t>S</w:t>
      </w:r>
      <w:r w:rsidRPr="00E80EE6">
        <w:rPr>
          <w:rFonts w:ascii="Arial" w:hAnsi="Arial" w:cs="Arial"/>
        </w:rPr>
        <w:t xml:space="preserve">ala </w:t>
      </w:r>
      <w:r w:rsidR="008C3055">
        <w:rPr>
          <w:rFonts w:ascii="Arial" w:hAnsi="Arial" w:cs="Arial"/>
        </w:rPr>
        <w:t>R</w:t>
      </w:r>
      <w:r w:rsidRPr="00E80EE6">
        <w:rPr>
          <w:rFonts w:ascii="Arial" w:hAnsi="Arial" w:cs="Arial"/>
        </w:rPr>
        <w:t>egional, pues fueron generales para todo el proceso electoral 2020-2021</w:t>
      </w:r>
      <w:r w:rsidR="008C3055">
        <w:rPr>
          <w:rFonts w:ascii="Arial" w:hAnsi="Arial" w:cs="Arial"/>
        </w:rPr>
        <w:t>,</w:t>
      </w:r>
      <w:r w:rsidRPr="00E80EE6">
        <w:rPr>
          <w:rFonts w:ascii="Arial" w:hAnsi="Arial" w:cs="Arial"/>
        </w:rPr>
        <w:t xml:space="preserve"> sin mencionar </w:t>
      </w:r>
      <w:r w:rsidR="00E115D8" w:rsidRPr="00E80EE6">
        <w:rPr>
          <w:rFonts w:ascii="Arial" w:hAnsi="Arial" w:cs="Arial"/>
        </w:rPr>
        <w:t>alguno posterior</w:t>
      </w:r>
      <w:r w:rsidRPr="00E80EE6">
        <w:rPr>
          <w:rFonts w:ascii="Arial" w:hAnsi="Arial" w:cs="Arial"/>
        </w:rPr>
        <w:t>.</w:t>
      </w:r>
    </w:p>
    <w:p w14:paraId="4312CA18" w14:textId="77777777" w:rsidR="00E115D8" w:rsidRPr="00E80EE6" w:rsidRDefault="00E115D8" w:rsidP="00E115D8">
      <w:pPr>
        <w:pStyle w:val="Prrafodelista"/>
        <w:rPr>
          <w:rFonts w:ascii="Arial" w:hAnsi="Arial" w:cs="Arial"/>
        </w:rPr>
      </w:pPr>
    </w:p>
    <w:p w14:paraId="42DFDC80" w14:textId="77777777" w:rsidR="00E115D8" w:rsidRPr="00E80EE6" w:rsidRDefault="00E37480" w:rsidP="00991F83">
      <w:pPr>
        <w:pStyle w:val="Prrafodelista"/>
        <w:numPr>
          <w:ilvl w:val="0"/>
          <w:numId w:val="7"/>
        </w:numPr>
        <w:spacing w:before="240" w:after="240" w:line="360" w:lineRule="auto"/>
        <w:jc w:val="both"/>
        <w:rPr>
          <w:rFonts w:ascii="Arial" w:hAnsi="Arial" w:cs="Arial"/>
        </w:rPr>
      </w:pPr>
      <w:r w:rsidRPr="00E80EE6">
        <w:rPr>
          <w:rFonts w:ascii="Arial" w:hAnsi="Arial" w:cs="Arial"/>
        </w:rPr>
        <w:t xml:space="preserve">La </w:t>
      </w:r>
      <w:r w:rsidR="008C3055">
        <w:rPr>
          <w:rFonts w:ascii="Arial" w:hAnsi="Arial" w:cs="Arial"/>
        </w:rPr>
        <w:t>S</w:t>
      </w:r>
      <w:r w:rsidRPr="00E80EE6">
        <w:rPr>
          <w:rFonts w:ascii="Arial" w:hAnsi="Arial" w:cs="Arial"/>
        </w:rPr>
        <w:t xml:space="preserve">ala </w:t>
      </w:r>
      <w:r w:rsidR="008C3055">
        <w:rPr>
          <w:rFonts w:ascii="Arial" w:hAnsi="Arial" w:cs="Arial"/>
        </w:rPr>
        <w:t>R</w:t>
      </w:r>
      <w:r w:rsidRPr="00E80EE6">
        <w:rPr>
          <w:rFonts w:ascii="Arial" w:hAnsi="Arial" w:cs="Arial"/>
        </w:rPr>
        <w:t>egional actuó indebidamente</w:t>
      </w:r>
      <w:r w:rsidR="008C3055">
        <w:rPr>
          <w:rFonts w:ascii="Arial" w:hAnsi="Arial" w:cs="Arial"/>
        </w:rPr>
        <w:t>,</w:t>
      </w:r>
      <w:r w:rsidRPr="00E80EE6">
        <w:rPr>
          <w:rFonts w:ascii="Arial" w:hAnsi="Arial" w:cs="Arial"/>
        </w:rPr>
        <w:t xml:space="preserve"> porque la parte actora no demostró tener residencia en el extranjero </w:t>
      </w:r>
      <w:r w:rsidR="00A70A63">
        <w:rPr>
          <w:rFonts w:ascii="Arial" w:hAnsi="Arial" w:cs="Arial"/>
        </w:rPr>
        <w:t>para poder participar bajo esta figura en</w:t>
      </w:r>
      <w:r w:rsidR="00A70A63" w:rsidRPr="00E80EE6">
        <w:rPr>
          <w:rFonts w:ascii="Arial" w:hAnsi="Arial" w:cs="Arial"/>
        </w:rPr>
        <w:t xml:space="preserve"> </w:t>
      </w:r>
      <w:r w:rsidRPr="00E80EE6">
        <w:rPr>
          <w:rFonts w:ascii="Arial" w:hAnsi="Arial" w:cs="Arial"/>
        </w:rPr>
        <w:t>el próximo proceso electoral, es decir, no contaban con interés jurídico ni legítimo al no existir acto concreto que les causara afectación</w:t>
      </w:r>
      <w:r w:rsidR="00BD058F" w:rsidRPr="00E80EE6">
        <w:rPr>
          <w:rFonts w:ascii="Arial" w:hAnsi="Arial" w:cs="Arial"/>
        </w:rPr>
        <w:t xml:space="preserve">, aunado a que </w:t>
      </w:r>
      <w:r w:rsidRPr="00E80EE6">
        <w:rPr>
          <w:rFonts w:ascii="Arial" w:hAnsi="Arial" w:cs="Arial"/>
        </w:rPr>
        <w:t>no se tomó en cuenta</w:t>
      </w:r>
      <w:r w:rsidR="00BD058F" w:rsidRPr="00E80EE6">
        <w:rPr>
          <w:rFonts w:ascii="Arial" w:hAnsi="Arial" w:cs="Arial"/>
        </w:rPr>
        <w:t xml:space="preserve"> que</w:t>
      </w:r>
      <w:r w:rsidRPr="00E80EE6">
        <w:rPr>
          <w:rFonts w:ascii="Arial" w:hAnsi="Arial" w:cs="Arial"/>
        </w:rPr>
        <w:t xml:space="preserve"> </w:t>
      </w:r>
      <w:r w:rsidR="00E115D8" w:rsidRPr="00E80EE6">
        <w:rPr>
          <w:rFonts w:ascii="Arial" w:hAnsi="Arial" w:cs="Arial"/>
        </w:rPr>
        <w:t>el</w:t>
      </w:r>
      <w:r w:rsidRPr="00E80EE6">
        <w:rPr>
          <w:rFonts w:ascii="Arial" w:hAnsi="Arial" w:cs="Arial"/>
        </w:rPr>
        <w:t xml:space="preserve"> artículo 35 constitucional</w:t>
      </w:r>
      <w:r w:rsidR="00BD058F" w:rsidRPr="00E80EE6">
        <w:rPr>
          <w:rFonts w:ascii="Arial" w:hAnsi="Arial" w:cs="Arial"/>
        </w:rPr>
        <w:t xml:space="preserve"> </w:t>
      </w:r>
      <w:r w:rsidR="00E115D8" w:rsidRPr="00E80EE6">
        <w:rPr>
          <w:rFonts w:ascii="Arial" w:hAnsi="Arial" w:cs="Arial"/>
        </w:rPr>
        <w:t>establece</w:t>
      </w:r>
      <w:r w:rsidR="00BD058F" w:rsidRPr="00E80EE6">
        <w:rPr>
          <w:rFonts w:ascii="Arial" w:hAnsi="Arial" w:cs="Arial"/>
        </w:rPr>
        <w:t xml:space="preserve"> </w:t>
      </w:r>
      <w:r w:rsidRPr="00E80EE6">
        <w:rPr>
          <w:rFonts w:ascii="Arial" w:hAnsi="Arial" w:cs="Arial"/>
        </w:rPr>
        <w:t>que el derecho a votar y ser votado se puede ejercer siempre y cuando se cumplan con las calidades que exija la ley.</w:t>
      </w:r>
    </w:p>
    <w:p w14:paraId="211AF5EA" w14:textId="77777777" w:rsidR="00E115D8" w:rsidRPr="00E80EE6" w:rsidRDefault="00E115D8" w:rsidP="00E115D8">
      <w:pPr>
        <w:pStyle w:val="Prrafodelista"/>
        <w:rPr>
          <w:rFonts w:ascii="Arial" w:hAnsi="Arial" w:cs="Arial"/>
        </w:rPr>
      </w:pPr>
    </w:p>
    <w:p w14:paraId="2258DC90" w14:textId="77777777" w:rsidR="00E37480" w:rsidRDefault="00BD058F" w:rsidP="00991F83">
      <w:pPr>
        <w:pStyle w:val="Prrafodelista"/>
        <w:numPr>
          <w:ilvl w:val="0"/>
          <w:numId w:val="7"/>
        </w:numPr>
        <w:spacing w:before="240" w:after="240" w:line="360" w:lineRule="auto"/>
        <w:jc w:val="both"/>
        <w:rPr>
          <w:rFonts w:ascii="Arial" w:hAnsi="Arial" w:cs="Arial"/>
        </w:rPr>
      </w:pPr>
      <w:r w:rsidRPr="00E80EE6">
        <w:rPr>
          <w:rFonts w:ascii="Arial" w:hAnsi="Arial" w:cs="Arial"/>
        </w:rPr>
        <w:t xml:space="preserve">La </w:t>
      </w:r>
      <w:r w:rsidR="00A70A63">
        <w:rPr>
          <w:rFonts w:ascii="Arial" w:hAnsi="Arial" w:cs="Arial"/>
        </w:rPr>
        <w:t>S</w:t>
      </w:r>
      <w:r w:rsidRPr="00E80EE6">
        <w:rPr>
          <w:rFonts w:ascii="Arial" w:hAnsi="Arial" w:cs="Arial"/>
        </w:rPr>
        <w:t xml:space="preserve">ala responsable omitió que los ciudadanos tenían a su alcance un recurso efectivo a través de una acción de inconstitucionalidad local, pero prefirieron ignorar la </w:t>
      </w:r>
      <w:r w:rsidR="00A70A63">
        <w:rPr>
          <w:rFonts w:ascii="Arial" w:hAnsi="Arial" w:cs="Arial"/>
        </w:rPr>
        <w:t>C</w:t>
      </w:r>
      <w:r w:rsidRPr="00E80EE6">
        <w:rPr>
          <w:rFonts w:ascii="Arial" w:hAnsi="Arial" w:cs="Arial"/>
        </w:rPr>
        <w:t>onstitución local al presentar el juicio federal</w:t>
      </w:r>
      <w:r w:rsidR="00A70A63">
        <w:rPr>
          <w:rFonts w:ascii="Arial" w:hAnsi="Arial" w:cs="Arial"/>
        </w:rPr>
        <w:t>,</w:t>
      </w:r>
      <w:r w:rsidRPr="00E80EE6">
        <w:rPr>
          <w:rFonts w:ascii="Arial" w:hAnsi="Arial" w:cs="Arial"/>
        </w:rPr>
        <w:t xml:space="preserve"> </w:t>
      </w:r>
      <w:r w:rsidR="00A70A63">
        <w:rPr>
          <w:rFonts w:ascii="Arial" w:hAnsi="Arial" w:cs="Arial"/>
        </w:rPr>
        <w:t>p</w:t>
      </w:r>
      <w:r w:rsidRPr="00E80EE6">
        <w:rPr>
          <w:rFonts w:ascii="Arial" w:hAnsi="Arial" w:cs="Arial"/>
        </w:rPr>
        <w:t xml:space="preserve">or </w:t>
      </w:r>
      <w:r w:rsidR="00885A75" w:rsidRPr="00E80EE6">
        <w:rPr>
          <w:rFonts w:ascii="Arial" w:hAnsi="Arial" w:cs="Arial"/>
        </w:rPr>
        <w:t>lo que</w:t>
      </w:r>
      <w:r w:rsidRPr="00E80EE6">
        <w:rPr>
          <w:rFonts w:ascii="Arial" w:hAnsi="Arial" w:cs="Arial"/>
        </w:rPr>
        <w:t xml:space="preserve"> l</w:t>
      </w:r>
      <w:r w:rsidR="00E37480" w:rsidRPr="00E80EE6">
        <w:rPr>
          <w:rFonts w:ascii="Arial" w:hAnsi="Arial" w:cs="Arial"/>
        </w:rPr>
        <w:t xml:space="preserve">a competencia de la controversia le correspondía al a Sala </w:t>
      </w:r>
      <w:r w:rsidR="00B92DA5">
        <w:rPr>
          <w:rFonts w:ascii="Arial" w:hAnsi="Arial" w:cs="Arial"/>
        </w:rPr>
        <w:t xml:space="preserve">Constitucional </w:t>
      </w:r>
      <w:r w:rsidR="00E37480" w:rsidRPr="00E80EE6">
        <w:rPr>
          <w:rFonts w:ascii="Arial" w:hAnsi="Arial" w:cs="Arial"/>
        </w:rPr>
        <w:t>de la Ciudad de México</w:t>
      </w:r>
      <w:r w:rsidRPr="00E80EE6">
        <w:rPr>
          <w:rFonts w:ascii="Arial" w:hAnsi="Arial" w:cs="Arial"/>
        </w:rPr>
        <w:t>.</w:t>
      </w:r>
    </w:p>
    <w:p w14:paraId="46124FE3" w14:textId="77777777" w:rsidR="00E80EE6" w:rsidRPr="00E80EE6" w:rsidRDefault="00E80EE6" w:rsidP="00E80EE6">
      <w:pPr>
        <w:pStyle w:val="Prrafodelista"/>
        <w:rPr>
          <w:rFonts w:ascii="Arial" w:hAnsi="Arial" w:cs="Arial"/>
        </w:rPr>
      </w:pPr>
    </w:p>
    <w:p w14:paraId="478F8D8F" w14:textId="76D6AD72" w:rsidR="00E80EE6" w:rsidRDefault="00E80EE6" w:rsidP="00E80EE6">
      <w:pPr>
        <w:spacing w:before="240" w:after="240" w:line="360" w:lineRule="auto"/>
        <w:jc w:val="both"/>
        <w:rPr>
          <w:rFonts w:ascii="Arial" w:hAnsi="Arial" w:cs="Arial"/>
        </w:rPr>
      </w:pPr>
      <w:r>
        <w:rPr>
          <w:rFonts w:ascii="Arial" w:hAnsi="Arial" w:cs="Arial"/>
        </w:rPr>
        <w:t xml:space="preserve">De lo anterior se desprende que el problema jurídico </w:t>
      </w:r>
      <w:r w:rsidR="00296244">
        <w:rPr>
          <w:rFonts w:ascii="Arial" w:hAnsi="Arial" w:cs="Arial"/>
        </w:rPr>
        <w:t>por resolver</w:t>
      </w:r>
      <w:r w:rsidR="00AF5DE1">
        <w:rPr>
          <w:rFonts w:ascii="Arial" w:hAnsi="Arial" w:cs="Arial"/>
        </w:rPr>
        <w:t xml:space="preserve"> </w:t>
      </w:r>
      <w:r>
        <w:rPr>
          <w:rFonts w:ascii="Arial" w:hAnsi="Arial" w:cs="Arial"/>
        </w:rPr>
        <w:t>es</w:t>
      </w:r>
      <w:r w:rsidR="009E0F77">
        <w:rPr>
          <w:rFonts w:ascii="Arial" w:hAnsi="Arial" w:cs="Arial"/>
        </w:rPr>
        <w:t xml:space="preserve">, en </w:t>
      </w:r>
      <w:r w:rsidR="00AF5DE1">
        <w:rPr>
          <w:rFonts w:ascii="Arial" w:hAnsi="Arial" w:cs="Arial"/>
        </w:rPr>
        <w:t>primer lugar,</w:t>
      </w:r>
      <w:r>
        <w:rPr>
          <w:rFonts w:ascii="Arial" w:hAnsi="Arial" w:cs="Arial"/>
        </w:rPr>
        <w:t xml:space="preserve"> determinar si</w:t>
      </w:r>
      <w:r w:rsidR="00056917">
        <w:rPr>
          <w:rFonts w:ascii="Arial" w:hAnsi="Arial" w:cs="Arial"/>
        </w:rPr>
        <w:t>,</w:t>
      </w:r>
      <w:r>
        <w:rPr>
          <w:rFonts w:ascii="Arial" w:hAnsi="Arial" w:cs="Arial"/>
        </w:rPr>
        <w:t xml:space="preserve"> dentro de las facu</w:t>
      </w:r>
      <w:r w:rsidR="000777EA">
        <w:rPr>
          <w:rFonts w:ascii="Arial" w:hAnsi="Arial" w:cs="Arial"/>
        </w:rPr>
        <w:t xml:space="preserve">ltades de </w:t>
      </w:r>
      <w:r w:rsidR="00A70A63">
        <w:rPr>
          <w:rFonts w:ascii="Arial" w:hAnsi="Arial" w:cs="Arial"/>
        </w:rPr>
        <w:t>T</w:t>
      </w:r>
      <w:r w:rsidR="000777EA">
        <w:rPr>
          <w:rFonts w:ascii="Arial" w:hAnsi="Arial" w:cs="Arial"/>
        </w:rPr>
        <w:t xml:space="preserve">ribunal constitucional conferidas por el artículo 99 de la Constitución, </w:t>
      </w:r>
      <w:r w:rsidR="00E508D6">
        <w:rPr>
          <w:rFonts w:ascii="Arial" w:hAnsi="Arial" w:cs="Arial"/>
        </w:rPr>
        <w:t xml:space="preserve">las </w:t>
      </w:r>
      <w:r w:rsidR="001E5D2E">
        <w:rPr>
          <w:rFonts w:ascii="Arial" w:hAnsi="Arial" w:cs="Arial"/>
        </w:rPr>
        <w:t>s</w:t>
      </w:r>
      <w:r w:rsidR="00E508D6">
        <w:rPr>
          <w:rFonts w:ascii="Arial" w:hAnsi="Arial" w:cs="Arial"/>
        </w:rPr>
        <w:t xml:space="preserve">alas de </w:t>
      </w:r>
      <w:r w:rsidR="00E508D6">
        <w:rPr>
          <w:rFonts w:ascii="Arial" w:hAnsi="Arial" w:cs="Arial"/>
        </w:rPr>
        <w:lastRenderedPageBreak/>
        <w:t>este Tribunal</w:t>
      </w:r>
      <w:r w:rsidR="00823614">
        <w:rPr>
          <w:rFonts w:ascii="Arial" w:hAnsi="Arial" w:cs="Arial"/>
        </w:rPr>
        <w:t xml:space="preserve"> pueden</w:t>
      </w:r>
      <w:r w:rsidR="00E508D6">
        <w:rPr>
          <w:rFonts w:ascii="Arial" w:hAnsi="Arial" w:cs="Arial"/>
        </w:rPr>
        <w:t xml:space="preserve"> </w:t>
      </w:r>
      <w:r w:rsidR="000777EA">
        <w:rPr>
          <w:rFonts w:ascii="Arial" w:hAnsi="Arial" w:cs="Arial"/>
        </w:rPr>
        <w:t xml:space="preserve">revisar la validez constitucional de la supresión de la diputación migrante. </w:t>
      </w:r>
    </w:p>
    <w:p w14:paraId="69367579" w14:textId="77777777" w:rsidR="009E0F77" w:rsidRDefault="009E0F77" w:rsidP="00E80EE6">
      <w:pPr>
        <w:spacing w:before="240" w:after="240" w:line="360" w:lineRule="auto"/>
        <w:jc w:val="both"/>
        <w:rPr>
          <w:rFonts w:ascii="Arial" w:hAnsi="Arial" w:cs="Arial"/>
        </w:rPr>
      </w:pPr>
      <w:r>
        <w:rPr>
          <w:rFonts w:ascii="Arial" w:hAnsi="Arial" w:cs="Arial"/>
        </w:rPr>
        <w:t xml:space="preserve">De considerar que sí es factible llevar a cabo esta revisión, el segundo problema jurídico que tendría que resolver esta Sala Superior es determinar si la conclusión a la que llegó 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 xml:space="preserve">egional respecto de revocar el acto impugnado es </w:t>
      </w:r>
      <w:r w:rsidR="0070323F">
        <w:rPr>
          <w:rFonts w:ascii="Arial" w:hAnsi="Arial" w:cs="Arial"/>
        </w:rPr>
        <w:t xml:space="preserve">o no </w:t>
      </w:r>
      <w:r>
        <w:rPr>
          <w:rFonts w:ascii="Arial" w:hAnsi="Arial" w:cs="Arial"/>
        </w:rPr>
        <w:t xml:space="preserve">conforme a Derecho. </w:t>
      </w:r>
    </w:p>
    <w:p w14:paraId="69458A95" w14:textId="77777777" w:rsidR="001808E5" w:rsidRDefault="00A70A63" w:rsidP="00E80EE6">
      <w:pPr>
        <w:spacing w:before="240" w:after="240" w:line="360" w:lineRule="auto"/>
        <w:jc w:val="both"/>
        <w:rPr>
          <w:rFonts w:ascii="Arial" w:hAnsi="Arial" w:cs="Arial"/>
        </w:rPr>
      </w:pPr>
      <w:r>
        <w:rPr>
          <w:rFonts w:ascii="Arial" w:hAnsi="Arial" w:cs="Arial"/>
        </w:rPr>
        <w:t>Antes de realizar</w:t>
      </w:r>
      <w:r w:rsidR="001808E5">
        <w:rPr>
          <w:rFonts w:ascii="Arial" w:hAnsi="Arial" w:cs="Arial"/>
        </w:rPr>
        <w:t xml:space="preserve"> este análisis, se dará respuesta a los agravios procesales relativos a la falta de competencia del </w:t>
      </w:r>
      <w:r>
        <w:rPr>
          <w:rFonts w:ascii="Arial" w:hAnsi="Arial" w:cs="Arial"/>
        </w:rPr>
        <w:t>T</w:t>
      </w:r>
      <w:r w:rsidR="001808E5">
        <w:rPr>
          <w:rFonts w:ascii="Arial" w:hAnsi="Arial" w:cs="Arial"/>
        </w:rPr>
        <w:t xml:space="preserve">ribunal local y a la falta de interés de los actores en la instancia regional. </w:t>
      </w:r>
    </w:p>
    <w:p w14:paraId="2BE257FD" w14:textId="77777777" w:rsidR="001808E5" w:rsidRPr="006215A7" w:rsidRDefault="001808E5" w:rsidP="00D72782">
      <w:pPr>
        <w:pStyle w:val="Ttulo1"/>
        <w:spacing w:before="240" w:beforeAutospacing="0" w:after="240" w:afterAutospacing="0"/>
        <w:jc w:val="both"/>
        <w:rPr>
          <w:rFonts w:ascii="Arial Negrita" w:eastAsiaTheme="minorHAnsi" w:hAnsi="Arial Negrita" w:cs="Arial"/>
          <w:caps w:val="0"/>
          <w:szCs w:val="24"/>
        </w:rPr>
      </w:pPr>
      <w:bookmarkStart w:id="12" w:name="_Toc48404871"/>
      <w:r w:rsidRPr="006215A7">
        <w:rPr>
          <w:rFonts w:ascii="Arial Negrita" w:eastAsiaTheme="minorHAnsi" w:hAnsi="Arial Negrita" w:cs="Arial"/>
          <w:caps w:val="0"/>
          <w:szCs w:val="24"/>
        </w:rPr>
        <w:t>5.2. Agravios procesales</w:t>
      </w:r>
      <w:bookmarkEnd w:id="12"/>
    </w:p>
    <w:p w14:paraId="255640EE" w14:textId="77777777" w:rsidR="001808E5" w:rsidRPr="006215A7" w:rsidRDefault="001808E5" w:rsidP="006215A7">
      <w:pPr>
        <w:pStyle w:val="Ttulo1"/>
        <w:spacing w:before="240" w:beforeAutospacing="0" w:after="240" w:afterAutospacing="0"/>
        <w:jc w:val="both"/>
        <w:rPr>
          <w:rFonts w:ascii="Arial Negrita" w:eastAsiaTheme="minorHAnsi" w:hAnsi="Arial Negrita" w:cs="Arial"/>
          <w:caps w:val="0"/>
          <w:szCs w:val="24"/>
        </w:rPr>
      </w:pPr>
      <w:bookmarkStart w:id="13" w:name="_Toc48404872"/>
      <w:r w:rsidRPr="006215A7">
        <w:rPr>
          <w:rFonts w:ascii="Arial Negrita" w:eastAsiaTheme="minorHAnsi" w:hAnsi="Arial Negrita" w:cs="Arial"/>
          <w:caps w:val="0"/>
          <w:szCs w:val="24"/>
        </w:rPr>
        <w:t xml:space="preserve">5.2.1. El </w:t>
      </w:r>
      <w:r w:rsidR="00A70A63" w:rsidRPr="006215A7">
        <w:rPr>
          <w:rFonts w:ascii="Arial Negrita" w:eastAsiaTheme="minorHAnsi" w:hAnsi="Arial Negrita" w:cs="Arial"/>
          <w:caps w:val="0"/>
          <w:szCs w:val="24"/>
        </w:rPr>
        <w:t>T</w:t>
      </w:r>
      <w:r w:rsidRPr="006215A7">
        <w:rPr>
          <w:rFonts w:ascii="Arial Negrita" w:eastAsiaTheme="minorHAnsi" w:hAnsi="Arial Negrita" w:cs="Arial"/>
          <w:caps w:val="0"/>
          <w:szCs w:val="24"/>
        </w:rPr>
        <w:t>ribunal local sí era competente</w:t>
      </w:r>
      <w:bookmarkEnd w:id="13"/>
    </w:p>
    <w:p w14:paraId="7905B0E4" w14:textId="77777777" w:rsidR="001808E5" w:rsidRDefault="001808E5" w:rsidP="001808E5">
      <w:pPr>
        <w:spacing w:before="240" w:after="240" w:line="360" w:lineRule="auto"/>
        <w:jc w:val="both"/>
        <w:rPr>
          <w:rFonts w:ascii="Arial" w:hAnsi="Arial" w:cs="Arial"/>
        </w:rPr>
      </w:pPr>
      <w:r>
        <w:rPr>
          <w:rFonts w:ascii="Arial" w:hAnsi="Arial" w:cs="Arial"/>
        </w:rPr>
        <w:t>Esta Sala Superior considera</w:t>
      </w:r>
      <w:r w:rsidR="008C0D8D">
        <w:rPr>
          <w:rFonts w:ascii="Arial" w:hAnsi="Arial" w:cs="Arial"/>
        </w:rPr>
        <w:t xml:space="preserve"> que</w:t>
      </w:r>
      <w:r>
        <w:rPr>
          <w:rFonts w:ascii="Arial" w:hAnsi="Arial" w:cs="Arial"/>
        </w:rPr>
        <w:t xml:space="preserve"> los agravios del recurrente son </w:t>
      </w:r>
      <w:r>
        <w:rPr>
          <w:rFonts w:ascii="Arial" w:hAnsi="Arial" w:cs="Arial"/>
          <w:b/>
        </w:rPr>
        <w:t>infundados</w:t>
      </w:r>
      <w:r>
        <w:rPr>
          <w:rFonts w:ascii="Arial" w:hAnsi="Arial" w:cs="Arial"/>
        </w:rPr>
        <w:t xml:space="preserve">, debido a que la </w:t>
      </w:r>
      <w:r w:rsidR="00A70A63">
        <w:rPr>
          <w:rFonts w:ascii="Arial" w:hAnsi="Arial" w:cs="Arial"/>
        </w:rPr>
        <w:t>S</w:t>
      </w:r>
      <w:r>
        <w:rPr>
          <w:rFonts w:ascii="Arial" w:hAnsi="Arial" w:cs="Arial"/>
        </w:rPr>
        <w:t>a</w:t>
      </w:r>
      <w:r w:rsidRPr="00BD058F">
        <w:rPr>
          <w:rFonts w:ascii="Arial" w:hAnsi="Arial" w:cs="Arial"/>
        </w:rPr>
        <w:t xml:space="preserve">la </w:t>
      </w:r>
      <w:r w:rsidR="00A70A63">
        <w:rPr>
          <w:rFonts w:ascii="Arial" w:hAnsi="Arial" w:cs="Arial"/>
        </w:rPr>
        <w:t>R</w:t>
      </w:r>
      <w:r w:rsidRPr="00BD058F">
        <w:rPr>
          <w:rFonts w:ascii="Arial" w:hAnsi="Arial" w:cs="Arial"/>
        </w:rPr>
        <w:t>egional responsable</w:t>
      </w:r>
      <w:r>
        <w:rPr>
          <w:rFonts w:ascii="Arial" w:hAnsi="Arial" w:cs="Arial"/>
        </w:rPr>
        <w:t xml:space="preserve"> concluyó correctamente que el Tribunal local </w:t>
      </w:r>
      <w:bookmarkStart w:id="14" w:name="_Hlk44544998"/>
      <w:r>
        <w:rPr>
          <w:rFonts w:ascii="Arial" w:hAnsi="Arial" w:cs="Arial"/>
        </w:rPr>
        <w:t xml:space="preserve">sí contaba con </w:t>
      </w:r>
      <w:r w:rsidRPr="00480B91">
        <w:rPr>
          <w:rFonts w:ascii="Arial" w:hAnsi="Arial" w:cs="Arial"/>
        </w:rPr>
        <w:t>atribuciones formales y materiales</w:t>
      </w:r>
      <w:r>
        <w:rPr>
          <w:rFonts w:ascii="Arial" w:hAnsi="Arial" w:cs="Arial"/>
        </w:rPr>
        <w:t xml:space="preserve"> para estudiar la controversia</w:t>
      </w:r>
      <w:r w:rsidRPr="00480B91">
        <w:rPr>
          <w:rFonts w:ascii="Arial" w:hAnsi="Arial" w:cs="Arial"/>
        </w:rPr>
        <w:t xml:space="preserve"> a través del juicio ciudadan</w:t>
      </w:r>
      <w:r w:rsidR="008C0D8D">
        <w:rPr>
          <w:rFonts w:ascii="Arial" w:hAnsi="Arial" w:cs="Arial"/>
        </w:rPr>
        <w:t>o</w:t>
      </w:r>
      <w:bookmarkEnd w:id="14"/>
      <w:r>
        <w:rPr>
          <w:rFonts w:ascii="Arial" w:hAnsi="Arial" w:cs="Arial"/>
        </w:rPr>
        <w:t>, en virtud de que el control constitucional por aplicar tenía que ver con el contraste de normas constitucionales federales que trascienden del ámbito de competencia de la Sala Constitucional de la Ciudad de México.</w:t>
      </w:r>
    </w:p>
    <w:p w14:paraId="6A601123" w14:textId="77777777" w:rsidR="001808E5" w:rsidRDefault="001808E5" w:rsidP="001808E5">
      <w:pPr>
        <w:spacing w:before="240" w:after="240" w:line="360" w:lineRule="auto"/>
        <w:jc w:val="both"/>
        <w:rPr>
          <w:rFonts w:ascii="Arial" w:hAnsi="Arial" w:cs="Arial"/>
        </w:rPr>
      </w:pPr>
      <w:r>
        <w:rPr>
          <w:rFonts w:ascii="Arial" w:hAnsi="Arial" w:cs="Arial"/>
        </w:rPr>
        <w:t xml:space="preserve">En efecto, de la sentencia controvertida, se advierte que 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egional sostuvo, fundamentalmente, que en el litigio los actores</w:t>
      </w:r>
      <w:r w:rsidR="008C0D8D">
        <w:rPr>
          <w:rFonts w:ascii="Arial" w:hAnsi="Arial" w:cs="Arial"/>
        </w:rPr>
        <w:t xml:space="preserve"> planteaban</w:t>
      </w:r>
      <w:r>
        <w:rPr>
          <w:rFonts w:ascii="Arial" w:hAnsi="Arial" w:cs="Arial"/>
        </w:rPr>
        <w:t xml:space="preserve"> un análisis de la regularidad de una norma local con una federal, lo cual escapa del ámbito de protección</w:t>
      </w:r>
      <w:r w:rsidR="008C0D8D">
        <w:rPr>
          <w:rFonts w:ascii="Arial" w:hAnsi="Arial" w:cs="Arial"/>
        </w:rPr>
        <w:t xml:space="preserve"> de</w:t>
      </w:r>
      <w:r>
        <w:rPr>
          <w:rFonts w:ascii="Arial" w:hAnsi="Arial" w:cs="Arial"/>
        </w:rPr>
        <w:t xml:space="preserve"> la acción de inconstitucionalidad local. </w:t>
      </w:r>
    </w:p>
    <w:p w14:paraId="027E64BA" w14:textId="77777777" w:rsidR="001808E5" w:rsidRDefault="001808E5" w:rsidP="001808E5">
      <w:pPr>
        <w:spacing w:before="240" w:after="240" w:line="360" w:lineRule="auto"/>
        <w:jc w:val="both"/>
        <w:rPr>
          <w:rFonts w:ascii="Arial" w:hAnsi="Arial" w:cs="Arial"/>
        </w:rPr>
      </w:pPr>
      <w:r>
        <w:rPr>
          <w:rFonts w:ascii="Arial" w:hAnsi="Arial" w:cs="Arial"/>
        </w:rPr>
        <w:t xml:space="preserve">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 xml:space="preserve">egional advirtió que, </w:t>
      </w:r>
      <w:r w:rsidRPr="00513729">
        <w:rPr>
          <w:rFonts w:ascii="Arial" w:hAnsi="Arial" w:cs="Arial"/>
        </w:rPr>
        <w:t xml:space="preserve">dentro de las facultades de esa </w:t>
      </w:r>
      <w:r w:rsidR="00A70A63">
        <w:rPr>
          <w:rFonts w:ascii="Arial" w:hAnsi="Arial" w:cs="Arial"/>
        </w:rPr>
        <w:t>S</w:t>
      </w:r>
      <w:r>
        <w:rPr>
          <w:rFonts w:ascii="Arial" w:hAnsi="Arial" w:cs="Arial"/>
        </w:rPr>
        <w:t>ala constitucional local,</w:t>
      </w:r>
      <w:r w:rsidRPr="00513729">
        <w:rPr>
          <w:rFonts w:ascii="Arial" w:hAnsi="Arial" w:cs="Arial"/>
        </w:rPr>
        <w:t xml:space="preserve"> se encuentra</w:t>
      </w:r>
      <w:r>
        <w:rPr>
          <w:rFonts w:ascii="Arial" w:hAnsi="Arial" w:cs="Arial"/>
        </w:rPr>
        <w:t xml:space="preserve"> la de</w:t>
      </w:r>
      <w:r w:rsidRPr="00513729">
        <w:rPr>
          <w:rFonts w:ascii="Arial" w:hAnsi="Arial" w:cs="Arial"/>
        </w:rPr>
        <w:t xml:space="preserve"> conocer y resolver las acciones de inconstitucionalidad que le sean presentadas dentro de los treinta días </w:t>
      </w:r>
      <w:r w:rsidRPr="00513729">
        <w:rPr>
          <w:rFonts w:ascii="Arial" w:hAnsi="Arial" w:cs="Arial"/>
        </w:rPr>
        <w:lastRenderedPageBreak/>
        <w:t xml:space="preserve">naturales siguientes a la promulgación y publicación de normas locales de carácter general que se consideren total o parcialmente contrarias a la Constitución </w:t>
      </w:r>
      <w:r>
        <w:rPr>
          <w:rFonts w:ascii="Arial" w:hAnsi="Arial" w:cs="Arial"/>
        </w:rPr>
        <w:t>l</w:t>
      </w:r>
      <w:r w:rsidRPr="00513729">
        <w:rPr>
          <w:rFonts w:ascii="Arial" w:hAnsi="Arial" w:cs="Arial"/>
        </w:rPr>
        <w:t>ocal o de aquéllas que, aun siendo normas constitucionales, hubieren presentado vicios o violaciones en los procedimientos de su formación.</w:t>
      </w:r>
    </w:p>
    <w:p w14:paraId="45EAF475" w14:textId="77777777" w:rsidR="001808E5" w:rsidRDefault="001808E5" w:rsidP="001808E5">
      <w:pPr>
        <w:spacing w:before="240" w:after="240" w:line="360" w:lineRule="auto"/>
        <w:jc w:val="both"/>
        <w:rPr>
          <w:rFonts w:ascii="Arial" w:hAnsi="Arial" w:cs="Arial"/>
        </w:rPr>
      </w:pPr>
      <w:r>
        <w:rPr>
          <w:rFonts w:ascii="Arial" w:hAnsi="Arial" w:cs="Arial"/>
        </w:rPr>
        <w:t xml:space="preserve">Al respecto, 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egional destacó que la SCJN</w:t>
      </w:r>
      <w:r w:rsidR="008C0D8D">
        <w:rPr>
          <w:rFonts w:ascii="Arial" w:hAnsi="Arial" w:cs="Arial"/>
        </w:rPr>
        <w:t>,</w:t>
      </w:r>
      <w:r>
        <w:rPr>
          <w:rFonts w:ascii="Arial" w:hAnsi="Arial" w:cs="Arial"/>
        </w:rPr>
        <w:t xml:space="preserve"> al resolver la acción de inconstitucionalidad </w:t>
      </w:r>
      <w:r w:rsidRPr="007A1680">
        <w:rPr>
          <w:rFonts w:ascii="Arial" w:hAnsi="Arial" w:cs="Arial"/>
        </w:rPr>
        <w:t>15/2017 y sus acumuladas</w:t>
      </w:r>
      <w:r>
        <w:rPr>
          <w:rFonts w:ascii="Arial" w:hAnsi="Arial" w:cs="Arial"/>
        </w:rPr>
        <w:t>, sostuvo que</w:t>
      </w:r>
      <w:r w:rsidRPr="007A1680">
        <w:rPr>
          <w:rFonts w:ascii="Arial" w:hAnsi="Arial" w:cs="Arial"/>
        </w:rPr>
        <w:t xml:space="preserve"> el control constitucional local es exclusivamente sobre el contraste de normas locales con su respectiva </w:t>
      </w:r>
      <w:r w:rsidR="008C0D8D">
        <w:rPr>
          <w:rFonts w:ascii="Arial" w:hAnsi="Arial" w:cs="Arial"/>
        </w:rPr>
        <w:t>C</w:t>
      </w:r>
      <w:r w:rsidRPr="007A1680">
        <w:rPr>
          <w:rFonts w:ascii="Arial" w:hAnsi="Arial" w:cs="Arial"/>
        </w:rPr>
        <w:t>onstitución estatal</w:t>
      </w:r>
      <w:r>
        <w:rPr>
          <w:rFonts w:ascii="Arial" w:hAnsi="Arial" w:cs="Arial"/>
        </w:rPr>
        <w:t>, por tanto, el decreto impugnado era susceptible de impugnación ante el Tribunal local.</w:t>
      </w:r>
    </w:p>
    <w:p w14:paraId="61B111E2" w14:textId="77777777" w:rsidR="001808E5" w:rsidRDefault="001808E5" w:rsidP="001808E5">
      <w:pPr>
        <w:spacing w:before="240" w:after="240" w:line="360" w:lineRule="auto"/>
        <w:jc w:val="both"/>
        <w:rPr>
          <w:rFonts w:ascii="Arial" w:hAnsi="Arial" w:cs="Arial"/>
        </w:rPr>
      </w:pPr>
      <w:r>
        <w:rPr>
          <w:rFonts w:ascii="Arial" w:hAnsi="Arial" w:cs="Arial"/>
        </w:rPr>
        <w:t>Inclusive, en la sentencia controvertida se advirtió que los actores no estaban legitimados para instaurar la acción de inconstitucionalidad, dado que la ley local aplicable exigía un porcentaje determinado (cinco mil firmas) de ciudadanos para su presentación, por lo que ese mecanismo no era el idóneo para tutelar los derechos político-electorales de los actores.</w:t>
      </w:r>
    </w:p>
    <w:p w14:paraId="6107F2BA" w14:textId="5264BA33" w:rsidR="001808E5" w:rsidRDefault="001808E5" w:rsidP="001808E5">
      <w:pPr>
        <w:spacing w:before="240" w:after="240" w:line="360" w:lineRule="auto"/>
        <w:jc w:val="both"/>
        <w:rPr>
          <w:rFonts w:ascii="Arial" w:hAnsi="Arial" w:cs="Arial"/>
        </w:rPr>
      </w:pPr>
      <w:r>
        <w:rPr>
          <w:rFonts w:ascii="Arial" w:hAnsi="Arial" w:cs="Arial"/>
        </w:rPr>
        <w:t>Esta Sala Superior comparte la conclusión de que, si la materia de análisis tiene que ver con la regularidad de un decreto a la luz de lo previsto en la Constitución general</w:t>
      </w:r>
      <w:r w:rsidR="000E732D">
        <w:rPr>
          <w:rFonts w:ascii="Arial" w:hAnsi="Arial" w:cs="Arial"/>
        </w:rPr>
        <w:t>,</w:t>
      </w:r>
      <w:r w:rsidR="009104F9">
        <w:rPr>
          <w:rFonts w:ascii="Arial" w:hAnsi="Arial" w:cs="Arial"/>
        </w:rPr>
        <w:t xml:space="preserve"> </w:t>
      </w:r>
      <w:r>
        <w:rPr>
          <w:rFonts w:ascii="Arial" w:hAnsi="Arial" w:cs="Arial"/>
        </w:rPr>
        <w:t xml:space="preserve">el Tribunal local </w:t>
      </w:r>
      <w:r w:rsidRPr="00495545">
        <w:rPr>
          <w:rFonts w:ascii="Arial" w:hAnsi="Arial" w:cs="Arial"/>
        </w:rPr>
        <w:t xml:space="preserve">sí contaba con atribuciones formales y materiales para realizar el análisis de </w:t>
      </w:r>
      <w:r>
        <w:rPr>
          <w:rFonts w:ascii="Arial" w:hAnsi="Arial" w:cs="Arial"/>
        </w:rPr>
        <w:t>los planteamientos de los actores</w:t>
      </w:r>
      <w:r w:rsidRPr="00495545">
        <w:rPr>
          <w:rFonts w:ascii="Arial" w:hAnsi="Arial" w:cs="Arial"/>
        </w:rPr>
        <w:t xml:space="preserve"> a través del juicio de la ciudadanía</w:t>
      </w:r>
      <w:r>
        <w:rPr>
          <w:rFonts w:ascii="Arial" w:hAnsi="Arial" w:cs="Arial"/>
        </w:rPr>
        <w:t xml:space="preserve">. </w:t>
      </w:r>
    </w:p>
    <w:p w14:paraId="08F7AB6E" w14:textId="77777777" w:rsidR="001808E5" w:rsidRDefault="001808E5" w:rsidP="001808E5">
      <w:pPr>
        <w:spacing w:before="240" w:after="240" w:line="360" w:lineRule="auto"/>
        <w:jc w:val="both"/>
        <w:rPr>
          <w:rFonts w:ascii="Arial" w:hAnsi="Arial" w:cs="Arial"/>
        </w:rPr>
      </w:pPr>
      <w:r>
        <w:rPr>
          <w:rFonts w:ascii="Arial" w:hAnsi="Arial" w:cs="Arial"/>
        </w:rPr>
        <w:t xml:space="preserve">Como se ha destacado en la presente ejecutoria, el caso involucra, en general, el derecho a la participación política y, en particular, el ejercicio de los derechos político-electorales de votar y ser votados por medio de la figura de la diputación migrante, por tanto, era insostenible que el </w:t>
      </w:r>
      <w:r w:rsidR="00A70A63">
        <w:rPr>
          <w:rFonts w:ascii="Arial" w:hAnsi="Arial" w:cs="Arial"/>
        </w:rPr>
        <w:t>T</w:t>
      </w:r>
      <w:r>
        <w:rPr>
          <w:rFonts w:ascii="Arial" w:hAnsi="Arial" w:cs="Arial"/>
        </w:rPr>
        <w:t xml:space="preserve">ribunal local haya razonado que no había necesidad alguna de salvaguardar esos derechos, por lo que 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egional precisó debidamente que el órgano de justicia electoral local incurrió en una negativa de acceso a la justicia.</w:t>
      </w:r>
    </w:p>
    <w:p w14:paraId="207856FB" w14:textId="77777777" w:rsidR="001808E5" w:rsidRDefault="001808E5" w:rsidP="001808E5">
      <w:pPr>
        <w:spacing w:before="240" w:after="240" w:line="360" w:lineRule="auto"/>
        <w:jc w:val="both"/>
        <w:rPr>
          <w:rFonts w:ascii="Arial" w:hAnsi="Arial" w:cs="Arial"/>
        </w:rPr>
      </w:pPr>
      <w:r>
        <w:rPr>
          <w:rFonts w:ascii="Arial" w:hAnsi="Arial" w:cs="Arial"/>
        </w:rPr>
        <w:lastRenderedPageBreak/>
        <w:t xml:space="preserve">En efecto, </w:t>
      </w:r>
      <w:r w:rsidRPr="001C2A81">
        <w:rPr>
          <w:rFonts w:ascii="Arial" w:hAnsi="Arial" w:cs="Arial"/>
        </w:rPr>
        <w:t xml:space="preserve">la competencia para el conocimiento de la impugnación </w:t>
      </w:r>
      <w:r>
        <w:rPr>
          <w:rFonts w:ascii="Arial" w:hAnsi="Arial" w:cs="Arial"/>
        </w:rPr>
        <w:t>local</w:t>
      </w:r>
      <w:r w:rsidRPr="001C2A81">
        <w:rPr>
          <w:rFonts w:ascii="Arial" w:hAnsi="Arial" w:cs="Arial"/>
        </w:rPr>
        <w:t xml:space="preserve"> deriva</w:t>
      </w:r>
      <w:r>
        <w:rPr>
          <w:rFonts w:ascii="Arial" w:hAnsi="Arial" w:cs="Arial"/>
        </w:rPr>
        <w:t>ba</w:t>
      </w:r>
      <w:r w:rsidRPr="001C2A81">
        <w:rPr>
          <w:rFonts w:ascii="Arial" w:hAnsi="Arial" w:cs="Arial"/>
        </w:rPr>
        <w:t xml:space="preserve"> del contenido del artículo 122 de la </w:t>
      </w:r>
      <w:r w:rsidRPr="00CC52AE">
        <w:rPr>
          <w:rFonts w:ascii="Arial" w:hAnsi="Arial" w:cs="Arial"/>
        </w:rPr>
        <w:t>Ley Procesal Electoral</w:t>
      </w:r>
      <w:r>
        <w:rPr>
          <w:rFonts w:ascii="Arial" w:hAnsi="Arial" w:cs="Arial"/>
        </w:rPr>
        <w:t xml:space="preserve"> de la Ciudad de México,</w:t>
      </w:r>
      <w:r w:rsidRPr="001C2A81">
        <w:rPr>
          <w:rFonts w:ascii="Arial" w:hAnsi="Arial" w:cs="Arial"/>
        </w:rPr>
        <w:t xml:space="preserve"> que establece la existencia del juicio de la ciudadanía, en cuya materia de tutela ocupan un lugar primordial los derechos de votar y ser votado</w:t>
      </w:r>
      <w:r>
        <w:rPr>
          <w:rFonts w:ascii="Arial" w:hAnsi="Arial" w:cs="Arial"/>
        </w:rPr>
        <w:t xml:space="preserve">. Así, el Tribunal local tuvo la posibilidad de ejercer un control concreto de constitucionalidad sobre el decreto controvertido, al no requerir de un acto de aplicación como se ha destacado en la presente ejecutoria. </w:t>
      </w:r>
    </w:p>
    <w:p w14:paraId="43ADA19E" w14:textId="77777777" w:rsidR="00B40AAC" w:rsidRDefault="001808E5" w:rsidP="001808E5">
      <w:pPr>
        <w:spacing w:before="240" w:after="240" w:line="360" w:lineRule="auto"/>
        <w:jc w:val="both"/>
        <w:rPr>
          <w:rFonts w:ascii="Arial" w:hAnsi="Arial" w:cs="Arial"/>
        </w:rPr>
      </w:pPr>
      <w:r>
        <w:rPr>
          <w:rFonts w:ascii="Arial" w:hAnsi="Arial" w:cs="Arial"/>
        </w:rPr>
        <w:t xml:space="preserve">En consonancia con lo expuesto en la presente ejecutoria, 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 xml:space="preserve">egional destacó que </w:t>
      </w:r>
      <w:r w:rsidRPr="002C3F86">
        <w:rPr>
          <w:rFonts w:ascii="Arial" w:hAnsi="Arial" w:cs="Arial"/>
        </w:rPr>
        <w:t xml:space="preserve">no </w:t>
      </w:r>
      <w:r>
        <w:rPr>
          <w:rFonts w:ascii="Arial" w:hAnsi="Arial" w:cs="Arial"/>
        </w:rPr>
        <w:t>existía</w:t>
      </w:r>
      <w:r w:rsidRPr="002C3F86">
        <w:rPr>
          <w:rFonts w:ascii="Arial" w:hAnsi="Arial" w:cs="Arial"/>
        </w:rPr>
        <w:t xml:space="preserve"> la necesidad de demostrar la individualización </w:t>
      </w:r>
      <w:r>
        <w:rPr>
          <w:rFonts w:ascii="Arial" w:hAnsi="Arial" w:cs="Arial"/>
        </w:rPr>
        <w:t>de</w:t>
      </w:r>
      <w:r w:rsidRPr="002C3F86">
        <w:rPr>
          <w:rFonts w:ascii="Arial" w:hAnsi="Arial" w:cs="Arial"/>
        </w:rPr>
        <w:t xml:space="preserve"> la afectación a la esfera jurídica </w:t>
      </w:r>
      <w:r>
        <w:rPr>
          <w:rFonts w:ascii="Arial" w:hAnsi="Arial" w:cs="Arial"/>
        </w:rPr>
        <w:t>de los actores</w:t>
      </w:r>
      <w:r w:rsidRPr="002C3F86">
        <w:rPr>
          <w:rFonts w:ascii="Arial" w:hAnsi="Arial" w:cs="Arial"/>
        </w:rPr>
        <w:t xml:space="preserve">, </w:t>
      </w:r>
      <w:r>
        <w:rPr>
          <w:rFonts w:ascii="Arial" w:hAnsi="Arial" w:cs="Arial"/>
        </w:rPr>
        <w:t xml:space="preserve">ya que la misma deriva </w:t>
      </w:r>
      <w:r w:rsidRPr="002C3F86">
        <w:rPr>
          <w:rFonts w:ascii="Arial" w:hAnsi="Arial" w:cs="Arial"/>
        </w:rPr>
        <w:t>de la sola publicación y vigencia del decreto</w:t>
      </w:r>
      <w:r>
        <w:rPr>
          <w:rFonts w:ascii="Arial" w:hAnsi="Arial" w:cs="Arial"/>
        </w:rPr>
        <w:t xml:space="preserve"> impugnado, por lo que el </w:t>
      </w:r>
      <w:r w:rsidR="00A70A63">
        <w:rPr>
          <w:rFonts w:ascii="Arial" w:hAnsi="Arial" w:cs="Arial"/>
        </w:rPr>
        <w:t>T</w:t>
      </w:r>
      <w:r>
        <w:rPr>
          <w:rFonts w:ascii="Arial" w:hAnsi="Arial" w:cs="Arial"/>
        </w:rPr>
        <w:t>ribunal local debió advertir que</w:t>
      </w:r>
      <w:r w:rsidRPr="002C3F86">
        <w:rPr>
          <w:rFonts w:ascii="Arial" w:hAnsi="Arial" w:cs="Arial"/>
        </w:rPr>
        <w:t xml:space="preserve"> su contenido y alcance revela</w:t>
      </w:r>
      <w:r>
        <w:rPr>
          <w:rFonts w:ascii="Arial" w:hAnsi="Arial" w:cs="Arial"/>
        </w:rPr>
        <w:t>ba</w:t>
      </w:r>
      <w:r w:rsidRPr="002C3F86">
        <w:rPr>
          <w:rFonts w:ascii="Arial" w:hAnsi="Arial" w:cs="Arial"/>
        </w:rPr>
        <w:t xml:space="preserve"> en sí mismo, una supresión de un marco normativo que representa el sustento de un derecho fundamental, </w:t>
      </w:r>
      <w:r>
        <w:rPr>
          <w:rFonts w:ascii="Arial" w:hAnsi="Arial" w:cs="Arial"/>
        </w:rPr>
        <w:t>que</w:t>
      </w:r>
      <w:r w:rsidRPr="002C3F86">
        <w:rPr>
          <w:rFonts w:ascii="Arial" w:hAnsi="Arial" w:cs="Arial"/>
        </w:rPr>
        <w:t xml:space="preserve"> ya había adquirido un grado relevante de materialización.</w:t>
      </w:r>
    </w:p>
    <w:p w14:paraId="771DFA58" w14:textId="77777777" w:rsidR="001808E5" w:rsidRPr="006215A7" w:rsidRDefault="001808E5" w:rsidP="006215A7">
      <w:pPr>
        <w:pStyle w:val="Ttulo1"/>
        <w:spacing w:before="240" w:beforeAutospacing="0" w:after="240" w:afterAutospacing="0"/>
        <w:jc w:val="both"/>
        <w:rPr>
          <w:rFonts w:ascii="Arial Negrita" w:eastAsiaTheme="minorHAnsi" w:hAnsi="Arial Negrita" w:cs="Arial"/>
          <w:caps w:val="0"/>
          <w:szCs w:val="24"/>
        </w:rPr>
      </w:pPr>
      <w:bookmarkStart w:id="15" w:name="_Toc48404873"/>
      <w:r w:rsidRPr="006215A7">
        <w:rPr>
          <w:rFonts w:ascii="Arial Negrita" w:eastAsiaTheme="minorHAnsi" w:hAnsi="Arial Negrita" w:cs="Arial"/>
          <w:caps w:val="0"/>
          <w:szCs w:val="24"/>
        </w:rPr>
        <w:t>5.2.2 Interés</w:t>
      </w:r>
      <w:bookmarkEnd w:id="15"/>
    </w:p>
    <w:p w14:paraId="5419FAE7" w14:textId="77777777" w:rsidR="001808E5" w:rsidRPr="00E043F5" w:rsidRDefault="001808E5" w:rsidP="001808E5">
      <w:pPr>
        <w:spacing w:before="240" w:after="240" w:line="360" w:lineRule="auto"/>
        <w:jc w:val="both"/>
        <w:rPr>
          <w:rFonts w:ascii="Arial" w:hAnsi="Arial" w:cs="Arial"/>
        </w:rPr>
      </w:pPr>
      <w:r w:rsidRPr="00E043F5">
        <w:rPr>
          <w:rFonts w:ascii="Arial" w:hAnsi="Arial" w:cs="Arial"/>
        </w:rPr>
        <w:t>Por otro lado, los actores señalan como agravio que la Sala Regional actuó indebidamente</w:t>
      </w:r>
      <w:r w:rsidR="004F35C0">
        <w:rPr>
          <w:rFonts w:ascii="Arial" w:hAnsi="Arial" w:cs="Arial"/>
        </w:rPr>
        <w:t>,</w:t>
      </w:r>
      <w:r w:rsidRPr="00E043F5">
        <w:rPr>
          <w:rFonts w:ascii="Arial" w:hAnsi="Arial" w:cs="Arial"/>
        </w:rPr>
        <w:t xml:space="preserve"> porque la parte actora no demostró </w:t>
      </w:r>
      <w:r w:rsidR="004F35C0">
        <w:rPr>
          <w:rFonts w:ascii="Arial" w:hAnsi="Arial" w:cs="Arial"/>
        </w:rPr>
        <w:t>su</w:t>
      </w:r>
      <w:r w:rsidRPr="00E043F5">
        <w:rPr>
          <w:rFonts w:ascii="Arial" w:hAnsi="Arial" w:cs="Arial"/>
        </w:rPr>
        <w:t xml:space="preserve"> residencia en el extranjero durante el próximo proceso electoral, es decir, no contaban con interés jurídico ni legítimo al no existir </w:t>
      </w:r>
      <w:r w:rsidR="004F35C0">
        <w:rPr>
          <w:rFonts w:ascii="Arial" w:hAnsi="Arial" w:cs="Arial"/>
        </w:rPr>
        <w:t xml:space="preserve">un </w:t>
      </w:r>
      <w:r w:rsidRPr="00E043F5">
        <w:rPr>
          <w:rFonts w:ascii="Arial" w:hAnsi="Arial" w:cs="Arial"/>
        </w:rPr>
        <w:t>acto concreto que les causara afectación, aunado a que no se tomó en cuenta que el artículo 35 constitucional establece que el derecho a votar y ser votado se puede ejercer siempre y cuando se cumplan con las calidades que exija la ley.</w:t>
      </w:r>
    </w:p>
    <w:p w14:paraId="03BB505B" w14:textId="77777777" w:rsidR="001808E5" w:rsidRPr="00E043F5" w:rsidRDefault="001808E5" w:rsidP="001808E5">
      <w:pPr>
        <w:spacing w:before="240" w:after="240" w:line="360" w:lineRule="auto"/>
        <w:jc w:val="both"/>
        <w:rPr>
          <w:rFonts w:ascii="Arial" w:eastAsia="Calibri" w:hAnsi="Arial" w:cs="Arial"/>
          <w:sz w:val="28"/>
          <w:szCs w:val="28"/>
        </w:rPr>
      </w:pPr>
      <w:r w:rsidRPr="00E043F5">
        <w:rPr>
          <w:rFonts w:ascii="Arial" w:hAnsi="Arial" w:cs="Arial"/>
        </w:rPr>
        <w:t>Al respecto, es importante señalar que la Sala Regional consideró que sí se encontraba demostrada la residencia de los actores en el extranjero con base en que</w:t>
      </w:r>
      <w:r w:rsidRPr="00E043F5">
        <w:rPr>
          <w:rFonts w:ascii="Arial" w:eastAsia="Calibri" w:hAnsi="Arial" w:cs="Arial"/>
        </w:rPr>
        <w:t xml:space="preserve"> ofrecieron copia de los siguientes documentos expedidos a su favor:</w:t>
      </w:r>
    </w:p>
    <w:p w14:paraId="44065DC5" w14:textId="77777777" w:rsidR="001808E5" w:rsidRPr="00E043F5" w:rsidRDefault="001808E5" w:rsidP="001808E5">
      <w:pPr>
        <w:spacing w:before="240" w:after="240" w:line="360" w:lineRule="auto"/>
        <w:jc w:val="both"/>
        <w:rPr>
          <w:rFonts w:ascii="Arial" w:eastAsia="Calibri" w:hAnsi="Arial" w:cs="Arial"/>
        </w:rPr>
      </w:pPr>
      <w:r w:rsidRPr="00E043F5">
        <w:rPr>
          <w:rFonts w:ascii="Arial" w:eastAsia="Calibri" w:hAnsi="Arial" w:cs="Arial"/>
        </w:rPr>
        <w:lastRenderedPageBreak/>
        <w:t xml:space="preserve">María García Hernández: </w:t>
      </w:r>
    </w:p>
    <w:p w14:paraId="43481693" w14:textId="77777777" w:rsidR="001808E5" w:rsidRPr="00E043F5" w:rsidRDefault="001808E5" w:rsidP="00991F83">
      <w:pPr>
        <w:pStyle w:val="Prrafodelista"/>
        <w:numPr>
          <w:ilvl w:val="0"/>
          <w:numId w:val="10"/>
        </w:numPr>
        <w:spacing w:before="240" w:after="240" w:line="360" w:lineRule="auto"/>
        <w:jc w:val="both"/>
        <w:rPr>
          <w:rFonts w:ascii="Arial" w:eastAsia="Calibri" w:hAnsi="Arial" w:cs="Arial"/>
        </w:rPr>
      </w:pPr>
      <w:r w:rsidRPr="00E043F5">
        <w:rPr>
          <w:rFonts w:ascii="Arial" w:eastAsia="Calibri" w:hAnsi="Arial" w:cs="Arial"/>
        </w:rPr>
        <w:t>Credencial para votar expedida por el Instituto Nacional Electoral con domicilio en la Ciudad de México, emitida en dos mil diecinueve (2019), vigente al dos mil veintinueve (2029)</w:t>
      </w:r>
      <w:r w:rsidR="004F35C0">
        <w:rPr>
          <w:rFonts w:ascii="Arial" w:eastAsia="Calibri" w:hAnsi="Arial" w:cs="Arial"/>
        </w:rPr>
        <w:t>.</w:t>
      </w:r>
    </w:p>
    <w:p w14:paraId="3F96CE3C" w14:textId="77777777" w:rsidR="001808E5" w:rsidRPr="00E043F5" w:rsidRDefault="001808E5" w:rsidP="00991F83">
      <w:pPr>
        <w:pStyle w:val="Prrafodelista"/>
        <w:numPr>
          <w:ilvl w:val="0"/>
          <w:numId w:val="10"/>
        </w:numPr>
        <w:spacing w:before="240" w:after="240" w:line="360" w:lineRule="auto"/>
        <w:jc w:val="both"/>
        <w:rPr>
          <w:rFonts w:ascii="Arial" w:eastAsia="Calibri" w:hAnsi="Arial" w:cs="Arial"/>
        </w:rPr>
      </w:pPr>
      <w:r w:rsidRPr="00E043F5">
        <w:rPr>
          <w:rFonts w:ascii="Arial" w:eastAsia="Calibri" w:hAnsi="Arial" w:cs="Arial"/>
        </w:rPr>
        <w:t xml:space="preserve">Matrícula Consular emitida por el Consulado de México en la ciudad de Chicago, Estados Unidos de Norteamérica, en el año dos mil quince (2015) vigente al mes de noviembre de dos mil veinte (2020).  </w:t>
      </w:r>
    </w:p>
    <w:p w14:paraId="17729C8E" w14:textId="77777777" w:rsidR="001808E5" w:rsidRPr="00E043F5" w:rsidRDefault="001808E5" w:rsidP="001808E5">
      <w:pPr>
        <w:spacing w:before="240" w:after="240" w:line="360" w:lineRule="auto"/>
        <w:jc w:val="both"/>
        <w:rPr>
          <w:rFonts w:ascii="Arial" w:eastAsia="Calibri" w:hAnsi="Arial" w:cs="Arial"/>
        </w:rPr>
      </w:pPr>
      <w:r w:rsidRPr="00E043F5">
        <w:rPr>
          <w:rFonts w:ascii="Arial" w:eastAsia="Calibri" w:hAnsi="Arial" w:cs="Arial"/>
        </w:rPr>
        <w:t>Juventino Ytizhak Montiel García:</w:t>
      </w:r>
    </w:p>
    <w:p w14:paraId="22ECB560" w14:textId="77777777" w:rsidR="001808E5" w:rsidRPr="00E043F5" w:rsidRDefault="001808E5" w:rsidP="00991F83">
      <w:pPr>
        <w:pStyle w:val="Prrafodelista"/>
        <w:numPr>
          <w:ilvl w:val="0"/>
          <w:numId w:val="10"/>
        </w:numPr>
        <w:spacing w:before="240" w:after="240" w:line="360" w:lineRule="auto"/>
        <w:jc w:val="both"/>
        <w:rPr>
          <w:rFonts w:ascii="Arial" w:eastAsia="Calibri" w:hAnsi="Arial" w:cs="Arial"/>
        </w:rPr>
      </w:pPr>
      <w:r w:rsidRPr="00E043F5">
        <w:rPr>
          <w:rFonts w:ascii="Arial" w:eastAsia="Calibri" w:hAnsi="Arial" w:cs="Arial"/>
        </w:rPr>
        <w:t>Credencial para votar expedida por el Instituto Nacional Electoral con domicilio en la Ciudad de México, emitida en dos mil doce (2012), vigente al dos mil veintidós (2022).</w:t>
      </w:r>
    </w:p>
    <w:p w14:paraId="6DF6E9C8" w14:textId="77777777" w:rsidR="001808E5" w:rsidRPr="00E043F5" w:rsidRDefault="001808E5" w:rsidP="00991F83">
      <w:pPr>
        <w:pStyle w:val="Prrafodelista"/>
        <w:numPr>
          <w:ilvl w:val="0"/>
          <w:numId w:val="10"/>
        </w:numPr>
        <w:spacing w:before="240" w:after="240" w:line="360" w:lineRule="auto"/>
        <w:jc w:val="both"/>
        <w:rPr>
          <w:rFonts w:ascii="Arial" w:eastAsia="Calibri" w:hAnsi="Arial" w:cs="Arial"/>
        </w:rPr>
      </w:pPr>
      <w:r w:rsidRPr="00E043F5">
        <w:rPr>
          <w:rFonts w:ascii="Arial" w:eastAsia="Calibri" w:hAnsi="Arial" w:cs="Arial"/>
        </w:rPr>
        <w:t xml:space="preserve">Matrícula Consular emitida por el Consulado de México en la ciudad de Chicago, Estados Unidos de Norteamérica, en el año dos mil once (2011) vigente al mes de noviembre de dos mil dieciséis (2016). </w:t>
      </w:r>
    </w:p>
    <w:p w14:paraId="3473898E" w14:textId="77777777" w:rsidR="001808E5" w:rsidRPr="00E043F5" w:rsidRDefault="001808E5" w:rsidP="001808E5">
      <w:pPr>
        <w:spacing w:before="240" w:after="240" w:line="360" w:lineRule="auto"/>
        <w:jc w:val="both"/>
        <w:rPr>
          <w:rFonts w:ascii="Arial" w:eastAsia="Calibri" w:hAnsi="Arial" w:cs="Arial"/>
        </w:rPr>
      </w:pPr>
      <w:r w:rsidRPr="00E043F5">
        <w:rPr>
          <w:rFonts w:ascii="Arial" w:eastAsia="Calibri" w:hAnsi="Arial" w:cs="Arial"/>
        </w:rPr>
        <w:t>La Sala Regional consideró que dichos documentos, por su naturaleza, surten efectos para justificar la ciudadanía mexicana originaria de la Ciudad de México, así como la residencia en el extranjero con sede en los Estados Unidos de Norteamérica que afirman tener y</w:t>
      </w:r>
      <w:r w:rsidR="004F35C0">
        <w:rPr>
          <w:rFonts w:ascii="Arial" w:eastAsia="Calibri" w:hAnsi="Arial" w:cs="Arial"/>
        </w:rPr>
        <w:t>,</w:t>
      </w:r>
      <w:r w:rsidRPr="00E043F5">
        <w:rPr>
          <w:rFonts w:ascii="Arial" w:eastAsia="Calibri" w:hAnsi="Arial" w:cs="Arial"/>
        </w:rPr>
        <w:t xml:space="preserve"> por tanto</w:t>
      </w:r>
      <w:r w:rsidR="004F35C0">
        <w:rPr>
          <w:rFonts w:ascii="Arial" w:eastAsia="Calibri" w:hAnsi="Arial" w:cs="Arial"/>
        </w:rPr>
        <w:t>,</w:t>
      </w:r>
      <w:r w:rsidRPr="00E043F5">
        <w:rPr>
          <w:rFonts w:ascii="Arial" w:eastAsia="Calibri" w:hAnsi="Arial" w:cs="Arial"/>
        </w:rPr>
        <w:t xml:space="preserve"> merecen valor probatorio de conformidad con lo previsto en el artículo 15 de la Ley de Medios, en relación con los diversos 51 y 52 de la Ley Procesal local.</w:t>
      </w:r>
    </w:p>
    <w:p w14:paraId="4F70D5A4" w14:textId="77777777" w:rsidR="001808E5" w:rsidRPr="00E043F5" w:rsidRDefault="001808E5" w:rsidP="001808E5">
      <w:pPr>
        <w:spacing w:before="240" w:after="240" w:line="360" w:lineRule="auto"/>
        <w:jc w:val="both"/>
        <w:rPr>
          <w:rFonts w:ascii="Arial" w:eastAsia="Calibri" w:hAnsi="Arial" w:cs="Arial"/>
        </w:rPr>
      </w:pPr>
      <w:r w:rsidRPr="00E043F5">
        <w:rPr>
          <w:rFonts w:ascii="Arial" w:eastAsia="Calibri" w:hAnsi="Arial" w:cs="Arial"/>
        </w:rPr>
        <w:t>Respecto a la vigencia de los documentos presentados por la parte actora, la Sala Regional estim</w:t>
      </w:r>
      <w:r w:rsidR="004F35C0">
        <w:rPr>
          <w:rFonts w:ascii="Arial" w:eastAsia="Calibri" w:hAnsi="Arial" w:cs="Arial"/>
        </w:rPr>
        <w:t>ó</w:t>
      </w:r>
      <w:r w:rsidRPr="00E043F5">
        <w:rPr>
          <w:rFonts w:ascii="Arial" w:eastAsia="Calibri" w:hAnsi="Arial" w:cs="Arial"/>
        </w:rPr>
        <w:t xml:space="preserve"> que la fecha de vigencia de las matrículas no era obstáculo para tenerles por actualizada la residencia en el extranjero, en razón de que el ejercicio del derecho sustantivo que reclamaban los promoventes no podía estar sujeto a la vigencia o calidad migratoria que ampara el documento</w:t>
      </w:r>
      <w:r w:rsidR="00713BD7">
        <w:rPr>
          <w:rFonts w:ascii="Arial" w:eastAsia="Calibri" w:hAnsi="Arial" w:cs="Arial"/>
        </w:rPr>
        <w:t>,</w:t>
      </w:r>
      <w:r w:rsidRPr="00E043F5">
        <w:rPr>
          <w:rFonts w:ascii="Arial" w:eastAsia="Calibri" w:hAnsi="Arial" w:cs="Arial"/>
        </w:rPr>
        <w:t xml:space="preserve"> ya que la calidad de residente en el extranjero es una </w:t>
      </w:r>
      <w:r w:rsidRPr="00E043F5">
        <w:rPr>
          <w:rFonts w:ascii="Arial" w:eastAsia="Calibri" w:hAnsi="Arial" w:cs="Arial"/>
        </w:rPr>
        <w:lastRenderedPageBreak/>
        <w:t>manifestación que reviste un carácter preponderante y no estaba desvirtuada con alguna prueba en contrario.</w:t>
      </w:r>
    </w:p>
    <w:p w14:paraId="36C0D23D" w14:textId="77777777" w:rsidR="001808E5" w:rsidRPr="00E043F5" w:rsidRDefault="001808E5" w:rsidP="001808E5">
      <w:pPr>
        <w:spacing w:before="240" w:after="240" w:line="360" w:lineRule="auto"/>
        <w:jc w:val="both"/>
        <w:rPr>
          <w:rFonts w:ascii="Arial" w:eastAsia="Calibri" w:hAnsi="Arial" w:cs="Arial"/>
        </w:rPr>
      </w:pPr>
      <w:r w:rsidRPr="00E043F5">
        <w:rPr>
          <w:rFonts w:ascii="Arial" w:eastAsia="Calibri" w:hAnsi="Arial" w:cs="Arial"/>
        </w:rPr>
        <w:t>Adicionalmente, la Sala Regional consideró que en el manual número 24, “Migración, derechos humanos y gobernanza”, suscrito en una labor conjunta de la Unión Interparlamentaria, la Organización Internacional del Trabajo y las Naciones Unidas (oficina del Alto Comisionado para los Derechos Humanos), se precisa que de acuerdo con el Comité de Derechos Económicos, Sociales y Culturales ha confirmado que el artículo 2.2 sobre la disposición de no discriminación en el Pacto Internacional de Derechos Económicos, Sociales y Culturales prohíbe distinciones injustificadas por motivos de nacionalidad o estatus migratorio.</w:t>
      </w:r>
    </w:p>
    <w:p w14:paraId="1E4E49F3" w14:textId="77777777" w:rsidR="001808E5" w:rsidRPr="00E043F5" w:rsidRDefault="001808E5" w:rsidP="001808E5">
      <w:pPr>
        <w:spacing w:before="240" w:after="240" w:line="360" w:lineRule="auto"/>
        <w:jc w:val="both"/>
        <w:rPr>
          <w:rFonts w:ascii="Arial" w:eastAsia="Calibri" w:hAnsi="Arial" w:cs="Arial"/>
        </w:rPr>
      </w:pPr>
      <w:r w:rsidRPr="00E043F5">
        <w:rPr>
          <w:rFonts w:ascii="Arial" w:eastAsia="Calibri" w:hAnsi="Arial" w:cs="Arial"/>
        </w:rPr>
        <w:t xml:space="preserve">En ese contexto, para esta Sala Superior el agravio que manifiesta MORENA, respecto del interés jurídico y legítimo de los entonces actores, es inoperante porque entraña un tema de </w:t>
      </w:r>
      <w:r>
        <w:rPr>
          <w:rFonts w:ascii="Arial" w:eastAsia="Calibri" w:hAnsi="Arial" w:cs="Arial"/>
        </w:rPr>
        <w:t>estricta</w:t>
      </w:r>
      <w:r w:rsidRPr="00E043F5">
        <w:rPr>
          <w:rFonts w:ascii="Arial" w:eastAsia="Calibri" w:hAnsi="Arial" w:cs="Arial"/>
        </w:rPr>
        <w:t xml:space="preserve"> legalidad</w:t>
      </w:r>
      <w:r w:rsidR="00713BD7">
        <w:rPr>
          <w:rFonts w:ascii="Arial" w:eastAsia="Calibri" w:hAnsi="Arial" w:cs="Arial"/>
        </w:rPr>
        <w:t>,</w:t>
      </w:r>
      <w:r w:rsidRPr="00E043F5">
        <w:rPr>
          <w:rFonts w:ascii="Arial" w:eastAsia="Calibri" w:hAnsi="Arial" w:cs="Arial"/>
        </w:rPr>
        <w:t xml:space="preserve"> ya que para su atención es necesario un análisis relativo al al</w:t>
      </w:r>
      <w:r w:rsidR="00713BD7">
        <w:rPr>
          <w:rFonts w:ascii="Arial" w:eastAsia="Calibri" w:hAnsi="Arial" w:cs="Arial"/>
        </w:rPr>
        <w:t>can</w:t>
      </w:r>
      <w:r w:rsidRPr="00E043F5">
        <w:rPr>
          <w:rFonts w:ascii="Arial" w:eastAsia="Calibri" w:hAnsi="Arial" w:cs="Arial"/>
        </w:rPr>
        <w:t>ce probatorio que tienen los documentos y constancias que fueron presentad</w:t>
      </w:r>
      <w:r w:rsidR="00713BD7">
        <w:rPr>
          <w:rFonts w:ascii="Arial" w:eastAsia="Calibri" w:hAnsi="Arial" w:cs="Arial"/>
        </w:rPr>
        <w:t>a</w:t>
      </w:r>
      <w:r w:rsidRPr="00E043F5">
        <w:rPr>
          <w:rFonts w:ascii="Arial" w:eastAsia="Calibri" w:hAnsi="Arial" w:cs="Arial"/>
        </w:rPr>
        <w:t>s por la parte actora para acreditar su residencia en el extranjero en el juicio ciudadano primigenio</w:t>
      </w:r>
      <w:r>
        <w:rPr>
          <w:rFonts w:ascii="Arial" w:eastAsia="Calibri" w:hAnsi="Arial" w:cs="Arial"/>
        </w:rPr>
        <w:t>. E</w:t>
      </w:r>
      <w:r w:rsidRPr="00E043F5">
        <w:rPr>
          <w:rFonts w:ascii="Arial" w:eastAsia="Calibri" w:hAnsi="Arial" w:cs="Arial"/>
        </w:rPr>
        <w:t>n ese sentido, debe señalarse que dicho análisis no está habilitado para el recurso de reconsideración que resuelve esta Sala Superior</w:t>
      </w:r>
      <w:r>
        <w:rPr>
          <w:rFonts w:ascii="Arial" w:eastAsia="Calibri" w:hAnsi="Arial" w:cs="Arial"/>
        </w:rPr>
        <w:t>.</w:t>
      </w:r>
    </w:p>
    <w:p w14:paraId="3C77B64F" w14:textId="77777777" w:rsidR="001808E5" w:rsidRPr="00E043F5" w:rsidRDefault="001808E5" w:rsidP="001808E5">
      <w:pPr>
        <w:spacing w:before="240" w:after="240" w:line="360" w:lineRule="auto"/>
        <w:jc w:val="both"/>
        <w:rPr>
          <w:rFonts w:ascii="Arial" w:eastAsia="Calibri" w:hAnsi="Arial" w:cs="Arial"/>
        </w:rPr>
      </w:pPr>
      <w:r w:rsidRPr="00E043F5">
        <w:rPr>
          <w:rFonts w:ascii="Arial" w:eastAsia="Calibri" w:hAnsi="Arial" w:cs="Arial"/>
        </w:rPr>
        <w:t>Ello es así, porque el partido recurrente encuadra sus planteamientos en una indebida valoración e interpretación de las constancias que integran el expediente que realizó la Sala Regional, por tanto, tales afirmaciones no demuestran una posible vulneración a principios constitucionales y convencionales, ya que sus planteamientos se dirigen a combatir la legalidad de actuaciones por parte de la Sala Regional y</w:t>
      </w:r>
      <w:r w:rsidR="00713BD7">
        <w:rPr>
          <w:rFonts w:ascii="Arial" w:eastAsia="Calibri" w:hAnsi="Arial" w:cs="Arial"/>
        </w:rPr>
        <w:t>,</w:t>
      </w:r>
      <w:r w:rsidRPr="00E043F5">
        <w:rPr>
          <w:rFonts w:ascii="Arial" w:eastAsia="Calibri" w:hAnsi="Arial" w:cs="Arial"/>
        </w:rPr>
        <w:t xml:space="preserve"> en consecuencia, </w:t>
      </w:r>
      <w:r w:rsidRPr="00E043F5">
        <w:rPr>
          <w:rFonts w:ascii="Arial" w:eastAsia="Calibri" w:hAnsi="Arial" w:cs="Arial"/>
        </w:rPr>
        <w:lastRenderedPageBreak/>
        <w:t>la legalidad de la sentencia materia de estudio del presente recurso, lo que rebasa el ámbito de análisis del recurso de reconsideración.</w:t>
      </w:r>
    </w:p>
    <w:p w14:paraId="5799D608" w14:textId="77777777" w:rsidR="001808E5" w:rsidRPr="00E043F5" w:rsidRDefault="001808E5" w:rsidP="001808E5">
      <w:pPr>
        <w:spacing w:before="240" w:after="240" w:line="360" w:lineRule="auto"/>
        <w:jc w:val="both"/>
        <w:rPr>
          <w:rFonts w:ascii="Arial" w:eastAsia="Calibri" w:hAnsi="Arial" w:cs="Arial"/>
        </w:rPr>
      </w:pPr>
      <w:r w:rsidRPr="00E043F5">
        <w:rPr>
          <w:rFonts w:ascii="Arial" w:eastAsia="Calibri" w:hAnsi="Arial" w:cs="Arial"/>
        </w:rPr>
        <w:t>Aunado a que el partido recurrente no controvierte frontalmente los planteamientos expuestos por la Sala Regional responsable en la resolución combatida para tener por actualizado el interés jurídico y legítimo de la parte actora</w:t>
      </w:r>
      <w:r w:rsidR="00713BD7">
        <w:rPr>
          <w:rFonts w:ascii="Arial" w:eastAsia="Calibri" w:hAnsi="Arial" w:cs="Arial"/>
        </w:rPr>
        <w:t>,</w:t>
      </w:r>
      <w:r w:rsidRPr="00E043F5">
        <w:rPr>
          <w:rFonts w:ascii="Arial" w:eastAsia="Calibri" w:hAnsi="Arial" w:cs="Arial"/>
        </w:rPr>
        <w:t xml:space="preserve"> sino que se inconforma con manifestaciones vagas y genéricas, lo que no es procedente, ya que el recurso de consideración es un medio excepcional que se encuadra únicamente a estudios de constitucional</w:t>
      </w:r>
      <w:r w:rsidR="00713BD7">
        <w:rPr>
          <w:rFonts w:ascii="Arial" w:eastAsia="Calibri" w:hAnsi="Arial" w:cs="Arial"/>
        </w:rPr>
        <w:t>idad</w:t>
      </w:r>
      <w:r w:rsidRPr="00E043F5">
        <w:rPr>
          <w:rFonts w:ascii="Arial" w:eastAsia="Calibri" w:hAnsi="Arial" w:cs="Arial"/>
        </w:rPr>
        <w:t xml:space="preserve"> y convencional</w:t>
      </w:r>
      <w:r w:rsidR="00713BD7">
        <w:rPr>
          <w:rFonts w:ascii="Arial" w:eastAsia="Calibri" w:hAnsi="Arial" w:cs="Arial"/>
        </w:rPr>
        <w:t>idad</w:t>
      </w:r>
      <w:r w:rsidRPr="00E043F5">
        <w:rPr>
          <w:rFonts w:ascii="Arial" w:eastAsia="Calibri" w:hAnsi="Arial" w:cs="Arial"/>
        </w:rPr>
        <w:t>, sin que pued</w:t>
      </w:r>
      <w:r w:rsidR="00713BD7">
        <w:rPr>
          <w:rFonts w:ascii="Arial" w:eastAsia="Calibri" w:hAnsi="Arial" w:cs="Arial"/>
        </w:rPr>
        <w:t>a</w:t>
      </w:r>
      <w:r w:rsidRPr="00E043F5">
        <w:rPr>
          <w:rFonts w:ascii="Arial" w:eastAsia="Calibri" w:hAnsi="Arial" w:cs="Arial"/>
        </w:rPr>
        <w:t xml:space="preserve"> considerarse una siguiente instancia ordinaria, de ahí que su agravio sea inoperante.</w:t>
      </w:r>
    </w:p>
    <w:p w14:paraId="43B4C8DF" w14:textId="77777777" w:rsidR="009E0F77" w:rsidRDefault="001808E5" w:rsidP="00E80EE6">
      <w:pPr>
        <w:spacing w:before="240" w:after="240" w:line="360" w:lineRule="auto"/>
        <w:jc w:val="both"/>
        <w:rPr>
          <w:rFonts w:ascii="Arial" w:hAnsi="Arial" w:cs="Arial"/>
        </w:rPr>
      </w:pPr>
      <w:r>
        <w:rPr>
          <w:rFonts w:ascii="Arial" w:hAnsi="Arial" w:cs="Arial"/>
        </w:rPr>
        <w:t>Ahora bien, para responder a los agravios de constitucionalidad que deben ser analizados por esta Sala Superior, l</w:t>
      </w:r>
      <w:r w:rsidR="009E0F77">
        <w:rPr>
          <w:rFonts w:ascii="Arial" w:hAnsi="Arial" w:cs="Arial"/>
        </w:rPr>
        <w:t xml:space="preserve">a metodología de estudio </w:t>
      </w:r>
      <w:r w:rsidR="00A25317">
        <w:rPr>
          <w:rFonts w:ascii="Arial" w:hAnsi="Arial" w:cs="Arial"/>
        </w:rPr>
        <w:t xml:space="preserve">se apegará al </w:t>
      </w:r>
      <w:r>
        <w:rPr>
          <w:rFonts w:ascii="Arial" w:hAnsi="Arial" w:cs="Arial"/>
        </w:rPr>
        <w:t>siguiente</w:t>
      </w:r>
      <w:r w:rsidR="009E0F77">
        <w:rPr>
          <w:rFonts w:ascii="Arial" w:hAnsi="Arial" w:cs="Arial"/>
        </w:rPr>
        <w:t xml:space="preserve"> orden</w:t>
      </w:r>
      <w:r>
        <w:rPr>
          <w:rFonts w:ascii="Arial" w:hAnsi="Arial" w:cs="Arial"/>
        </w:rPr>
        <w:t>:</w:t>
      </w:r>
      <w:r w:rsidR="009E0F77">
        <w:rPr>
          <w:rFonts w:ascii="Arial" w:hAnsi="Arial" w:cs="Arial"/>
        </w:rPr>
        <w:t xml:space="preserve"> </w:t>
      </w:r>
      <w:r>
        <w:rPr>
          <w:rFonts w:ascii="Arial" w:hAnsi="Arial" w:cs="Arial"/>
        </w:rPr>
        <w:t>e</w:t>
      </w:r>
      <w:r w:rsidR="009E0F77">
        <w:rPr>
          <w:rFonts w:ascii="Arial" w:hAnsi="Arial" w:cs="Arial"/>
        </w:rPr>
        <w:t xml:space="preserve">n primer lugar, se analizará si era posible revisar la validez constitucional de la supresión de la figura de la diputación migrante. </w:t>
      </w:r>
    </w:p>
    <w:p w14:paraId="098AF64C" w14:textId="77777777" w:rsidR="000777EA" w:rsidRDefault="009E0F77" w:rsidP="00E80EE6">
      <w:pPr>
        <w:spacing w:before="240" w:after="240" w:line="360" w:lineRule="auto"/>
        <w:jc w:val="both"/>
        <w:rPr>
          <w:rFonts w:ascii="Arial" w:hAnsi="Arial" w:cs="Arial"/>
        </w:rPr>
      </w:pPr>
      <w:r>
        <w:rPr>
          <w:rFonts w:ascii="Arial" w:hAnsi="Arial" w:cs="Arial"/>
        </w:rPr>
        <w:t>De considerar que esto sí es posible, se estudiará</w:t>
      </w:r>
      <w:r w:rsidR="00A25317">
        <w:rPr>
          <w:rFonts w:ascii="Arial" w:hAnsi="Arial" w:cs="Arial"/>
        </w:rPr>
        <w:t>,</w:t>
      </w:r>
      <w:r>
        <w:rPr>
          <w:rFonts w:ascii="Arial" w:hAnsi="Arial" w:cs="Arial"/>
        </w:rPr>
        <w:t xml:space="preserve"> </w:t>
      </w:r>
      <w:r w:rsidR="00A25317">
        <w:rPr>
          <w:rFonts w:ascii="Arial" w:hAnsi="Arial" w:cs="Arial"/>
        </w:rPr>
        <w:t xml:space="preserve">en segundo lugar, </w:t>
      </w:r>
      <w:r>
        <w:rPr>
          <w:rFonts w:ascii="Arial" w:hAnsi="Arial" w:cs="Arial"/>
        </w:rPr>
        <w:t>si fue correct</w:t>
      </w:r>
      <w:r w:rsidR="00A25317">
        <w:rPr>
          <w:rFonts w:ascii="Arial" w:hAnsi="Arial" w:cs="Arial"/>
        </w:rPr>
        <w:t>a</w:t>
      </w:r>
      <w:r>
        <w:rPr>
          <w:rFonts w:ascii="Arial" w:hAnsi="Arial" w:cs="Arial"/>
        </w:rPr>
        <w:t xml:space="preserve"> o no dicha supresión. </w:t>
      </w:r>
    </w:p>
    <w:p w14:paraId="33176893" w14:textId="77777777" w:rsidR="005A0ECC" w:rsidRPr="00D72782" w:rsidRDefault="00900B3E" w:rsidP="00D72782">
      <w:pPr>
        <w:pStyle w:val="Ttulo1"/>
        <w:spacing w:before="240" w:beforeAutospacing="0" w:after="240" w:afterAutospacing="0"/>
        <w:jc w:val="both"/>
        <w:rPr>
          <w:rFonts w:ascii="Arial Negrita" w:eastAsiaTheme="minorHAnsi" w:hAnsi="Arial Negrita" w:cs="Arial"/>
          <w:caps w:val="0"/>
          <w:szCs w:val="24"/>
        </w:rPr>
      </w:pPr>
      <w:bookmarkStart w:id="16" w:name="_Toc48404874"/>
      <w:r w:rsidRPr="00D72782">
        <w:rPr>
          <w:rFonts w:ascii="Arial Negrita" w:eastAsiaTheme="minorHAnsi" w:hAnsi="Arial Negrita" w:cs="Arial"/>
          <w:caps w:val="0"/>
          <w:szCs w:val="24"/>
        </w:rPr>
        <w:t>5.</w:t>
      </w:r>
      <w:r w:rsidR="001E063E" w:rsidRPr="00D72782">
        <w:rPr>
          <w:rFonts w:ascii="Arial Negrita" w:eastAsiaTheme="minorHAnsi" w:hAnsi="Arial Negrita" w:cs="Arial"/>
          <w:caps w:val="0"/>
          <w:szCs w:val="24"/>
        </w:rPr>
        <w:t>3</w:t>
      </w:r>
      <w:r w:rsidR="007066D9" w:rsidRPr="00D72782">
        <w:rPr>
          <w:rFonts w:ascii="Arial Negrita" w:eastAsiaTheme="minorHAnsi" w:hAnsi="Arial Negrita" w:cs="Arial"/>
          <w:caps w:val="0"/>
          <w:szCs w:val="24"/>
        </w:rPr>
        <w:t>.</w:t>
      </w:r>
      <w:r w:rsidRPr="00D72782">
        <w:rPr>
          <w:rFonts w:ascii="Arial Negrita" w:eastAsiaTheme="minorHAnsi" w:hAnsi="Arial Negrita" w:cs="Arial"/>
          <w:caps w:val="0"/>
          <w:szCs w:val="24"/>
        </w:rPr>
        <w:t xml:space="preserve"> </w:t>
      </w:r>
      <w:r w:rsidR="005A0ECC" w:rsidRPr="00D72782">
        <w:rPr>
          <w:rFonts w:ascii="Arial Negrita" w:eastAsiaTheme="minorHAnsi" w:hAnsi="Arial Negrita" w:cs="Arial"/>
          <w:caps w:val="0"/>
          <w:szCs w:val="24"/>
        </w:rPr>
        <w:t xml:space="preserve">El tipo de análisis de constitucionalidad realizado por la </w:t>
      </w:r>
      <w:r w:rsidR="00A70A63" w:rsidRPr="00D72782">
        <w:rPr>
          <w:rFonts w:ascii="Arial Negrita" w:eastAsiaTheme="minorHAnsi" w:hAnsi="Arial Negrita" w:cs="Arial"/>
          <w:caps w:val="0"/>
          <w:szCs w:val="24"/>
        </w:rPr>
        <w:t>S</w:t>
      </w:r>
      <w:r w:rsidR="005A0ECC" w:rsidRPr="00D72782">
        <w:rPr>
          <w:rFonts w:ascii="Arial Negrita" w:eastAsiaTheme="minorHAnsi" w:hAnsi="Arial Negrita" w:cs="Arial"/>
          <w:caps w:val="0"/>
          <w:szCs w:val="24"/>
        </w:rPr>
        <w:t xml:space="preserve">ala </w:t>
      </w:r>
      <w:r w:rsidR="00A70A63" w:rsidRPr="00D72782">
        <w:rPr>
          <w:rFonts w:ascii="Arial Negrita" w:eastAsiaTheme="minorHAnsi" w:hAnsi="Arial Negrita" w:cs="Arial"/>
          <w:caps w:val="0"/>
          <w:szCs w:val="24"/>
        </w:rPr>
        <w:t>R</w:t>
      </w:r>
      <w:r w:rsidR="005A0ECC" w:rsidRPr="00D72782">
        <w:rPr>
          <w:rFonts w:ascii="Arial Negrita" w:eastAsiaTheme="minorHAnsi" w:hAnsi="Arial Negrita" w:cs="Arial"/>
          <w:caps w:val="0"/>
          <w:szCs w:val="24"/>
        </w:rPr>
        <w:t>egional responsable fue correcto</w:t>
      </w:r>
      <w:bookmarkEnd w:id="16"/>
    </w:p>
    <w:p w14:paraId="24139443" w14:textId="77777777" w:rsidR="005A0ECC" w:rsidRDefault="005A0ECC" w:rsidP="005A0ECC">
      <w:pPr>
        <w:spacing w:before="240" w:after="240" w:line="360" w:lineRule="auto"/>
        <w:jc w:val="both"/>
        <w:rPr>
          <w:rFonts w:ascii="Arial" w:hAnsi="Arial" w:cs="Arial"/>
        </w:rPr>
      </w:pPr>
      <w:r>
        <w:rPr>
          <w:rFonts w:ascii="Arial" w:hAnsi="Arial" w:cs="Arial"/>
        </w:rPr>
        <w:t xml:space="preserve">La parte actora alega, fundamentalmente, que la Sala Regional invadió las competencias de la Suprema Corte de Justicia de la Nación al haber llevado a cabo un control de constitucionalidad abstracto y no uno concreto, que es el que tiene reconocido dentro de sus facultades. </w:t>
      </w:r>
    </w:p>
    <w:p w14:paraId="1E2BA569" w14:textId="77777777" w:rsidR="00513F43" w:rsidRDefault="005A0ECC" w:rsidP="005A0ECC">
      <w:pPr>
        <w:spacing w:before="240" w:after="240" w:line="360" w:lineRule="auto"/>
        <w:jc w:val="both"/>
        <w:rPr>
          <w:rFonts w:ascii="Arial" w:hAnsi="Arial" w:cs="Arial"/>
        </w:rPr>
      </w:pPr>
      <w:r>
        <w:rPr>
          <w:rFonts w:ascii="Arial" w:hAnsi="Arial" w:cs="Arial"/>
        </w:rPr>
        <w:t xml:space="preserve">Es decir, alega que el análisis hecho por esa Sala excedió sus facultades como </w:t>
      </w:r>
      <w:r w:rsidR="00A70A63">
        <w:rPr>
          <w:rFonts w:ascii="Arial" w:hAnsi="Arial" w:cs="Arial"/>
        </w:rPr>
        <w:t>T</w:t>
      </w:r>
      <w:r>
        <w:rPr>
          <w:rFonts w:ascii="Arial" w:hAnsi="Arial" w:cs="Arial"/>
        </w:rPr>
        <w:t xml:space="preserve">ribunal constitucional. </w:t>
      </w:r>
    </w:p>
    <w:p w14:paraId="0B75632C" w14:textId="77777777" w:rsidR="005A0ECC" w:rsidRDefault="005A0ECC" w:rsidP="005A0ECC">
      <w:pPr>
        <w:spacing w:before="240" w:after="240" w:line="360" w:lineRule="auto"/>
        <w:jc w:val="both"/>
        <w:rPr>
          <w:rFonts w:ascii="Arial" w:hAnsi="Arial" w:cs="Arial"/>
        </w:rPr>
      </w:pPr>
      <w:r>
        <w:rPr>
          <w:rFonts w:ascii="Arial" w:hAnsi="Arial" w:cs="Arial"/>
        </w:rPr>
        <w:lastRenderedPageBreak/>
        <w:t xml:space="preserve">Esta Sala Superior califica de </w:t>
      </w:r>
      <w:r w:rsidRPr="000D5447">
        <w:rPr>
          <w:rFonts w:ascii="Arial" w:hAnsi="Arial" w:cs="Arial"/>
          <w:b/>
        </w:rPr>
        <w:t xml:space="preserve">infundado </w:t>
      </w:r>
      <w:r>
        <w:rPr>
          <w:rFonts w:ascii="Arial" w:hAnsi="Arial" w:cs="Arial"/>
        </w:rPr>
        <w:t xml:space="preserve">este agravio y, a su vez, considera que fue correcta la decisión de la Sala Regional, por motivos distintos que se desarrollarán a continuación. </w:t>
      </w:r>
    </w:p>
    <w:p w14:paraId="316A410A" w14:textId="77777777" w:rsidR="007A1CDF" w:rsidRDefault="005A0ECC" w:rsidP="00C01CE1">
      <w:pPr>
        <w:spacing w:before="240" w:after="240" w:line="360" w:lineRule="auto"/>
        <w:jc w:val="both"/>
        <w:rPr>
          <w:rFonts w:ascii="Arial" w:hAnsi="Arial" w:cs="Arial"/>
        </w:rPr>
      </w:pPr>
      <w:r w:rsidRPr="007A1CDF">
        <w:rPr>
          <w:rFonts w:ascii="Arial" w:hAnsi="Arial" w:cs="Arial"/>
        </w:rPr>
        <w:t xml:space="preserve">Para ello, </w:t>
      </w:r>
      <w:r w:rsidR="00C01CE1" w:rsidRPr="007A1CDF">
        <w:rPr>
          <w:rFonts w:ascii="Arial" w:hAnsi="Arial" w:cs="Arial"/>
        </w:rPr>
        <w:t xml:space="preserve">primero </w:t>
      </w:r>
      <w:r w:rsidR="00E053B7">
        <w:rPr>
          <w:rFonts w:ascii="Arial" w:hAnsi="Arial" w:cs="Arial"/>
        </w:rPr>
        <w:t xml:space="preserve">se </w:t>
      </w:r>
      <w:r w:rsidR="00E053B7" w:rsidRPr="007A1CDF">
        <w:rPr>
          <w:rFonts w:ascii="Arial" w:hAnsi="Arial" w:cs="Arial"/>
        </w:rPr>
        <w:t>establece</w:t>
      </w:r>
      <w:r w:rsidR="00E053B7">
        <w:rPr>
          <w:rFonts w:ascii="Arial" w:hAnsi="Arial" w:cs="Arial"/>
        </w:rPr>
        <w:t>n</w:t>
      </w:r>
      <w:r w:rsidR="00E053B7" w:rsidRPr="007A1CDF">
        <w:rPr>
          <w:rFonts w:ascii="Arial" w:hAnsi="Arial" w:cs="Arial"/>
        </w:rPr>
        <w:t xml:space="preserve"> </w:t>
      </w:r>
      <w:r w:rsidR="00355D29" w:rsidRPr="007A1CDF">
        <w:rPr>
          <w:rFonts w:ascii="Arial" w:hAnsi="Arial" w:cs="Arial"/>
        </w:rPr>
        <w:t xml:space="preserve">los alcances que tiene esta Sala Superior en tanto que es un </w:t>
      </w:r>
      <w:r w:rsidR="00A70A63">
        <w:rPr>
          <w:rFonts w:ascii="Arial" w:hAnsi="Arial" w:cs="Arial"/>
        </w:rPr>
        <w:t>T</w:t>
      </w:r>
      <w:r w:rsidR="00355D29" w:rsidRPr="007A1CDF">
        <w:rPr>
          <w:rFonts w:ascii="Arial" w:hAnsi="Arial" w:cs="Arial"/>
        </w:rPr>
        <w:t xml:space="preserve">ribunal constitucional </w:t>
      </w:r>
      <w:r w:rsidR="00FB1133">
        <w:rPr>
          <w:rFonts w:ascii="Arial" w:hAnsi="Arial" w:cs="Arial"/>
        </w:rPr>
        <w:t xml:space="preserve">garante </w:t>
      </w:r>
      <w:r w:rsidR="00355D29" w:rsidRPr="007A1CDF">
        <w:rPr>
          <w:rFonts w:ascii="Arial" w:hAnsi="Arial" w:cs="Arial"/>
        </w:rPr>
        <w:t xml:space="preserve">de </w:t>
      </w:r>
      <w:r w:rsidR="00FB1133">
        <w:rPr>
          <w:rFonts w:ascii="Arial" w:hAnsi="Arial" w:cs="Arial"/>
        </w:rPr>
        <w:t xml:space="preserve">los </w:t>
      </w:r>
      <w:r w:rsidR="00355D29" w:rsidRPr="007A1CDF">
        <w:rPr>
          <w:rFonts w:ascii="Arial" w:hAnsi="Arial" w:cs="Arial"/>
        </w:rPr>
        <w:t>derechos políticos</w:t>
      </w:r>
      <w:r w:rsidR="0087569C">
        <w:rPr>
          <w:rFonts w:ascii="Arial" w:hAnsi="Arial" w:cs="Arial"/>
        </w:rPr>
        <w:t xml:space="preserve"> y derechos electorales</w:t>
      </w:r>
      <w:r w:rsidR="007A1CDF" w:rsidRPr="007A1CDF">
        <w:rPr>
          <w:rFonts w:ascii="Arial" w:hAnsi="Arial" w:cs="Arial"/>
        </w:rPr>
        <w:t xml:space="preserve"> (</w:t>
      </w:r>
      <w:r w:rsidR="007A1CDF" w:rsidRPr="007A1CDF">
        <w:rPr>
          <w:rFonts w:ascii="Arial" w:hAnsi="Arial" w:cs="Arial"/>
          <w:b/>
        </w:rPr>
        <w:t>apartado 5.</w:t>
      </w:r>
      <w:r w:rsidR="001E063E">
        <w:rPr>
          <w:rFonts w:ascii="Arial" w:hAnsi="Arial" w:cs="Arial"/>
          <w:b/>
        </w:rPr>
        <w:t>3</w:t>
      </w:r>
      <w:r w:rsidR="007A1CDF" w:rsidRPr="007A1CDF">
        <w:rPr>
          <w:rFonts w:ascii="Arial" w:hAnsi="Arial" w:cs="Arial"/>
          <w:b/>
        </w:rPr>
        <w:t>.1)</w:t>
      </w:r>
      <w:r w:rsidR="00355D29" w:rsidRPr="007A1CDF">
        <w:rPr>
          <w:rFonts w:ascii="Arial" w:hAnsi="Arial" w:cs="Arial"/>
          <w:b/>
        </w:rPr>
        <w:t>.</w:t>
      </w:r>
      <w:r w:rsidR="00355D29">
        <w:rPr>
          <w:rFonts w:ascii="Arial" w:hAnsi="Arial" w:cs="Arial"/>
        </w:rPr>
        <w:t xml:space="preserve"> </w:t>
      </w:r>
    </w:p>
    <w:p w14:paraId="544DDCFF" w14:textId="77777777" w:rsidR="00C01CE1" w:rsidRPr="009B4DDD" w:rsidRDefault="00355D29" w:rsidP="00C01CE1">
      <w:pPr>
        <w:spacing w:before="240" w:after="240" w:line="360" w:lineRule="auto"/>
        <w:jc w:val="both"/>
        <w:rPr>
          <w:rFonts w:ascii="Arial" w:hAnsi="Arial" w:cs="Arial"/>
        </w:rPr>
      </w:pPr>
      <w:r>
        <w:rPr>
          <w:rFonts w:ascii="Arial" w:hAnsi="Arial" w:cs="Arial"/>
        </w:rPr>
        <w:t xml:space="preserve">Posteriormente, </w:t>
      </w:r>
      <w:r w:rsidR="00C01CE1">
        <w:rPr>
          <w:rFonts w:ascii="Arial" w:hAnsi="Arial" w:cs="Arial"/>
        </w:rPr>
        <w:t>se h</w:t>
      </w:r>
      <w:r w:rsidR="00E053B7">
        <w:rPr>
          <w:rFonts w:ascii="Arial" w:hAnsi="Arial" w:cs="Arial"/>
        </w:rPr>
        <w:t>ace</w:t>
      </w:r>
      <w:r w:rsidR="00C01CE1">
        <w:rPr>
          <w:rFonts w:ascii="Arial" w:hAnsi="Arial" w:cs="Arial"/>
        </w:rPr>
        <w:t xml:space="preserve"> un estudio de la naturaleza del derecho que se reclama</w:t>
      </w:r>
      <w:r w:rsidR="007A1CDF">
        <w:rPr>
          <w:rFonts w:ascii="Arial" w:hAnsi="Arial" w:cs="Arial"/>
        </w:rPr>
        <w:t xml:space="preserve"> (</w:t>
      </w:r>
      <w:r w:rsidR="007A1CDF" w:rsidRPr="007A1CDF">
        <w:rPr>
          <w:rFonts w:ascii="Arial" w:hAnsi="Arial" w:cs="Arial"/>
          <w:b/>
        </w:rPr>
        <w:t>apartado 5.</w:t>
      </w:r>
      <w:r w:rsidR="001E063E">
        <w:rPr>
          <w:rFonts w:ascii="Arial" w:hAnsi="Arial" w:cs="Arial"/>
          <w:b/>
        </w:rPr>
        <w:t>3</w:t>
      </w:r>
      <w:r w:rsidR="007A1CDF" w:rsidRPr="007A1CDF">
        <w:rPr>
          <w:rFonts w:ascii="Arial" w:hAnsi="Arial" w:cs="Arial"/>
          <w:b/>
        </w:rPr>
        <w:t>.2</w:t>
      </w:r>
      <w:r w:rsidR="007A1CDF">
        <w:rPr>
          <w:rFonts w:ascii="Arial" w:hAnsi="Arial" w:cs="Arial"/>
        </w:rPr>
        <w:t>)</w:t>
      </w:r>
      <w:r w:rsidR="00C01CE1">
        <w:rPr>
          <w:rFonts w:ascii="Arial" w:hAnsi="Arial" w:cs="Arial"/>
        </w:rPr>
        <w:t xml:space="preserve">. </w:t>
      </w:r>
      <w:r w:rsidR="00014F02">
        <w:rPr>
          <w:rFonts w:ascii="Arial" w:hAnsi="Arial" w:cs="Arial"/>
        </w:rPr>
        <w:t>Se argument</w:t>
      </w:r>
      <w:r w:rsidR="00E053B7">
        <w:rPr>
          <w:rFonts w:ascii="Arial" w:hAnsi="Arial" w:cs="Arial"/>
        </w:rPr>
        <w:t>a</w:t>
      </w:r>
      <w:r w:rsidR="00014F02">
        <w:rPr>
          <w:rFonts w:ascii="Arial" w:hAnsi="Arial" w:cs="Arial"/>
        </w:rPr>
        <w:t xml:space="preserve"> que</w:t>
      </w:r>
      <w:r w:rsidR="00C01CE1" w:rsidRPr="009B4DDD">
        <w:rPr>
          <w:rFonts w:ascii="Arial" w:hAnsi="Arial" w:cs="Arial"/>
        </w:rPr>
        <w:t xml:space="preserve">, al tratarse de un grupo minoritario y subrepresentado (personas migrantes), el estudio de regularidad constitucional respecto de la norma derogada se debe enmarcar en la lógica de los derechos diferenciados en función de grupo. </w:t>
      </w:r>
    </w:p>
    <w:p w14:paraId="4A23FD99" w14:textId="77777777" w:rsidR="00C01CE1" w:rsidRPr="006F76DB" w:rsidRDefault="00C01CE1" w:rsidP="00C01CE1">
      <w:pPr>
        <w:spacing w:before="240" w:after="240" w:line="360" w:lineRule="auto"/>
        <w:jc w:val="both"/>
        <w:rPr>
          <w:rFonts w:ascii="Arial" w:hAnsi="Arial" w:cs="Arial"/>
        </w:rPr>
      </w:pPr>
      <w:r w:rsidRPr="009B4DDD">
        <w:rPr>
          <w:rFonts w:ascii="Arial" w:hAnsi="Arial" w:cs="Arial"/>
        </w:rPr>
        <w:t>Esto permite hacer un análisis de sus efectos en concreto, precisamente por razón de que</w:t>
      </w:r>
      <w:r w:rsidR="000914D7">
        <w:rPr>
          <w:rFonts w:ascii="Arial" w:hAnsi="Arial" w:cs="Arial"/>
        </w:rPr>
        <w:t xml:space="preserve">, en </w:t>
      </w:r>
      <w:r w:rsidR="00D60CD5">
        <w:rPr>
          <w:rFonts w:ascii="Arial" w:hAnsi="Arial" w:cs="Arial"/>
        </w:rPr>
        <w:t xml:space="preserve">el </w:t>
      </w:r>
      <w:r w:rsidR="000914D7">
        <w:rPr>
          <w:rFonts w:ascii="Arial" w:hAnsi="Arial" w:cs="Arial"/>
        </w:rPr>
        <w:t>presente caso, no es exig</w:t>
      </w:r>
      <w:r w:rsidR="00D60CD5">
        <w:rPr>
          <w:rFonts w:ascii="Arial" w:hAnsi="Arial" w:cs="Arial"/>
        </w:rPr>
        <w:t>ible un acto concreto de aplicación</w:t>
      </w:r>
      <w:r w:rsidR="00D14299">
        <w:rPr>
          <w:rFonts w:ascii="Arial" w:hAnsi="Arial" w:cs="Arial"/>
        </w:rPr>
        <w:t xml:space="preserve">, como se </w:t>
      </w:r>
      <w:r w:rsidR="00E053B7">
        <w:rPr>
          <w:rFonts w:ascii="Arial" w:hAnsi="Arial" w:cs="Arial"/>
        </w:rPr>
        <w:t>aclara</w:t>
      </w:r>
      <w:r w:rsidR="00E053B7" w:rsidRPr="009B4DDD">
        <w:rPr>
          <w:rFonts w:ascii="Arial" w:hAnsi="Arial" w:cs="Arial"/>
        </w:rPr>
        <w:t xml:space="preserve"> </w:t>
      </w:r>
      <w:r w:rsidRPr="009B4DDD">
        <w:rPr>
          <w:rFonts w:ascii="Arial" w:hAnsi="Arial" w:cs="Arial"/>
        </w:rPr>
        <w:t>más adelante.</w:t>
      </w:r>
    </w:p>
    <w:p w14:paraId="61C4C40D" w14:textId="77777777" w:rsidR="00C01CE1" w:rsidRPr="009B4DDD" w:rsidRDefault="00C01CE1" w:rsidP="00C01CE1">
      <w:pPr>
        <w:spacing w:before="240" w:after="240" w:line="360" w:lineRule="auto"/>
        <w:jc w:val="both"/>
        <w:rPr>
          <w:rFonts w:ascii="Arial" w:hAnsi="Arial" w:cs="Arial"/>
        </w:rPr>
      </w:pPr>
      <w:r w:rsidRPr="009B4DDD">
        <w:rPr>
          <w:rFonts w:ascii="Arial" w:hAnsi="Arial" w:cs="Arial"/>
        </w:rPr>
        <w:t xml:space="preserve">En ese mismo apartado, también se presentan los avances interpretativos que esta Sala Superior ha </w:t>
      </w:r>
      <w:r w:rsidR="00D629AA">
        <w:rPr>
          <w:rFonts w:ascii="Arial" w:hAnsi="Arial" w:cs="Arial"/>
        </w:rPr>
        <w:t>desarrollado</w:t>
      </w:r>
      <w:r w:rsidR="00727ACF">
        <w:rPr>
          <w:rFonts w:ascii="Arial" w:hAnsi="Arial" w:cs="Arial"/>
        </w:rPr>
        <w:t>, en su doctrina judicial,</w:t>
      </w:r>
      <w:r w:rsidRPr="009B4DDD">
        <w:rPr>
          <w:rFonts w:ascii="Arial" w:hAnsi="Arial" w:cs="Arial"/>
        </w:rPr>
        <w:t xml:space="preserve"> respecto de</w:t>
      </w:r>
      <w:r w:rsidR="004802E0">
        <w:rPr>
          <w:rFonts w:ascii="Arial" w:hAnsi="Arial" w:cs="Arial"/>
        </w:rPr>
        <w:t>l control de regularidad constitucional que ha llevado a cabo.</w:t>
      </w:r>
      <w:r w:rsidRPr="009B4DDD">
        <w:rPr>
          <w:rFonts w:ascii="Arial" w:hAnsi="Arial" w:cs="Arial"/>
        </w:rPr>
        <w:t xml:space="preserve"> </w:t>
      </w:r>
    </w:p>
    <w:p w14:paraId="54A20F06" w14:textId="77777777" w:rsidR="00C01CE1" w:rsidRDefault="00C01CE1" w:rsidP="00C01CE1">
      <w:pPr>
        <w:spacing w:before="240" w:after="240" w:line="360" w:lineRule="auto"/>
        <w:jc w:val="both"/>
        <w:rPr>
          <w:rFonts w:ascii="Arial" w:hAnsi="Arial" w:cs="Arial"/>
        </w:rPr>
      </w:pPr>
      <w:r w:rsidRPr="009B4DDD">
        <w:rPr>
          <w:rFonts w:ascii="Arial" w:hAnsi="Arial" w:cs="Arial"/>
        </w:rPr>
        <w:t xml:space="preserve">Por ejemplo, al conocer de (a) omisiones legislativas, de estudios de normas que aún no tienen aplicación pero que, por el contexto de un proceso electoral, su (b) aplicación es inminente y, de aquellos asuntos en los que, también por su contexto, se han (c) expandido sus efectos para que no solo </w:t>
      </w:r>
      <w:r w:rsidR="007156C9">
        <w:rPr>
          <w:rFonts w:ascii="Arial" w:hAnsi="Arial" w:cs="Arial"/>
        </w:rPr>
        <w:t xml:space="preserve">se </w:t>
      </w:r>
      <w:r w:rsidRPr="009B4DDD">
        <w:rPr>
          <w:rFonts w:ascii="Arial" w:hAnsi="Arial" w:cs="Arial"/>
        </w:rPr>
        <w:t xml:space="preserve">apliquen al caso concreto. </w:t>
      </w:r>
    </w:p>
    <w:p w14:paraId="68272D06" w14:textId="77777777" w:rsidR="007A1CDF" w:rsidRDefault="007A1CDF" w:rsidP="00C01CE1">
      <w:pPr>
        <w:spacing w:before="240" w:after="240" w:line="360" w:lineRule="auto"/>
        <w:jc w:val="both"/>
        <w:rPr>
          <w:rFonts w:ascii="Arial" w:hAnsi="Arial" w:cs="Arial"/>
        </w:rPr>
      </w:pPr>
      <w:r>
        <w:rPr>
          <w:rFonts w:ascii="Arial" w:hAnsi="Arial" w:cs="Arial"/>
        </w:rPr>
        <w:t xml:space="preserve">Finalmente, en el </w:t>
      </w:r>
      <w:r w:rsidRPr="007A1CDF">
        <w:rPr>
          <w:rFonts w:ascii="Arial" w:hAnsi="Arial" w:cs="Arial"/>
          <w:b/>
        </w:rPr>
        <w:t>apartado 5.</w:t>
      </w:r>
      <w:r w:rsidR="001E063E">
        <w:rPr>
          <w:rFonts w:ascii="Arial" w:hAnsi="Arial" w:cs="Arial"/>
          <w:b/>
        </w:rPr>
        <w:t>3</w:t>
      </w:r>
      <w:r w:rsidRPr="007A1CDF">
        <w:rPr>
          <w:rFonts w:ascii="Arial" w:hAnsi="Arial" w:cs="Arial"/>
          <w:b/>
        </w:rPr>
        <w:t>.3</w:t>
      </w:r>
      <w:r>
        <w:rPr>
          <w:rFonts w:ascii="Arial" w:hAnsi="Arial" w:cs="Arial"/>
        </w:rPr>
        <w:t>, se razona por qué s</w:t>
      </w:r>
      <w:r w:rsidR="0050510D">
        <w:rPr>
          <w:rFonts w:ascii="Arial" w:hAnsi="Arial" w:cs="Arial"/>
        </w:rPr>
        <w:t>í</w:t>
      </w:r>
      <w:r>
        <w:rPr>
          <w:rFonts w:ascii="Arial" w:hAnsi="Arial" w:cs="Arial"/>
        </w:rPr>
        <w:t xml:space="preserve"> es jurídicamente posible llevar a cabo una revisión constitucional respecto del acto derogatorio de la figura de la diputación migrante. </w:t>
      </w:r>
    </w:p>
    <w:p w14:paraId="41F722D6" w14:textId="77777777" w:rsidR="00355D29" w:rsidRPr="006215A7" w:rsidRDefault="00355D29" w:rsidP="006215A7">
      <w:pPr>
        <w:pStyle w:val="Ttulo1"/>
        <w:spacing w:before="240" w:beforeAutospacing="0" w:after="240" w:afterAutospacing="0"/>
        <w:jc w:val="both"/>
        <w:rPr>
          <w:rFonts w:ascii="Arial Negrita" w:eastAsiaTheme="minorHAnsi" w:hAnsi="Arial Negrita" w:cs="Arial"/>
          <w:caps w:val="0"/>
          <w:szCs w:val="24"/>
        </w:rPr>
      </w:pPr>
      <w:bookmarkStart w:id="17" w:name="_Toc48404875"/>
      <w:r w:rsidRPr="006215A7">
        <w:rPr>
          <w:rFonts w:ascii="Arial Negrita" w:eastAsiaTheme="minorHAnsi" w:hAnsi="Arial Negrita" w:cs="Arial"/>
          <w:caps w:val="0"/>
          <w:szCs w:val="24"/>
        </w:rPr>
        <w:lastRenderedPageBreak/>
        <w:t>5.</w:t>
      </w:r>
      <w:r w:rsidR="001E063E" w:rsidRPr="006215A7">
        <w:rPr>
          <w:rFonts w:ascii="Arial Negrita" w:eastAsiaTheme="minorHAnsi" w:hAnsi="Arial Negrita" w:cs="Arial"/>
          <w:caps w:val="0"/>
          <w:szCs w:val="24"/>
        </w:rPr>
        <w:t>3</w:t>
      </w:r>
      <w:r w:rsidRPr="006215A7">
        <w:rPr>
          <w:rFonts w:ascii="Arial Negrita" w:eastAsiaTheme="minorHAnsi" w:hAnsi="Arial Negrita" w:cs="Arial"/>
          <w:caps w:val="0"/>
          <w:szCs w:val="24"/>
        </w:rPr>
        <w:t xml:space="preserve">.1. La Sala Superior como Tribunal </w:t>
      </w:r>
      <w:r w:rsidR="00A70A63" w:rsidRPr="006215A7">
        <w:rPr>
          <w:rFonts w:ascii="Arial Negrita" w:eastAsiaTheme="minorHAnsi" w:hAnsi="Arial Negrita" w:cs="Arial"/>
          <w:caps w:val="0"/>
          <w:szCs w:val="24"/>
        </w:rPr>
        <w:t>c</w:t>
      </w:r>
      <w:r w:rsidRPr="006215A7">
        <w:rPr>
          <w:rFonts w:ascii="Arial Negrita" w:eastAsiaTheme="minorHAnsi" w:hAnsi="Arial Negrita" w:cs="Arial"/>
          <w:caps w:val="0"/>
          <w:szCs w:val="24"/>
        </w:rPr>
        <w:t xml:space="preserve">onstitucional </w:t>
      </w:r>
      <w:r w:rsidR="00E66985" w:rsidRPr="006215A7">
        <w:rPr>
          <w:rFonts w:ascii="Arial Negrita" w:eastAsiaTheme="minorHAnsi" w:hAnsi="Arial Negrita" w:cs="Arial"/>
          <w:caps w:val="0"/>
          <w:szCs w:val="24"/>
        </w:rPr>
        <w:t xml:space="preserve">garante </w:t>
      </w:r>
      <w:r w:rsidRPr="006215A7">
        <w:rPr>
          <w:rFonts w:ascii="Arial Negrita" w:eastAsiaTheme="minorHAnsi" w:hAnsi="Arial Negrita" w:cs="Arial"/>
          <w:caps w:val="0"/>
          <w:szCs w:val="24"/>
        </w:rPr>
        <w:t>de derechos políticos</w:t>
      </w:r>
      <w:r w:rsidR="00525C0C" w:rsidRPr="006215A7">
        <w:rPr>
          <w:rFonts w:ascii="Arial Negrita" w:eastAsiaTheme="minorHAnsi" w:hAnsi="Arial Negrita" w:cs="Arial"/>
          <w:caps w:val="0"/>
          <w:szCs w:val="24"/>
        </w:rPr>
        <w:t xml:space="preserve"> y electorales</w:t>
      </w:r>
      <w:bookmarkEnd w:id="17"/>
      <w:r w:rsidRPr="006215A7">
        <w:rPr>
          <w:rFonts w:ascii="Arial Negrita" w:eastAsiaTheme="minorHAnsi" w:hAnsi="Arial Negrita" w:cs="Arial"/>
          <w:caps w:val="0"/>
          <w:szCs w:val="24"/>
        </w:rPr>
        <w:t xml:space="preserve"> </w:t>
      </w:r>
    </w:p>
    <w:p w14:paraId="4100358C" w14:textId="77777777" w:rsidR="007959C1" w:rsidRPr="00DB0117" w:rsidRDefault="007959C1" w:rsidP="007959C1">
      <w:pPr>
        <w:spacing w:before="240" w:after="240" w:line="360" w:lineRule="auto"/>
        <w:jc w:val="both"/>
        <w:rPr>
          <w:rFonts w:ascii="Arial" w:hAnsi="Arial" w:cs="Arial"/>
        </w:rPr>
      </w:pPr>
      <w:r w:rsidRPr="00DB0117">
        <w:rPr>
          <w:rFonts w:ascii="Arial" w:hAnsi="Arial" w:cs="Arial"/>
        </w:rPr>
        <w:t xml:space="preserve">De acuerdo con el artículo 99, párrafo primero, de la Constitución federal, el Tribunal Electoral del Poder Judicial de la Federación es la máxima autoridad jurisdiccional en la materia, con excepción de las acciones de inconstitucionalidad que le compete conocer en forma exclusiva y excluyente a la Suprema Corte de Justicia de la Nación y órgano especializado de dicho poder. </w:t>
      </w:r>
    </w:p>
    <w:p w14:paraId="4013127A" w14:textId="77777777" w:rsidR="00355D29" w:rsidRDefault="007959C1" w:rsidP="007959C1">
      <w:pPr>
        <w:spacing w:before="240" w:after="240" w:line="360" w:lineRule="auto"/>
        <w:jc w:val="both"/>
        <w:rPr>
          <w:rFonts w:ascii="Arial" w:hAnsi="Arial" w:cs="Arial"/>
        </w:rPr>
      </w:pPr>
      <w:r w:rsidRPr="00DB0117">
        <w:rPr>
          <w:rFonts w:ascii="Arial" w:hAnsi="Arial" w:cs="Arial"/>
        </w:rPr>
        <w:t>Por su parte, el artículo 99, párrafo sexto</w:t>
      </w:r>
      <w:r w:rsidR="001D02B5">
        <w:rPr>
          <w:rFonts w:ascii="Arial" w:hAnsi="Arial" w:cs="Arial"/>
        </w:rPr>
        <w:t>,</w:t>
      </w:r>
      <w:r w:rsidRPr="00DB0117">
        <w:rPr>
          <w:rFonts w:ascii="Arial" w:hAnsi="Arial" w:cs="Arial"/>
        </w:rPr>
        <w:t xml:space="preserve"> de la Constitución </w:t>
      </w:r>
      <w:r w:rsidR="00E053B7">
        <w:rPr>
          <w:rFonts w:ascii="Arial" w:hAnsi="Arial" w:cs="Arial"/>
        </w:rPr>
        <w:t>g</w:t>
      </w:r>
      <w:r w:rsidR="001D02B5">
        <w:rPr>
          <w:rFonts w:ascii="Arial" w:hAnsi="Arial" w:cs="Arial"/>
        </w:rPr>
        <w:t>eneral</w:t>
      </w:r>
      <w:r w:rsidRPr="00DB0117">
        <w:rPr>
          <w:rFonts w:ascii="Arial" w:hAnsi="Arial" w:cs="Arial"/>
        </w:rPr>
        <w:t>, establece que, sin perjuicio de lo dispuesto en el artículo 105 constitucional</w:t>
      </w:r>
      <w:r w:rsidRPr="00DB0117">
        <w:rPr>
          <w:rStyle w:val="Refdenotaalpie"/>
          <w:rFonts w:ascii="Arial" w:hAnsi="Arial" w:cs="Arial"/>
        </w:rPr>
        <w:footnoteReference w:id="13"/>
      </w:r>
      <w:r w:rsidR="00E053B7">
        <w:rPr>
          <w:rFonts w:ascii="Arial" w:hAnsi="Arial" w:cs="Arial"/>
        </w:rPr>
        <w:t>,</w:t>
      </w:r>
      <w:r w:rsidRPr="00DB0117">
        <w:rPr>
          <w:rFonts w:ascii="Arial" w:hAnsi="Arial" w:cs="Arial"/>
        </w:rPr>
        <w:t xml:space="preserve"> las salas del Tribunal Electoral podrán resolver la no aplicación de leyes sobre la materia electoral contrarias a la Constitución o a los derechos humanos reconocidos en los tratados internacionales en los que México sea parte</w:t>
      </w:r>
      <w:r>
        <w:rPr>
          <w:rFonts w:ascii="Arial" w:hAnsi="Arial" w:cs="Arial"/>
        </w:rPr>
        <w:t>.</w:t>
      </w:r>
      <w:r w:rsidR="00C70AC4">
        <w:rPr>
          <w:rFonts w:ascii="Arial" w:hAnsi="Arial" w:cs="Arial"/>
        </w:rPr>
        <w:t xml:space="preserve"> </w:t>
      </w:r>
    </w:p>
    <w:p w14:paraId="36B8AB43" w14:textId="77777777" w:rsidR="007959C1" w:rsidRDefault="00535389" w:rsidP="007959C1">
      <w:pPr>
        <w:spacing w:before="240" w:after="240" w:line="360" w:lineRule="auto"/>
        <w:jc w:val="both"/>
        <w:rPr>
          <w:rFonts w:ascii="Arial" w:hAnsi="Arial" w:cs="Arial"/>
        </w:rPr>
      </w:pPr>
      <w:r w:rsidRPr="00F543FA">
        <w:rPr>
          <w:rFonts w:ascii="Arial" w:eastAsiaTheme="minorHAnsi" w:hAnsi="Arial" w:cs="Arial"/>
          <w:lang w:val="es-MX" w:eastAsia="en-US"/>
        </w:rPr>
        <w:t xml:space="preserve">Lo anterior significa que las salas del </w:t>
      </w:r>
      <w:r w:rsidR="00A70A63">
        <w:rPr>
          <w:rFonts w:ascii="Arial" w:eastAsiaTheme="minorHAnsi" w:hAnsi="Arial" w:cs="Arial"/>
          <w:lang w:val="es-MX" w:eastAsia="en-US"/>
        </w:rPr>
        <w:t>T</w:t>
      </w:r>
      <w:r w:rsidRPr="00F543FA">
        <w:rPr>
          <w:rFonts w:ascii="Arial" w:eastAsiaTheme="minorHAnsi" w:hAnsi="Arial" w:cs="Arial"/>
          <w:lang w:val="es-MX" w:eastAsia="en-US"/>
        </w:rPr>
        <w:t xml:space="preserve">ribunal </w:t>
      </w:r>
      <w:r w:rsidR="00A70A63">
        <w:rPr>
          <w:rFonts w:ascii="Arial" w:eastAsiaTheme="minorHAnsi" w:hAnsi="Arial" w:cs="Arial"/>
          <w:lang w:val="es-MX" w:eastAsia="en-US"/>
        </w:rPr>
        <w:t>E</w:t>
      </w:r>
      <w:r w:rsidRPr="00F543FA">
        <w:rPr>
          <w:rFonts w:ascii="Arial" w:eastAsiaTheme="minorHAnsi" w:hAnsi="Arial" w:cs="Arial"/>
          <w:lang w:val="es-MX" w:eastAsia="en-US"/>
        </w:rPr>
        <w:t xml:space="preserve">lectoral </w:t>
      </w:r>
      <w:r w:rsidR="00795103" w:rsidRPr="00F543FA">
        <w:rPr>
          <w:rFonts w:ascii="Arial" w:eastAsiaTheme="minorHAnsi" w:hAnsi="Arial" w:cs="Arial"/>
          <w:lang w:val="es-MX" w:eastAsia="en-US"/>
        </w:rPr>
        <w:t>tiene</w:t>
      </w:r>
      <w:r w:rsidR="00E053B7">
        <w:rPr>
          <w:rFonts w:ascii="Arial" w:eastAsiaTheme="minorHAnsi" w:hAnsi="Arial" w:cs="Arial"/>
          <w:lang w:val="es-MX" w:eastAsia="en-US"/>
        </w:rPr>
        <w:t>n</w:t>
      </w:r>
      <w:r w:rsidR="00795103" w:rsidRPr="00F543FA">
        <w:rPr>
          <w:rFonts w:ascii="Arial" w:eastAsiaTheme="minorHAnsi" w:hAnsi="Arial" w:cs="Arial"/>
          <w:lang w:val="es-MX" w:eastAsia="en-US"/>
        </w:rPr>
        <w:t xml:space="preserve"> conferido un “control por disposición constitucional específica”</w:t>
      </w:r>
      <w:r w:rsidR="00795103" w:rsidRPr="00F543FA">
        <w:rPr>
          <w:rFonts w:ascii="Arial" w:eastAsiaTheme="minorHAnsi" w:hAnsi="Arial" w:cs="Arial"/>
          <w:vertAlign w:val="superscript"/>
          <w:lang w:val="es-MX" w:eastAsia="en-US"/>
        </w:rPr>
        <w:footnoteReference w:id="14"/>
      </w:r>
      <w:r w:rsidR="00F543FA">
        <w:rPr>
          <w:rFonts w:ascii="Arial" w:eastAsiaTheme="minorHAnsi" w:hAnsi="Arial" w:cs="Arial"/>
          <w:lang w:val="es-MX" w:eastAsia="en-US"/>
        </w:rPr>
        <w:t>,</w:t>
      </w:r>
      <w:r w:rsidR="00795103" w:rsidRPr="00F543FA">
        <w:rPr>
          <w:rFonts w:ascii="Arial" w:eastAsiaTheme="minorHAnsi" w:hAnsi="Arial" w:cs="Arial"/>
          <w:lang w:val="es-MX" w:eastAsia="en-US"/>
        </w:rPr>
        <w:t xml:space="preserve"> que significa que puede válidamente ejercer, entre otros aspectos, un control concreto de las leyes</w:t>
      </w:r>
      <w:r w:rsidR="00A3738F">
        <w:rPr>
          <w:rFonts w:ascii="Arial" w:eastAsiaTheme="minorHAnsi" w:hAnsi="Arial" w:cs="Arial"/>
          <w:lang w:val="es-MX" w:eastAsia="en-US"/>
        </w:rPr>
        <w:t xml:space="preserve"> que regulan los derechos políticos y</w:t>
      </w:r>
      <w:r w:rsidR="00795103" w:rsidRPr="00F543FA">
        <w:rPr>
          <w:rFonts w:ascii="Arial" w:eastAsiaTheme="minorHAnsi" w:hAnsi="Arial" w:cs="Arial"/>
          <w:lang w:val="es-MX" w:eastAsia="en-US"/>
        </w:rPr>
        <w:t xml:space="preserve"> electorales, mediante el cual puede decretar su inaplicabilidad al caso concreto</w:t>
      </w:r>
      <w:r w:rsidR="00D03FE5" w:rsidRPr="00F543FA">
        <w:rPr>
          <w:rFonts w:ascii="Arial" w:eastAsiaTheme="minorHAnsi" w:hAnsi="Arial" w:cs="Arial"/>
          <w:lang w:val="es-MX" w:eastAsia="en-US"/>
        </w:rPr>
        <w:t xml:space="preserve">, para promover, </w:t>
      </w:r>
      <w:r w:rsidR="000C273D" w:rsidRPr="00F543FA">
        <w:rPr>
          <w:rFonts w:ascii="Arial" w:eastAsiaTheme="minorHAnsi" w:hAnsi="Arial" w:cs="Arial"/>
          <w:lang w:val="es-MX" w:eastAsia="en-US"/>
        </w:rPr>
        <w:t xml:space="preserve">respetar, proteger y garantizar, entre otros, los derechos políticos </w:t>
      </w:r>
      <w:r w:rsidR="002D4578">
        <w:rPr>
          <w:rFonts w:ascii="Arial" w:eastAsiaTheme="minorHAnsi" w:hAnsi="Arial" w:cs="Arial"/>
          <w:lang w:val="es-MX" w:eastAsia="en-US"/>
        </w:rPr>
        <w:t xml:space="preserve">y electorales </w:t>
      </w:r>
      <w:r w:rsidR="000C273D" w:rsidRPr="00F543FA">
        <w:rPr>
          <w:rFonts w:ascii="Arial" w:eastAsiaTheme="minorHAnsi" w:hAnsi="Arial" w:cs="Arial"/>
          <w:lang w:val="es-MX" w:eastAsia="en-US"/>
        </w:rPr>
        <w:t>de la ciudadanía</w:t>
      </w:r>
      <w:r w:rsidR="00F543FA">
        <w:rPr>
          <w:rFonts w:ascii="Arial" w:eastAsiaTheme="minorHAnsi" w:hAnsi="Arial" w:cs="Arial"/>
          <w:lang w:val="es-MX" w:eastAsia="en-US"/>
        </w:rPr>
        <w:t xml:space="preserve"> que, además, son</w:t>
      </w:r>
      <w:r w:rsidR="00E84AB9">
        <w:rPr>
          <w:rFonts w:ascii="Arial" w:eastAsiaTheme="minorHAnsi" w:hAnsi="Arial" w:cs="Arial"/>
          <w:lang w:val="es-MX" w:eastAsia="en-US"/>
        </w:rPr>
        <w:t xml:space="preserve"> derechos </w:t>
      </w:r>
      <w:r w:rsidR="000D12B0">
        <w:rPr>
          <w:rFonts w:ascii="Arial" w:eastAsiaTheme="minorHAnsi" w:hAnsi="Arial" w:cs="Arial"/>
          <w:lang w:val="es-MX" w:eastAsia="en-US"/>
        </w:rPr>
        <w:t>humanos.</w:t>
      </w:r>
    </w:p>
    <w:p w14:paraId="658EF41E" w14:textId="7FF4AB7B" w:rsidR="0009328B" w:rsidRDefault="002900F6" w:rsidP="007959C1">
      <w:pPr>
        <w:spacing w:before="240" w:after="240" w:line="360" w:lineRule="auto"/>
        <w:jc w:val="both"/>
        <w:rPr>
          <w:rFonts w:ascii="Arial" w:hAnsi="Arial" w:cs="Arial"/>
          <w:lang w:val="es-ES_tradnl"/>
        </w:rPr>
      </w:pPr>
      <w:r>
        <w:rPr>
          <w:rFonts w:ascii="Arial" w:hAnsi="Arial" w:cs="Arial"/>
        </w:rPr>
        <w:t>E</w:t>
      </w:r>
      <w:r w:rsidR="00D918CB">
        <w:rPr>
          <w:rFonts w:ascii="Arial" w:hAnsi="Arial" w:cs="Arial"/>
        </w:rPr>
        <w:t xml:space="preserve">sa facultad no se limita a velar por </w:t>
      </w:r>
      <w:r w:rsidR="002B19A8">
        <w:rPr>
          <w:rFonts w:ascii="Arial" w:hAnsi="Arial" w:cs="Arial"/>
        </w:rPr>
        <w:t>el derecho al voto, en su vertiente activa y pasiva. Si bien la doctrina ha reconocido que este es</w:t>
      </w:r>
      <w:r w:rsidR="00EF07BD">
        <w:rPr>
          <w:rFonts w:ascii="Arial" w:hAnsi="Arial" w:cs="Arial"/>
        </w:rPr>
        <w:t>, en sí mismo,</w:t>
      </w:r>
      <w:r w:rsidR="002B19A8">
        <w:rPr>
          <w:rFonts w:ascii="Arial" w:hAnsi="Arial" w:cs="Arial"/>
        </w:rPr>
        <w:t xml:space="preserve"> un derecho fundamental en un estado </w:t>
      </w:r>
      <w:r w:rsidR="008B24CB">
        <w:rPr>
          <w:rFonts w:ascii="Arial" w:hAnsi="Arial" w:cs="Arial"/>
        </w:rPr>
        <w:t>democrático</w:t>
      </w:r>
      <w:r w:rsidR="002B19A8">
        <w:rPr>
          <w:rFonts w:ascii="Arial" w:hAnsi="Arial" w:cs="Arial"/>
        </w:rPr>
        <w:t xml:space="preserve"> también ha reconocido que </w:t>
      </w:r>
      <w:r w:rsidR="002B19A8">
        <w:rPr>
          <w:rFonts w:ascii="Arial" w:hAnsi="Arial" w:cs="Arial"/>
        </w:rPr>
        <w:lastRenderedPageBreak/>
        <w:t xml:space="preserve">es un mecanismo por medio del cual </w:t>
      </w:r>
      <w:r w:rsidR="00EF07BD">
        <w:rPr>
          <w:rFonts w:ascii="Arial" w:hAnsi="Arial" w:cs="Arial"/>
          <w:lang w:val="es-ES_tradnl"/>
        </w:rPr>
        <w:t>la ciudadanía ejerce su derecho a la</w:t>
      </w:r>
      <w:r w:rsidR="00EF07BD" w:rsidRPr="00EF07BD">
        <w:rPr>
          <w:rFonts w:ascii="Arial" w:hAnsi="Arial" w:cs="Arial"/>
          <w:lang w:val="es-ES_tradnl"/>
        </w:rPr>
        <w:t xml:space="preserve"> participación </w:t>
      </w:r>
      <w:r w:rsidR="002D4578">
        <w:rPr>
          <w:rFonts w:ascii="Arial" w:hAnsi="Arial" w:cs="Arial"/>
          <w:lang w:val="es-ES_tradnl"/>
        </w:rPr>
        <w:t xml:space="preserve">y representación </w:t>
      </w:r>
      <w:r w:rsidR="00EF07BD" w:rsidRPr="00EF07BD">
        <w:rPr>
          <w:rFonts w:ascii="Arial" w:hAnsi="Arial" w:cs="Arial"/>
          <w:lang w:val="es-ES_tradnl"/>
        </w:rPr>
        <w:t>política</w:t>
      </w:r>
      <w:r w:rsidR="00622F27">
        <w:rPr>
          <w:rFonts w:ascii="Arial" w:hAnsi="Arial" w:cs="Arial"/>
          <w:lang w:val="es-ES_tradnl"/>
        </w:rPr>
        <w:t xml:space="preserve"> en general</w:t>
      </w:r>
      <w:r w:rsidR="00EF07BD">
        <w:rPr>
          <w:rFonts w:ascii="Arial" w:hAnsi="Arial" w:cs="Arial"/>
          <w:lang w:val="es-ES_tradnl"/>
        </w:rPr>
        <w:t>. Esto, a su vez, garantiza que una sociedad pueda autodeterminarse políticamente</w:t>
      </w:r>
      <w:r w:rsidR="00640112">
        <w:rPr>
          <w:rFonts w:ascii="Arial" w:hAnsi="Arial" w:cs="Arial"/>
          <w:lang w:val="es-ES_tradnl"/>
        </w:rPr>
        <w:t xml:space="preserve"> y, con ello, </w:t>
      </w:r>
      <w:r w:rsidR="0009328B">
        <w:rPr>
          <w:rFonts w:ascii="Arial" w:hAnsi="Arial" w:cs="Arial"/>
          <w:lang w:val="es-ES_tradnl"/>
        </w:rPr>
        <w:t>consolidar un sistema democrático</w:t>
      </w:r>
      <w:r w:rsidR="002D4578">
        <w:rPr>
          <w:rFonts w:ascii="Arial" w:hAnsi="Arial" w:cs="Arial"/>
          <w:lang w:val="es-ES_tradnl"/>
        </w:rPr>
        <w:t xml:space="preserve"> representativo</w:t>
      </w:r>
      <w:r w:rsidR="00EF07BD">
        <w:rPr>
          <w:rFonts w:ascii="Arial" w:hAnsi="Arial" w:cs="Arial"/>
          <w:lang w:val="es-ES_tradnl"/>
        </w:rPr>
        <w:t>.</w:t>
      </w:r>
    </w:p>
    <w:p w14:paraId="38380761" w14:textId="77777777" w:rsidR="00D918CB" w:rsidRDefault="0009328B" w:rsidP="007959C1">
      <w:pPr>
        <w:spacing w:before="240" w:after="240" w:line="360" w:lineRule="auto"/>
        <w:jc w:val="both"/>
        <w:rPr>
          <w:rFonts w:ascii="Arial" w:hAnsi="Arial" w:cs="Arial"/>
          <w:lang w:val="es-ES_tradnl"/>
        </w:rPr>
      </w:pPr>
      <w:r>
        <w:rPr>
          <w:rFonts w:ascii="Arial" w:hAnsi="Arial" w:cs="Arial"/>
          <w:lang w:val="es-ES_tradnl"/>
        </w:rPr>
        <w:t>Así, para que una sociedad sea democrática, resulta fundamental que la ciudadanía pueda ejercer sus derechos políticos y, concretamente, ejerza su derecho a votar</w:t>
      </w:r>
      <w:r w:rsidR="00017244">
        <w:rPr>
          <w:rFonts w:ascii="Arial" w:hAnsi="Arial" w:cs="Arial"/>
          <w:lang w:val="es-ES_tradnl"/>
        </w:rPr>
        <w:t xml:space="preserve"> y ser votado</w:t>
      </w:r>
      <w:r>
        <w:rPr>
          <w:rFonts w:ascii="Arial" w:hAnsi="Arial" w:cs="Arial"/>
          <w:lang w:val="es-ES_tradnl"/>
        </w:rPr>
        <w:t xml:space="preserve">. </w:t>
      </w:r>
      <w:r w:rsidR="00AE1A19">
        <w:rPr>
          <w:rFonts w:ascii="Arial" w:hAnsi="Arial" w:cs="Arial"/>
          <w:lang w:val="es-ES_tradnl"/>
        </w:rPr>
        <w:t>L</w:t>
      </w:r>
      <w:r>
        <w:rPr>
          <w:rFonts w:ascii="Arial" w:hAnsi="Arial" w:cs="Arial"/>
          <w:lang w:val="es-ES_tradnl"/>
        </w:rPr>
        <w:t>a emisión del voto de la ciudadanía es el reflejo de la autodeterminación de una sociedad</w:t>
      </w:r>
      <w:r>
        <w:rPr>
          <w:rStyle w:val="Refdenotaalpie"/>
          <w:rFonts w:ascii="Arial" w:hAnsi="Arial" w:cs="Arial"/>
          <w:lang w:val="es-ES_tradnl"/>
        </w:rPr>
        <w:footnoteReference w:id="15"/>
      </w:r>
      <w:r>
        <w:rPr>
          <w:rFonts w:ascii="Arial" w:hAnsi="Arial" w:cs="Arial"/>
          <w:lang w:val="es-ES_tradnl"/>
        </w:rPr>
        <w:t>.</w:t>
      </w:r>
    </w:p>
    <w:p w14:paraId="587FDDF7" w14:textId="77777777" w:rsidR="00AE1A19" w:rsidRDefault="00AE1A19" w:rsidP="007959C1">
      <w:pPr>
        <w:spacing w:before="240" w:after="240" w:line="360" w:lineRule="auto"/>
        <w:jc w:val="both"/>
        <w:rPr>
          <w:rFonts w:ascii="Arial" w:hAnsi="Arial" w:cs="Arial"/>
          <w:lang w:val="es-ES_tradnl"/>
        </w:rPr>
      </w:pPr>
      <w:r>
        <w:rPr>
          <w:rFonts w:ascii="Arial" w:hAnsi="Arial" w:cs="Arial"/>
          <w:lang w:val="es-ES_tradnl"/>
        </w:rPr>
        <w:t xml:space="preserve">Por lo anterior, esta Sala Superior considera que el derecho al </w:t>
      </w:r>
      <w:r w:rsidR="0084766F">
        <w:rPr>
          <w:rFonts w:ascii="Arial" w:hAnsi="Arial" w:cs="Arial"/>
          <w:lang w:val="es-ES_tradnl"/>
        </w:rPr>
        <w:t>sufragio</w:t>
      </w:r>
      <w:r>
        <w:rPr>
          <w:rFonts w:ascii="Arial" w:hAnsi="Arial" w:cs="Arial"/>
          <w:lang w:val="es-ES_tradnl"/>
        </w:rPr>
        <w:t xml:space="preserve"> tiene una doble dimensión: una intrínseca y otra instrumental. Respecto de la primera, se trata de un derecho humano</w:t>
      </w:r>
      <w:r w:rsidR="00DB779C">
        <w:rPr>
          <w:rFonts w:ascii="Arial" w:hAnsi="Arial" w:cs="Arial"/>
          <w:lang w:val="es-ES_tradnl"/>
        </w:rPr>
        <w:t xml:space="preserve"> de carácter fundamental</w:t>
      </w:r>
      <w:r>
        <w:rPr>
          <w:rFonts w:ascii="Arial" w:hAnsi="Arial" w:cs="Arial"/>
          <w:lang w:val="es-ES_tradnl"/>
        </w:rPr>
        <w:t>. Es decir, es en sí mismo valioso</w:t>
      </w:r>
      <w:r w:rsidR="00017244">
        <w:rPr>
          <w:rFonts w:ascii="Arial" w:hAnsi="Arial" w:cs="Arial"/>
          <w:lang w:val="es-ES_tradnl"/>
        </w:rPr>
        <w:t xml:space="preserve"> para la dignidad de la persona y su libre desarrollo en la comunidad política </w:t>
      </w:r>
      <w:r w:rsidR="00A93D4F">
        <w:rPr>
          <w:rFonts w:ascii="Arial" w:hAnsi="Arial" w:cs="Arial"/>
          <w:lang w:val="es-ES_tradnl"/>
        </w:rPr>
        <w:t>a la que pertenece</w:t>
      </w:r>
      <w:r>
        <w:rPr>
          <w:rFonts w:ascii="Arial" w:hAnsi="Arial" w:cs="Arial"/>
          <w:lang w:val="es-ES_tradnl"/>
        </w:rPr>
        <w:t xml:space="preserve">. </w:t>
      </w:r>
    </w:p>
    <w:p w14:paraId="3C7342BE" w14:textId="77777777" w:rsidR="00AE1A19" w:rsidRDefault="00AE1A19" w:rsidP="007959C1">
      <w:pPr>
        <w:spacing w:before="240" w:after="240" w:line="360" w:lineRule="auto"/>
        <w:jc w:val="both"/>
        <w:rPr>
          <w:rFonts w:ascii="Arial" w:hAnsi="Arial" w:cs="Arial"/>
          <w:lang w:val="es-ES_tradnl"/>
        </w:rPr>
      </w:pPr>
      <w:r>
        <w:rPr>
          <w:rFonts w:ascii="Arial" w:hAnsi="Arial" w:cs="Arial"/>
          <w:lang w:val="es-ES_tradnl"/>
        </w:rPr>
        <w:t xml:space="preserve">La segunda vertiente implica que es un mecanismo por medio del cual la ciudadanía participa en la construcción del proyecto de </w:t>
      </w:r>
      <w:r w:rsidR="00E053B7">
        <w:rPr>
          <w:rFonts w:ascii="Arial" w:hAnsi="Arial" w:cs="Arial"/>
          <w:lang w:val="es-ES_tradnl"/>
        </w:rPr>
        <w:t>E</w:t>
      </w:r>
      <w:r>
        <w:rPr>
          <w:rFonts w:ascii="Arial" w:hAnsi="Arial" w:cs="Arial"/>
          <w:lang w:val="es-ES_tradnl"/>
        </w:rPr>
        <w:t xml:space="preserve">stado y, con ello, se ejerce una autodeterminación de una comunidad </w:t>
      </w:r>
      <w:r w:rsidR="008F03BF">
        <w:rPr>
          <w:rFonts w:ascii="Arial" w:hAnsi="Arial" w:cs="Arial"/>
          <w:lang w:val="es-ES_tradnl"/>
        </w:rPr>
        <w:t xml:space="preserve">política </w:t>
      </w:r>
      <w:r>
        <w:rPr>
          <w:rFonts w:ascii="Arial" w:hAnsi="Arial" w:cs="Arial"/>
          <w:lang w:val="es-ES_tradnl"/>
        </w:rPr>
        <w:t xml:space="preserve">en concreto. En esta segunda vertiente, el derecho al </w:t>
      </w:r>
      <w:r w:rsidR="008F03BF">
        <w:rPr>
          <w:rFonts w:ascii="Arial" w:hAnsi="Arial" w:cs="Arial"/>
          <w:lang w:val="es-ES_tradnl"/>
        </w:rPr>
        <w:t>sufragio</w:t>
      </w:r>
      <w:r>
        <w:rPr>
          <w:rFonts w:ascii="Arial" w:hAnsi="Arial" w:cs="Arial"/>
          <w:lang w:val="es-ES_tradnl"/>
        </w:rPr>
        <w:t xml:space="preserve"> implica una garantía por medio de la cual la ciudadanía ejerce </w:t>
      </w:r>
      <w:r w:rsidR="004C0B98">
        <w:rPr>
          <w:rFonts w:ascii="Arial" w:hAnsi="Arial" w:cs="Arial"/>
          <w:lang w:val="es-ES_tradnl"/>
        </w:rPr>
        <w:t>una gama de derechos y libertades públicas</w:t>
      </w:r>
      <w:r w:rsidR="008C03ED">
        <w:rPr>
          <w:rFonts w:ascii="Arial" w:hAnsi="Arial" w:cs="Arial"/>
          <w:lang w:val="es-ES_tradnl"/>
        </w:rPr>
        <w:t>, incluidos los derechos políticos</w:t>
      </w:r>
      <w:r w:rsidR="00A93D4F">
        <w:rPr>
          <w:rFonts w:ascii="Arial" w:hAnsi="Arial" w:cs="Arial"/>
          <w:lang w:val="es-ES_tradnl"/>
        </w:rPr>
        <w:t xml:space="preserve"> y los electorales</w:t>
      </w:r>
      <w:r w:rsidR="007069B2">
        <w:rPr>
          <w:rFonts w:ascii="Arial" w:hAnsi="Arial" w:cs="Arial"/>
          <w:lang w:val="es-ES_tradnl"/>
        </w:rPr>
        <w:t>.</w:t>
      </w:r>
      <w:r>
        <w:rPr>
          <w:rFonts w:ascii="Arial" w:hAnsi="Arial" w:cs="Arial"/>
          <w:lang w:val="es-ES_tradnl"/>
        </w:rPr>
        <w:t xml:space="preserve">  </w:t>
      </w:r>
    </w:p>
    <w:p w14:paraId="2CD45016" w14:textId="77777777" w:rsidR="00B71785" w:rsidRDefault="0009328B" w:rsidP="007959C1">
      <w:pPr>
        <w:spacing w:before="240" w:after="240" w:line="360" w:lineRule="auto"/>
        <w:jc w:val="both"/>
        <w:rPr>
          <w:rFonts w:ascii="Arial" w:hAnsi="Arial" w:cs="Arial"/>
          <w:lang w:val="es-ES_tradnl"/>
        </w:rPr>
      </w:pPr>
      <w:r>
        <w:rPr>
          <w:rFonts w:ascii="Arial" w:hAnsi="Arial" w:cs="Arial"/>
          <w:lang w:val="es-ES_tradnl"/>
        </w:rPr>
        <w:t xml:space="preserve">Por ello, </w:t>
      </w:r>
      <w:r w:rsidR="00B71785">
        <w:rPr>
          <w:rFonts w:ascii="Arial" w:hAnsi="Arial" w:cs="Arial"/>
          <w:lang w:val="es-ES_tradnl"/>
        </w:rPr>
        <w:t>y dada la vinculación que existe entre el derecho al sufragio, los derechos de participación política y, finalmente, el sistema democrático</w:t>
      </w:r>
      <w:r w:rsidR="007727A6">
        <w:rPr>
          <w:rFonts w:ascii="Arial" w:hAnsi="Arial" w:cs="Arial"/>
          <w:lang w:val="es-ES_tradnl"/>
        </w:rPr>
        <w:t xml:space="preserve"> </w:t>
      </w:r>
      <w:r w:rsidR="007727A6">
        <w:rPr>
          <w:rFonts w:ascii="Arial" w:hAnsi="Arial" w:cs="Arial"/>
          <w:lang w:val="es-ES_tradnl"/>
        </w:rPr>
        <w:lastRenderedPageBreak/>
        <w:t>representativo</w:t>
      </w:r>
      <w:r w:rsidR="00B71785">
        <w:rPr>
          <w:rFonts w:ascii="Arial" w:hAnsi="Arial" w:cs="Arial"/>
          <w:lang w:val="es-ES_tradnl"/>
        </w:rPr>
        <w:t xml:space="preserve">, es que este </w:t>
      </w:r>
      <w:r w:rsidR="00A70A63">
        <w:rPr>
          <w:rFonts w:ascii="Arial" w:hAnsi="Arial" w:cs="Arial"/>
          <w:lang w:val="es-ES_tradnl"/>
        </w:rPr>
        <w:t>T</w:t>
      </w:r>
      <w:r w:rsidR="00B71785">
        <w:rPr>
          <w:rFonts w:ascii="Arial" w:hAnsi="Arial" w:cs="Arial"/>
          <w:lang w:val="es-ES_tradnl"/>
        </w:rPr>
        <w:t xml:space="preserve">ribunal se ha </w:t>
      </w:r>
      <w:r w:rsidR="0065664D">
        <w:rPr>
          <w:rFonts w:ascii="Arial" w:hAnsi="Arial" w:cs="Arial"/>
          <w:lang w:val="es-ES_tradnl"/>
        </w:rPr>
        <w:t>constituido</w:t>
      </w:r>
      <w:r w:rsidR="00B71785">
        <w:rPr>
          <w:rFonts w:ascii="Arial" w:hAnsi="Arial" w:cs="Arial"/>
          <w:lang w:val="es-ES_tradnl"/>
        </w:rPr>
        <w:t xml:space="preserve"> como un </w:t>
      </w:r>
      <w:r w:rsidR="00A70A63">
        <w:rPr>
          <w:rFonts w:ascii="Arial" w:hAnsi="Arial" w:cs="Arial"/>
          <w:lang w:val="es-ES_tradnl"/>
        </w:rPr>
        <w:t>T</w:t>
      </w:r>
      <w:r w:rsidR="00B71785">
        <w:rPr>
          <w:rFonts w:ascii="Arial" w:hAnsi="Arial" w:cs="Arial"/>
          <w:lang w:val="es-ES_tradnl"/>
        </w:rPr>
        <w:t>ribunal constitucional</w:t>
      </w:r>
      <w:r w:rsidR="001B5765">
        <w:rPr>
          <w:rFonts w:ascii="Arial" w:hAnsi="Arial" w:cs="Arial"/>
          <w:lang w:val="es-ES_tradnl"/>
        </w:rPr>
        <w:t xml:space="preserve"> de cierre en materia</w:t>
      </w:r>
      <w:r w:rsidR="00B71785">
        <w:rPr>
          <w:rFonts w:ascii="Arial" w:hAnsi="Arial" w:cs="Arial"/>
          <w:lang w:val="es-ES_tradnl"/>
        </w:rPr>
        <w:t xml:space="preserve"> de derechos políticos</w:t>
      </w:r>
      <w:r w:rsidR="007727A6">
        <w:rPr>
          <w:rFonts w:ascii="Arial" w:hAnsi="Arial" w:cs="Arial"/>
          <w:lang w:val="es-ES_tradnl"/>
        </w:rPr>
        <w:t xml:space="preserve"> y electorales</w:t>
      </w:r>
      <w:r w:rsidR="00B71785">
        <w:rPr>
          <w:rFonts w:ascii="Arial" w:hAnsi="Arial" w:cs="Arial"/>
          <w:lang w:val="es-ES_tradnl"/>
        </w:rPr>
        <w:t xml:space="preserve">. </w:t>
      </w:r>
    </w:p>
    <w:p w14:paraId="68112665" w14:textId="77777777" w:rsidR="00B71785" w:rsidRDefault="00B71785" w:rsidP="007959C1">
      <w:pPr>
        <w:spacing w:before="240" w:after="240" w:line="360" w:lineRule="auto"/>
        <w:jc w:val="both"/>
        <w:rPr>
          <w:rFonts w:ascii="Arial" w:hAnsi="Arial" w:cs="Arial"/>
          <w:lang w:val="es-ES_tradnl"/>
        </w:rPr>
      </w:pPr>
      <w:r>
        <w:rPr>
          <w:rFonts w:ascii="Arial" w:hAnsi="Arial" w:cs="Arial"/>
          <w:lang w:val="es-ES_tradnl"/>
        </w:rPr>
        <w:t xml:space="preserve">Esto se puede advertir de las distintas vertientes por medio de las cuales ha emitido criterios que protegen los derechos políticos, pues no se ha </w:t>
      </w:r>
      <w:r w:rsidR="00B96B0B">
        <w:rPr>
          <w:rFonts w:ascii="Arial" w:hAnsi="Arial" w:cs="Arial"/>
          <w:lang w:val="es-ES_tradnl"/>
        </w:rPr>
        <w:t>circunscrito a</w:t>
      </w:r>
      <w:r>
        <w:rPr>
          <w:rFonts w:ascii="Arial" w:hAnsi="Arial" w:cs="Arial"/>
          <w:lang w:val="es-ES_tradnl"/>
        </w:rPr>
        <w:t xml:space="preserve"> la protección </w:t>
      </w:r>
      <w:r w:rsidR="00E053B7">
        <w:rPr>
          <w:rFonts w:ascii="Arial" w:hAnsi="Arial" w:cs="Arial"/>
          <w:lang w:val="es-ES_tradnl"/>
        </w:rPr>
        <w:t>de</w:t>
      </w:r>
      <w:r>
        <w:rPr>
          <w:rFonts w:ascii="Arial" w:hAnsi="Arial" w:cs="Arial"/>
          <w:lang w:val="es-ES_tradnl"/>
        </w:rPr>
        <w:t xml:space="preserve"> los derechos políticos de votar y ser votado, sino que también y</w:t>
      </w:r>
      <w:r w:rsidR="00E053B7">
        <w:rPr>
          <w:rFonts w:ascii="Arial" w:hAnsi="Arial" w:cs="Arial"/>
          <w:lang w:val="es-ES_tradnl"/>
        </w:rPr>
        <w:t>,</w:t>
      </w:r>
      <w:r>
        <w:rPr>
          <w:rFonts w:ascii="Arial" w:hAnsi="Arial" w:cs="Arial"/>
          <w:lang w:val="es-ES_tradnl"/>
        </w:rPr>
        <w:t xml:space="preserve"> por mandato constitucional, protege el derecho </w:t>
      </w:r>
      <w:r w:rsidR="00E602A0">
        <w:rPr>
          <w:rFonts w:ascii="Arial" w:hAnsi="Arial" w:cs="Arial"/>
          <w:lang w:val="es-ES_tradnl"/>
        </w:rPr>
        <w:t>de acceso a la justicia</w:t>
      </w:r>
      <w:r w:rsidR="00261D4C">
        <w:rPr>
          <w:rFonts w:ascii="Arial" w:hAnsi="Arial" w:cs="Arial"/>
          <w:lang w:val="es-ES_tradnl"/>
        </w:rPr>
        <w:t>;</w:t>
      </w:r>
      <w:r w:rsidR="00E602A0">
        <w:rPr>
          <w:rFonts w:ascii="Arial" w:hAnsi="Arial" w:cs="Arial"/>
          <w:lang w:val="es-ES_tradnl"/>
        </w:rPr>
        <w:t xml:space="preserve"> el </w:t>
      </w:r>
      <w:r>
        <w:rPr>
          <w:rFonts w:ascii="Arial" w:hAnsi="Arial" w:cs="Arial"/>
          <w:lang w:val="es-ES_tradnl"/>
        </w:rPr>
        <w:t>de reunión y de asociación política; el derecho de petición; el derecho a la información; la libertad de expresión</w:t>
      </w:r>
      <w:r w:rsidR="00261D4C">
        <w:rPr>
          <w:rFonts w:ascii="Arial" w:hAnsi="Arial" w:cs="Arial"/>
          <w:lang w:val="es-ES_tradnl"/>
        </w:rPr>
        <w:t xml:space="preserve">; el derecho al ejercicio </w:t>
      </w:r>
      <w:r w:rsidR="00801D0C">
        <w:rPr>
          <w:rFonts w:ascii="Arial" w:hAnsi="Arial" w:cs="Arial"/>
          <w:lang w:val="es-ES_tradnl"/>
        </w:rPr>
        <w:t>de cargos públicos de representación popular</w:t>
      </w:r>
      <w:r>
        <w:rPr>
          <w:rFonts w:ascii="Arial" w:hAnsi="Arial" w:cs="Arial"/>
          <w:lang w:val="es-ES_tradnl"/>
        </w:rPr>
        <w:t xml:space="preserve"> y, en general,</w:t>
      </w:r>
      <w:r w:rsidR="00E053B7">
        <w:rPr>
          <w:rFonts w:ascii="Arial" w:hAnsi="Arial" w:cs="Arial"/>
          <w:lang w:val="es-ES_tradnl"/>
        </w:rPr>
        <w:t xml:space="preserve"> a</w:t>
      </w:r>
      <w:r>
        <w:rPr>
          <w:rFonts w:ascii="Arial" w:hAnsi="Arial" w:cs="Arial"/>
          <w:lang w:val="es-ES_tradnl"/>
        </w:rPr>
        <w:t xml:space="preserve"> todos aquellos derechos que hacen posible la participación </w:t>
      </w:r>
      <w:r w:rsidR="00801D0C">
        <w:rPr>
          <w:rFonts w:ascii="Arial" w:hAnsi="Arial" w:cs="Arial"/>
          <w:lang w:val="es-ES_tradnl"/>
        </w:rPr>
        <w:t xml:space="preserve">y representación </w:t>
      </w:r>
      <w:r>
        <w:rPr>
          <w:rFonts w:ascii="Arial" w:hAnsi="Arial" w:cs="Arial"/>
          <w:lang w:val="es-ES_tradnl"/>
        </w:rPr>
        <w:t xml:space="preserve">de la ciudadanía en la vida política </w:t>
      </w:r>
      <w:r w:rsidR="00801D0C">
        <w:rPr>
          <w:rFonts w:ascii="Arial" w:hAnsi="Arial" w:cs="Arial"/>
          <w:lang w:val="es-ES_tradnl"/>
        </w:rPr>
        <w:t xml:space="preserve">democrática </w:t>
      </w:r>
      <w:r>
        <w:rPr>
          <w:rFonts w:ascii="Arial" w:hAnsi="Arial" w:cs="Arial"/>
          <w:lang w:val="es-ES_tradnl"/>
        </w:rPr>
        <w:t xml:space="preserve">del país. </w:t>
      </w:r>
    </w:p>
    <w:p w14:paraId="74FAD8B0" w14:textId="77777777" w:rsidR="000B7634" w:rsidRDefault="002453E2" w:rsidP="007959C1">
      <w:pPr>
        <w:spacing w:before="240" w:after="240" w:line="360" w:lineRule="auto"/>
        <w:jc w:val="both"/>
        <w:rPr>
          <w:rFonts w:ascii="Arial" w:hAnsi="Arial" w:cs="Arial"/>
          <w:lang w:val="es-ES_tradnl"/>
        </w:rPr>
      </w:pPr>
      <w:r>
        <w:rPr>
          <w:rFonts w:ascii="Arial" w:hAnsi="Arial" w:cs="Arial"/>
          <w:lang w:val="es-ES_tradnl"/>
        </w:rPr>
        <w:t xml:space="preserve">En particular, </w:t>
      </w:r>
      <w:r w:rsidR="00850406">
        <w:rPr>
          <w:rFonts w:ascii="Arial" w:hAnsi="Arial" w:cs="Arial"/>
          <w:lang w:val="es-ES_tradnl"/>
        </w:rPr>
        <w:t>el Tribunal Electoral, en cuanto</w:t>
      </w:r>
      <w:r w:rsidR="004201C3">
        <w:rPr>
          <w:rFonts w:ascii="Arial" w:hAnsi="Arial" w:cs="Arial"/>
          <w:lang w:val="es-ES_tradnl"/>
        </w:rPr>
        <w:t xml:space="preserve"> </w:t>
      </w:r>
      <w:r w:rsidR="00F378A2">
        <w:rPr>
          <w:rFonts w:ascii="Arial" w:hAnsi="Arial" w:cs="Arial"/>
          <w:lang w:val="es-ES_tradnl"/>
        </w:rPr>
        <w:t xml:space="preserve">autoridad máxima </w:t>
      </w:r>
      <w:r w:rsidR="003258C0">
        <w:rPr>
          <w:rFonts w:ascii="Arial" w:hAnsi="Arial" w:cs="Arial"/>
          <w:lang w:val="es-ES_tradnl"/>
        </w:rPr>
        <w:t xml:space="preserve">en la materia y órgano especializado del Poder Judicial de la </w:t>
      </w:r>
      <w:r w:rsidR="00BF2933">
        <w:rPr>
          <w:rFonts w:ascii="Arial" w:hAnsi="Arial" w:cs="Arial"/>
          <w:lang w:val="es-ES_tradnl"/>
        </w:rPr>
        <w:t>Federación</w:t>
      </w:r>
      <w:r w:rsidR="00E053B7">
        <w:rPr>
          <w:rFonts w:ascii="Arial" w:hAnsi="Arial" w:cs="Arial"/>
          <w:lang w:val="es-ES_tradnl"/>
        </w:rPr>
        <w:t>,</w:t>
      </w:r>
      <w:r w:rsidR="00F71082">
        <w:rPr>
          <w:rFonts w:ascii="Arial" w:hAnsi="Arial" w:cs="Arial"/>
          <w:lang w:val="es-ES_tradnl"/>
        </w:rPr>
        <w:t xml:space="preserve"> </w:t>
      </w:r>
      <w:r w:rsidR="003B2B40">
        <w:rPr>
          <w:rFonts w:ascii="Arial" w:hAnsi="Arial" w:cs="Arial"/>
          <w:lang w:val="es-ES_tradnl"/>
        </w:rPr>
        <w:t>es ga</w:t>
      </w:r>
      <w:r w:rsidR="00C25B35">
        <w:rPr>
          <w:rFonts w:ascii="Arial" w:hAnsi="Arial" w:cs="Arial"/>
          <w:lang w:val="es-ES_tradnl"/>
        </w:rPr>
        <w:t>rante del derecho humano a participar en la formación de la voluntad po</w:t>
      </w:r>
      <w:r w:rsidR="00BF0882">
        <w:rPr>
          <w:rFonts w:ascii="Arial" w:hAnsi="Arial" w:cs="Arial"/>
          <w:lang w:val="es-ES_tradnl"/>
        </w:rPr>
        <w:t>lítica</w:t>
      </w:r>
      <w:r w:rsidR="000A35EA">
        <w:rPr>
          <w:rFonts w:ascii="Arial" w:hAnsi="Arial" w:cs="Arial"/>
          <w:lang w:val="es-ES_tradnl"/>
        </w:rPr>
        <w:t xml:space="preserve"> </w:t>
      </w:r>
      <w:r w:rsidR="00CD5798">
        <w:rPr>
          <w:rFonts w:ascii="Arial" w:hAnsi="Arial" w:cs="Arial"/>
          <w:lang w:val="es-ES_tradnl"/>
        </w:rPr>
        <w:t>de la comunidad</w:t>
      </w:r>
      <w:r w:rsidR="00D122A3">
        <w:rPr>
          <w:rFonts w:ascii="Arial" w:hAnsi="Arial" w:cs="Arial"/>
          <w:lang w:val="es-ES_tradnl"/>
        </w:rPr>
        <w:t>; un derecho</w:t>
      </w:r>
      <w:r w:rsidR="00505A4A">
        <w:rPr>
          <w:rFonts w:ascii="Arial" w:hAnsi="Arial" w:cs="Arial"/>
          <w:lang w:val="es-ES_tradnl"/>
        </w:rPr>
        <w:t xml:space="preserve"> </w:t>
      </w:r>
      <w:r w:rsidR="000A35EA">
        <w:rPr>
          <w:rFonts w:ascii="Arial" w:hAnsi="Arial" w:cs="Arial"/>
          <w:lang w:val="es-ES_tradnl"/>
        </w:rPr>
        <w:t xml:space="preserve">que se hace valer </w:t>
      </w:r>
      <w:r w:rsidR="00EF604B">
        <w:rPr>
          <w:rFonts w:ascii="Arial" w:hAnsi="Arial" w:cs="Arial"/>
          <w:lang w:val="es-ES_tradnl"/>
        </w:rPr>
        <w:t xml:space="preserve">en </w:t>
      </w:r>
      <w:r w:rsidR="000A35EA">
        <w:rPr>
          <w:rFonts w:ascii="Arial" w:hAnsi="Arial" w:cs="Arial"/>
          <w:lang w:val="es-ES_tradnl"/>
        </w:rPr>
        <w:t xml:space="preserve">contra </w:t>
      </w:r>
      <w:r w:rsidR="00EF604B">
        <w:rPr>
          <w:rFonts w:ascii="Arial" w:hAnsi="Arial" w:cs="Arial"/>
          <w:lang w:val="es-ES_tradnl"/>
        </w:rPr>
        <w:t>d</w:t>
      </w:r>
      <w:r w:rsidR="000A35EA">
        <w:rPr>
          <w:rFonts w:ascii="Arial" w:hAnsi="Arial" w:cs="Arial"/>
          <w:lang w:val="es-ES_tradnl"/>
        </w:rPr>
        <w:t>el Estado</w:t>
      </w:r>
      <w:r w:rsidR="004B652E">
        <w:rPr>
          <w:rFonts w:ascii="Arial" w:hAnsi="Arial" w:cs="Arial"/>
          <w:lang w:val="es-ES_tradnl"/>
        </w:rPr>
        <w:t xml:space="preserve"> al cual pertenecen los titulares del derecho</w:t>
      </w:r>
      <w:r w:rsidR="00505A4A">
        <w:rPr>
          <w:rFonts w:ascii="Arial" w:hAnsi="Arial" w:cs="Arial"/>
          <w:lang w:val="es-ES_tradnl"/>
        </w:rPr>
        <w:t xml:space="preserve"> </w:t>
      </w:r>
      <w:r w:rsidR="00675CB9">
        <w:rPr>
          <w:rFonts w:ascii="Arial" w:hAnsi="Arial" w:cs="Arial"/>
          <w:lang w:val="es-ES_tradnl"/>
        </w:rPr>
        <w:t xml:space="preserve">y </w:t>
      </w:r>
      <w:r w:rsidR="00505A4A">
        <w:rPr>
          <w:rFonts w:ascii="Arial" w:hAnsi="Arial" w:cs="Arial"/>
          <w:lang w:val="es-ES_tradnl"/>
        </w:rPr>
        <w:t>que forman parte de la ciudadanía</w:t>
      </w:r>
      <w:r w:rsidR="00945981">
        <w:rPr>
          <w:rFonts w:ascii="Arial" w:hAnsi="Arial" w:cs="Arial"/>
          <w:lang w:val="es-ES_tradnl"/>
        </w:rPr>
        <w:t xml:space="preserve"> </w:t>
      </w:r>
      <w:r w:rsidR="00675CB9">
        <w:rPr>
          <w:rFonts w:ascii="Arial" w:hAnsi="Arial" w:cs="Arial"/>
          <w:lang w:val="es-ES_tradnl"/>
        </w:rPr>
        <w:t xml:space="preserve">con </w:t>
      </w:r>
      <w:r w:rsidR="00945981">
        <w:rPr>
          <w:rFonts w:ascii="Arial" w:hAnsi="Arial" w:cs="Arial"/>
          <w:lang w:val="es-ES_tradnl"/>
        </w:rPr>
        <w:t xml:space="preserve">derecho a representar y ser representado en los órganos democráticamente </w:t>
      </w:r>
      <w:r w:rsidR="0016137C">
        <w:rPr>
          <w:rFonts w:ascii="Arial" w:hAnsi="Arial" w:cs="Arial"/>
          <w:lang w:val="es-ES_tradnl"/>
        </w:rPr>
        <w:t>elegidos</w:t>
      </w:r>
      <w:r w:rsidR="004B652E">
        <w:rPr>
          <w:rFonts w:ascii="Arial" w:hAnsi="Arial" w:cs="Arial"/>
          <w:lang w:val="es-ES_tradnl"/>
        </w:rPr>
        <w:t>.</w:t>
      </w:r>
    </w:p>
    <w:p w14:paraId="5657DCA2" w14:textId="77777777" w:rsidR="002453E2" w:rsidRDefault="00B43F6B" w:rsidP="007959C1">
      <w:pPr>
        <w:spacing w:before="240" w:after="240" w:line="360" w:lineRule="auto"/>
        <w:jc w:val="both"/>
        <w:rPr>
          <w:rFonts w:ascii="Arial" w:hAnsi="Arial" w:cs="Arial"/>
          <w:lang w:val="es-ES_tradnl"/>
        </w:rPr>
      </w:pPr>
      <w:r>
        <w:rPr>
          <w:rFonts w:ascii="Arial" w:hAnsi="Arial" w:cs="Arial"/>
          <w:lang w:val="es-ES_tradnl"/>
        </w:rPr>
        <w:t xml:space="preserve">Cabe advertir que, si bien </w:t>
      </w:r>
      <w:r w:rsidR="00DB3DDB">
        <w:rPr>
          <w:rFonts w:ascii="Arial" w:hAnsi="Arial" w:cs="Arial"/>
          <w:lang w:val="es-ES_tradnl"/>
        </w:rPr>
        <w:t xml:space="preserve">puede estimarse que </w:t>
      </w:r>
      <w:r w:rsidR="00B74C19">
        <w:rPr>
          <w:rFonts w:ascii="Arial" w:hAnsi="Arial" w:cs="Arial"/>
          <w:lang w:val="es-ES_tradnl"/>
        </w:rPr>
        <w:t xml:space="preserve">este órgano jurisdiccional federal, como órgano del orden </w:t>
      </w:r>
      <w:r w:rsidR="00E9633E">
        <w:rPr>
          <w:rFonts w:ascii="Arial" w:hAnsi="Arial" w:cs="Arial"/>
          <w:lang w:val="es-ES_tradnl"/>
        </w:rPr>
        <w:t xml:space="preserve">constitucional total, </w:t>
      </w:r>
      <w:r w:rsidR="00DB3DDB">
        <w:rPr>
          <w:rFonts w:ascii="Arial" w:hAnsi="Arial" w:cs="Arial"/>
          <w:lang w:val="es-ES_tradnl"/>
        </w:rPr>
        <w:t>ha ampliado su</w:t>
      </w:r>
      <w:r w:rsidR="00F80B99">
        <w:rPr>
          <w:rFonts w:ascii="Arial" w:hAnsi="Arial" w:cs="Arial"/>
          <w:lang w:val="es-ES_tradnl"/>
        </w:rPr>
        <w:t xml:space="preserve"> competencia, lo cierto es que lo ha hecho para garantizar </w:t>
      </w:r>
      <w:r w:rsidR="00041DB1">
        <w:rPr>
          <w:rFonts w:ascii="Arial" w:hAnsi="Arial" w:cs="Arial"/>
          <w:lang w:val="es-ES_tradnl"/>
        </w:rPr>
        <w:t>la tutela judicial de los derechos a la participación</w:t>
      </w:r>
      <w:r w:rsidR="0016137C">
        <w:rPr>
          <w:rFonts w:ascii="Arial" w:hAnsi="Arial" w:cs="Arial"/>
          <w:lang w:val="es-ES_tradnl"/>
        </w:rPr>
        <w:t xml:space="preserve"> y representación</w:t>
      </w:r>
      <w:r w:rsidR="00041DB1">
        <w:rPr>
          <w:rFonts w:ascii="Arial" w:hAnsi="Arial" w:cs="Arial"/>
          <w:lang w:val="es-ES_tradnl"/>
        </w:rPr>
        <w:t xml:space="preserve"> política.</w:t>
      </w:r>
    </w:p>
    <w:p w14:paraId="03B82712" w14:textId="1CB21A31" w:rsidR="00C40083" w:rsidRDefault="00716335" w:rsidP="007959C1">
      <w:pPr>
        <w:spacing w:before="240" w:after="240" w:line="360" w:lineRule="auto"/>
        <w:jc w:val="both"/>
        <w:rPr>
          <w:rFonts w:ascii="Arial" w:hAnsi="Arial" w:cs="Arial"/>
          <w:lang w:val="es-ES_tradnl"/>
        </w:rPr>
      </w:pPr>
      <w:r w:rsidRPr="00755B2C">
        <w:rPr>
          <w:rFonts w:ascii="Arial" w:hAnsi="Arial" w:cs="Arial"/>
          <w:lang w:val="es-ES_tradnl"/>
        </w:rPr>
        <w:t xml:space="preserve">Es así </w:t>
      </w:r>
      <w:r w:rsidR="008B24CB">
        <w:rPr>
          <w:rFonts w:ascii="Arial" w:hAnsi="Arial" w:cs="Arial"/>
          <w:lang w:val="es-ES_tradnl"/>
        </w:rPr>
        <w:t>como</w:t>
      </w:r>
      <w:r w:rsidRPr="00755B2C">
        <w:rPr>
          <w:rFonts w:ascii="Arial" w:hAnsi="Arial" w:cs="Arial"/>
          <w:lang w:val="es-ES_tradnl"/>
        </w:rPr>
        <w:t xml:space="preserve">, como </w:t>
      </w:r>
      <w:r w:rsidR="00A70A63">
        <w:rPr>
          <w:rFonts w:ascii="Arial" w:hAnsi="Arial" w:cs="Arial"/>
          <w:lang w:val="es-ES_tradnl"/>
        </w:rPr>
        <w:t>T</w:t>
      </w:r>
      <w:r w:rsidRPr="00755B2C">
        <w:rPr>
          <w:rFonts w:ascii="Arial" w:hAnsi="Arial" w:cs="Arial"/>
          <w:lang w:val="es-ES_tradnl"/>
        </w:rPr>
        <w:t>ribunal constitucional de derechos políticos</w:t>
      </w:r>
      <w:r w:rsidR="0016137C">
        <w:rPr>
          <w:rFonts w:ascii="Arial" w:hAnsi="Arial" w:cs="Arial"/>
          <w:lang w:val="es-ES_tradnl"/>
        </w:rPr>
        <w:t xml:space="preserve"> y derechos electorales</w:t>
      </w:r>
      <w:r w:rsidRPr="00755B2C">
        <w:rPr>
          <w:rFonts w:ascii="Arial" w:hAnsi="Arial" w:cs="Arial"/>
          <w:lang w:val="es-ES_tradnl"/>
        </w:rPr>
        <w:t xml:space="preserve">, esta Sala Superior ha </w:t>
      </w:r>
      <w:r w:rsidR="00755B2C">
        <w:rPr>
          <w:rFonts w:ascii="Arial" w:hAnsi="Arial" w:cs="Arial"/>
          <w:lang w:val="es-ES_tradnl"/>
        </w:rPr>
        <w:t xml:space="preserve">ido </w:t>
      </w:r>
      <w:r w:rsidR="008F0998" w:rsidRPr="00391A7A">
        <w:rPr>
          <w:rFonts w:ascii="Arial" w:hAnsi="Arial" w:cs="Arial"/>
          <w:lang w:val="es-ES_tradnl"/>
        </w:rPr>
        <w:t>desarrollando</w:t>
      </w:r>
      <w:r w:rsidR="00755B2C">
        <w:rPr>
          <w:rFonts w:ascii="Arial" w:hAnsi="Arial" w:cs="Arial"/>
          <w:lang w:val="es-ES_tradnl"/>
        </w:rPr>
        <w:t xml:space="preserve"> sus criterios a fin de proteger otros derechos políticos que se vinculan con la</w:t>
      </w:r>
      <w:r w:rsidR="002E4BDC">
        <w:rPr>
          <w:rFonts w:ascii="Arial" w:hAnsi="Arial" w:cs="Arial"/>
          <w:lang w:val="es-ES_tradnl"/>
        </w:rPr>
        <w:t>s elecciones</w:t>
      </w:r>
      <w:r w:rsidR="00755B2C">
        <w:rPr>
          <w:rFonts w:ascii="Arial" w:hAnsi="Arial" w:cs="Arial"/>
          <w:lang w:val="es-ES_tradnl"/>
        </w:rPr>
        <w:t xml:space="preserve">. </w:t>
      </w:r>
    </w:p>
    <w:p w14:paraId="4ABF8673" w14:textId="77777777" w:rsidR="00755B2C" w:rsidRDefault="00755B2C" w:rsidP="00755B2C">
      <w:pPr>
        <w:spacing w:before="240" w:after="240" w:line="360" w:lineRule="auto"/>
        <w:jc w:val="both"/>
        <w:rPr>
          <w:rFonts w:ascii="Arial" w:hAnsi="Arial" w:cs="Arial"/>
          <w:lang w:val="es-MX"/>
        </w:rPr>
      </w:pPr>
      <w:r>
        <w:rPr>
          <w:rFonts w:ascii="Arial" w:hAnsi="Arial" w:cs="Arial"/>
          <w:lang w:val="es-MX"/>
        </w:rPr>
        <w:lastRenderedPageBreak/>
        <w:t xml:space="preserve">Así, por ejemplo, existen varios precedentes por medio de los cuales esta Sala Superior ha protegido ya sea el derecho político-electoral de </w:t>
      </w:r>
      <w:r w:rsidR="0009162D">
        <w:rPr>
          <w:rFonts w:ascii="Arial" w:hAnsi="Arial" w:cs="Arial"/>
          <w:lang w:val="es-MX"/>
        </w:rPr>
        <w:t xml:space="preserve">participación </w:t>
      </w:r>
      <w:r w:rsidR="00AB2BB8">
        <w:rPr>
          <w:rFonts w:ascii="Arial" w:hAnsi="Arial" w:cs="Arial"/>
          <w:lang w:val="es-MX"/>
        </w:rPr>
        <w:t>ciudadana</w:t>
      </w:r>
      <w:r>
        <w:rPr>
          <w:rFonts w:ascii="Arial" w:hAnsi="Arial" w:cs="Arial"/>
          <w:lang w:val="es-MX"/>
        </w:rPr>
        <w:t>, aun y cuando se encuentre dentro de los límites de la función parlamentaria.</w:t>
      </w:r>
    </w:p>
    <w:p w14:paraId="3095CA5C" w14:textId="77777777" w:rsidR="00755B2C" w:rsidRPr="00755B2C" w:rsidRDefault="00755B2C" w:rsidP="00755B2C">
      <w:pPr>
        <w:spacing w:before="240" w:after="240" w:line="360" w:lineRule="auto"/>
        <w:jc w:val="both"/>
        <w:rPr>
          <w:rFonts w:ascii="Arial" w:hAnsi="Arial" w:cs="Arial"/>
        </w:rPr>
      </w:pPr>
      <w:r>
        <w:rPr>
          <w:rFonts w:ascii="Arial" w:hAnsi="Arial" w:cs="Arial"/>
          <w:lang w:val="es-MX"/>
        </w:rPr>
        <w:t>Por ejemplo, e</w:t>
      </w:r>
      <w:r w:rsidRPr="00755B2C">
        <w:rPr>
          <w:rFonts w:ascii="Arial" w:hAnsi="Arial" w:cs="Arial"/>
          <w:lang w:val="es-MX"/>
        </w:rPr>
        <w:t xml:space="preserve">n el </w:t>
      </w:r>
      <w:r w:rsidRPr="00755B2C">
        <w:rPr>
          <w:rFonts w:ascii="Arial" w:hAnsi="Arial" w:cs="Arial"/>
          <w:bCs/>
        </w:rPr>
        <w:t>SUP-JDC-470/2017</w:t>
      </w:r>
      <w:r w:rsidR="00675CB9">
        <w:rPr>
          <w:rFonts w:ascii="Arial" w:hAnsi="Arial" w:cs="Arial"/>
          <w:bCs/>
        </w:rPr>
        <w:t xml:space="preserve">, </w:t>
      </w:r>
      <w:r w:rsidR="00675CB9">
        <w:rPr>
          <w:rFonts w:ascii="Arial" w:hAnsi="Arial" w:cs="Arial"/>
        </w:rPr>
        <w:t>la Sala Superior tenía que resolver el</w:t>
      </w:r>
      <w:r w:rsidR="00675CB9" w:rsidRPr="00755B2C">
        <w:rPr>
          <w:rFonts w:ascii="Arial" w:hAnsi="Arial" w:cs="Arial"/>
        </w:rPr>
        <w:t xml:space="preserve"> </w:t>
      </w:r>
      <w:r w:rsidRPr="00755B2C">
        <w:rPr>
          <w:rFonts w:ascii="Arial" w:hAnsi="Arial" w:cs="Arial"/>
        </w:rPr>
        <w:t xml:space="preserve">problema jurídico </w:t>
      </w:r>
      <w:r w:rsidR="00675CB9">
        <w:rPr>
          <w:rFonts w:ascii="Arial" w:hAnsi="Arial" w:cs="Arial"/>
        </w:rPr>
        <w:t>de</w:t>
      </w:r>
      <w:r w:rsidRPr="00755B2C">
        <w:rPr>
          <w:rFonts w:ascii="Arial" w:hAnsi="Arial" w:cs="Arial"/>
        </w:rPr>
        <w:t xml:space="preserve"> verificar si existía una omisión </w:t>
      </w:r>
      <w:r w:rsidR="00675CB9">
        <w:rPr>
          <w:rFonts w:ascii="Arial" w:hAnsi="Arial" w:cs="Arial"/>
        </w:rPr>
        <w:t>por parte de</w:t>
      </w:r>
      <w:r w:rsidRPr="00755B2C">
        <w:rPr>
          <w:rFonts w:ascii="Arial" w:hAnsi="Arial" w:cs="Arial"/>
        </w:rPr>
        <w:t xml:space="preserve"> la Cámara de Diputados del Congreso de la Unión de ejecutar </w:t>
      </w:r>
      <w:r w:rsidR="00675CB9">
        <w:rPr>
          <w:rFonts w:ascii="Arial" w:hAnsi="Arial" w:cs="Arial"/>
        </w:rPr>
        <w:t>un</w:t>
      </w:r>
      <w:r w:rsidRPr="00755B2C">
        <w:rPr>
          <w:rFonts w:ascii="Arial" w:hAnsi="Arial" w:cs="Arial"/>
        </w:rPr>
        <w:t xml:space="preserve"> proceso legislativo, incluyendo las etapas de dictaminar, discutir y votar una iniciativa ciudadana presentada por diversos ciudadanos. </w:t>
      </w:r>
    </w:p>
    <w:p w14:paraId="7D810A6D" w14:textId="77777777" w:rsidR="00755B2C" w:rsidRPr="00755B2C" w:rsidRDefault="00755B2C" w:rsidP="00755B2C">
      <w:pPr>
        <w:spacing w:before="240" w:after="240" w:line="360" w:lineRule="auto"/>
        <w:jc w:val="both"/>
        <w:rPr>
          <w:rFonts w:ascii="Arial" w:hAnsi="Arial" w:cs="Arial"/>
        </w:rPr>
      </w:pPr>
      <w:r w:rsidRPr="00755B2C">
        <w:rPr>
          <w:rFonts w:ascii="Arial" w:hAnsi="Arial" w:cs="Arial"/>
        </w:rPr>
        <w:t>Para ello, se estableció que al asunto tenía que ver con el derecho político-electoral de iniciar leyes</w:t>
      </w:r>
      <w:r w:rsidR="00675CB9">
        <w:rPr>
          <w:rFonts w:ascii="Arial" w:hAnsi="Arial" w:cs="Arial"/>
        </w:rPr>
        <w:t>,</w:t>
      </w:r>
      <w:r w:rsidRPr="00755B2C">
        <w:rPr>
          <w:rFonts w:ascii="Arial" w:hAnsi="Arial" w:cs="Arial"/>
        </w:rPr>
        <w:t xml:space="preserve"> previsto en la fracción VII del artículo 35 constitucional, el cual  no se agota con la simple presentación de la propuesta, sino que, para su vigencia plena y ejercicio eficaz, es necesario que la autoridad legislativa se pronuncie al respecto, lo cual incluye, en su caso, la emisión del dictamen por parte de la Comisión correspondiente, así como la discusión y votación en el </w:t>
      </w:r>
      <w:r w:rsidR="00675CB9">
        <w:rPr>
          <w:rFonts w:ascii="Arial" w:hAnsi="Arial" w:cs="Arial"/>
        </w:rPr>
        <w:t>p</w:t>
      </w:r>
      <w:r w:rsidRPr="00755B2C">
        <w:rPr>
          <w:rFonts w:ascii="Arial" w:hAnsi="Arial" w:cs="Arial"/>
        </w:rPr>
        <w:t>leno de la Cámara respectiva.</w:t>
      </w:r>
    </w:p>
    <w:p w14:paraId="5A7A0416" w14:textId="77777777" w:rsidR="00755B2C" w:rsidRPr="00755B2C" w:rsidRDefault="00755B2C" w:rsidP="00755B2C">
      <w:pPr>
        <w:spacing w:before="240" w:after="240" w:line="360" w:lineRule="auto"/>
        <w:jc w:val="both"/>
        <w:rPr>
          <w:rFonts w:ascii="Arial" w:hAnsi="Arial" w:cs="Arial"/>
          <w:lang w:val="es-MX"/>
        </w:rPr>
      </w:pPr>
      <w:r>
        <w:rPr>
          <w:rFonts w:ascii="Arial" w:hAnsi="Arial" w:cs="Arial"/>
          <w:lang w:val="es-MX"/>
        </w:rPr>
        <w:t xml:space="preserve">Por su parte, en el </w:t>
      </w:r>
      <w:r w:rsidRPr="00755B2C">
        <w:rPr>
          <w:rFonts w:ascii="Arial" w:hAnsi="Arial" w:cs="Arial"/>
          <w:lang w:val="es-MX"/>
        </w:rPr>
        <w:t>SUP-REC-309/2018</w:t>
      </w:r>
      <w:r>
        <w:rPr>
          <w:rFonts w:ascii="Arial" w:hAnsi="Arial" w:cs="Arial"/>
          <w:lang w:val="es-MX"/>
        </w:rPr>
        <w:t xml:space="preserve">, </w:t>
      </w:r>
      <w:r w:rsidR="003A4860">
        <w:rPr>
          <w:rFonts w:ascii="Arial" w:hAnsi="Arial" w:cs="Arial"/>
          <w:lang w:val="es-MX"/>
        </w:rPr>
        <w:t>esta</w:t>
      </w:r>
      <w:r w:rsidRPr="00755B2C">
        <w:rPr>
          <w:rFonts w:ascii="Arial" w:hAnsi="Arial" w:cs="Arial"/>
          <w:lang w:val="es-MX"/>
        </w:rPr>
        <w:t xml:space="preserve"> Sala Superior abordó la problemática relacionada con la pretensión de una diputada local</w:t>
      </w:r>
      <w:r w:rsidR="00675CB9">
        <w:rPr>
          <w:rFonts w:ascii="Arial" w:hAnsi="Arial" w:cs="Arial"/>
          <w:lang w:val="es-MX"/>
        </w:rPr>
        <w:t>,</w:t>
      </w:r>
      <w:r w:rsidRPr="00755B2C">
        <w:rPr>
          <w:rFonts w:ascii="Arial" w:hAnsi="Arial" w:cs="Arial"/>
          <w:lang w:val="es-MX"/>
        </w:rPr>
        <w:t xml:space="preserve"> electa por el principio de representación proporcional, de ser designada en lugar de otro diputado que presuntamente perdió su derecho a seguir ocupando el cargo, dado que se incorporó a un grupo parlamentario de un partido político diverso al que lo postuló.</w:t>
      </w:r>
    </w:p>
    <w:p w14:paraId="15FBB003" w14:textId="77777777" w:rsidR="00755B2C" w:rsidRPr="00755B2C" w:rsidRDefault="00755B2C" w:rsidP="00755B2C">
      <w:pPr>
        <w:spacing w:before="240" w:after="240" w:line="360" w:lineRule="auto"/>
        <w:jc w:val="both"/>
        <w:rPr>
          <w:rFonts w:ascii="Arial" w:hAnsi="Arial" w:cs="Arial"/>
          <w:lang w:val="es-MX"/>
        </w:rPr>
      </w:pPr>
      <w:r w:rsidRPr="00755B2C">
        <w:rPr>
          <w:rFonts w:ascii="Arial" w:hAnsi="Arial" w:cs="Arial"/>
          <w:lang w:val="es-MX"/>
        </w:rPr>
        <w:t xml:space="preserve">Lo relevante en ese caso radica en el análisis del requisito específico de procedencia, pues se advirtió que podría actualizarse el desechamiento de la demanda, en tanto que la situación relativa a que un diputado se incorpore a un grupo parlamentario diverso al partido político que lo postuló podría </w:t>
      </w:r>
      <w:r w:rsidRPr="00755B2C">
        <w:rPr>
          <w:rFonts w:ascii="Arial" w:hAnsi="Arial" w:cs="Arial"/>
          <w:lang w:val="es-MX"/>
        </w:rPr>
        <w:lastRenderedPageBreak/>
        <w:t>ubicarse en el ámbito del Derecho Parlamentario y no en la materia electoral.</w:t>
      </w:r>
    </w:p>
    <w:p w14:paraId="739C2BC4" w14:textId="77777777" w:rsidR="00755B2C" w:rsidRPr="00755B2C" w:rsidRDefault="00755B2C" w:rsidP="00755B2C">
      <w:pPr>
        <w:spacing w:before="240" w:after="240" w:line="360" w:lineRule="auto"/>
        <w:jc w:val="both"/>
        <w:rPr>
          <w:rFonts w:ascii="Arial" w:hAnsi="Arial" w:cs="Arial"/>
          <w:lang w:val="es-MX"/>
        </w:rPr>
      </w:pPr>
      <w:r w:rsidRPr="00755B2C">
        <w:rPr>
          <w:rFonts w:ascii="Arial" w:hAnsi="Arial" w:cs="Arial"/>
          <w:lang w:val="es-MX"/>
        </w:rPr>
        <w:t>Sin embargo, la Sala Superior consideró que sí se satisfizo el requisito espec</w:t>
      </w:r>
      <w:r w:rsidR="008A608B">
        <w:rPr>
          <w:rFonts w:ascii="Arial" w:hAnsi="Arial" w:cs="Arial"/>
          <w:lang w:val="es-MX"/>
        </w:rPr>
        <w:t>ial</w:t>
      </w:r>
      <w:r w:rsidRPr="00755B2C">
        <w:rPr>
          <w:rFonts w:ascii="Arial" w:hAnsi="Arial" w:cs="Arial"/>
          <w:lang w:val="es-MX"/>
        </w:rPr>
        <w:t xml:space="preserve"> de procedencia del recurso de reconsideración, ya que estaba inmerso el derecho a ser votada de la actora, derivado del cambio de grupo parlamentario del diputado, lo cual hacía evidente que se estaba frente a un tema que sí </w:t>
      </w:r>
      <w:r>
        <w:rPr>
          <w:rFonts w:ascii="Arial" w:hAnsi="Arial" w:cs="Arial"/>
          <w:lang w:val="es-MX"/>
        </w:rPr>
        <w:t>puede ser estudiado por este Tribunal,</w:t>
      </w:r>
      <w:r w:rsidRPr="00755B2C">
        <w:rPr>
          <w:rFonts w:ascii="Arial" w:hAnsi="Arial" w:cs="Arial"/>
          <w:lang w:val="es-MX"/>
        </w:rPr>
        <w:t xml:space="preserve"> al estar vinculado con </w:t>
      </w:r>
      <w:r w:rsidR="0025003F">
        <w:rPr>
          <w:rFonts w:ascii="Arial" w:hAnsi="Arial" w:cs="Arial"/>
          <w:lang w:val="es-MX"/>
        </w:rPr>
        <w:t xml:space="preserve">la </w:t>
      </w:r>
      <w:r w:rsidRPr="00755B2C">
        <w:rPr>
          <w:rFonts w:ascii="Arial" w:hAnsi="Arial" w:cs="Arial"/>
          <w:lang w:val="es-MX"/>
        </w:rPr>
        <w:t>presunta violación de un derecho político-electoral.</w:t>
      </w:r>
    </w:p>
    <w:p w14:paraId="494805C0" w14:textId="77777777" w:rsidR="00755B2C" w:rsidRDefault="00755B2C" w:rsidP="00755B2C">
      <w:pPr>
        <w:spacing w:before="240" w:after="240" w:line="360" w:lineRule="auto"/>
        <w:jc w:val="both"/>
        <w:rPr>
          <w:rFonts w:ascii="Arial" w:hAnsi="Arial" w:cs="Arial"/>
          <w:lang w:val="es-MX"/>
        </w:rPr>
      </w:pPr>
      <w:r w:rsidRPr="00755B2C">
        <w:rPr>
          <w:rFonts w:ascii="Arial" w:hAnsi="Arial" w:cs="Arial"/>
          <w:lang w:val="es-MX"/>
        </w:rPr>
        <w:t xml:space="preserve">Respecto al SUP-JDC-408/2018, la Sala Superior analizó un tema de reincorporación de un diputado federal propietario al </w:t>
      </w:r>
      <w:r w:rsidR="008A608B">
        <w:rPr>
          <w:rFonts w:ascii="Arial" w:hAnsi="Arial" w:cs="Arial"/>
          <w:lang w:val="es-MX"/>
        </w:rPr>
        <w:t>C</w:t>
      </w:r>
      <w:r w:rsidRPr="00755B2C">
        <w:rPr>
          <w:rFonts w:ascii="Arial" w:hAnsi="Arial" w:cs="Arial"/>
          <w:lang w:val="es-MX"/>
        </w:rPr>
        <w:t xml:space="preserve">ongreso de la </w:t>
      </w:r>
      <w:r w:rsidR="008A608B">
        <w:rPr>
          <w:rFonts w:ascii="Arial" w:hAnsi="Arial" w:cs="Arial"/>
          <w:lang w:val="es-MX"/>
        </w:rPr>
        <w:t>U</w:t>
      </w:r>
      <w:r w:rsidRPr="00755B2C">
        <w:rPr>
          <w:rFonts w:ascii="Arial" w:hAnsi="Arial" w:cs="Arial"/>
          <w:lang w:val="es-MX"/>
        </w:rPr>
        <w:t xml:space="preserve">nión. Se destacó que, a pesar de que la </w:t>
      </w:r>
      <w:r w:rsidR="00EC0D28">
        <w:rPr>
          <w:rFonts w:ascii="Arial" w:hAnsi="Arial" w:cs="Arial"/>
          <w:lang w:val="es-MX"/>
        </w:rPr>
        <w:t>j</w:t>
      </w:r>
      <w:r w:rsidRPr="00755B2C">
        <w:rPr>
          <w:rFonts w:ascii="Arial" w:hAnsi="Arial" w:cs="Arial"/>
          <w:lang w:val="es-MX"/>
        </w:rPr>
        <w:t>urisprudencia 34/2013 excluye de la tutela del derecho político-electoral de ser votado</w:t>
      </w:r>
      <w:r>
        <w:rPr>
          <w:rFonts w:ascii="Arial" w:hAnsi="Arial" w:cs="Arial"/>
          <w:lang w:val="es-MX"/>
        </w:rPr>
        <w:t xml:space="preserve"> a</w:t>
      </w:r>
      <w:r w:rsidRPr="00755B2C">
        <w:rPr>
          <w:rFonts w:ascii="Arial" w:hAnsi="Arial" w:cs="Arial"/>
          <w:lang w:val="es-MX"/>
        </w:rPr>
        <w:t xml:space="preserve"> los actos políticos correspondientes al derecho parlamentario, el derecho a ejercer el cargo en modo alguno está comprendido en la materia parlamentaria</w:t>
      </w:r>
      <w:r>
        <w:rPr>
          <w:rFonts w:ascii="Arial" w:hAnsi="Arial" w:cs="Arial"/>
          <w:lang w:val="es-MX"/>
        </w:rPr>
        <w:t>. P</w:t>
      </w:r>
      <w:r w:rsidRPr="00755B2C">
        <w:rPr>
          <w:rFonts w:ascii="Arial" w:hAnsi="Arial" w:cs="Arial"/>
          <w:lang w:val="es-MX"/>
        </w:rPr>
        <w:t xml:space="preserve">or tanto, si el actor alegaba la vulneración a su derecho a ser votado, en la vertiente de ejercer el cargo como diputado federal suplente, ello está inmerso </w:t>
      </w:r>
      <w:r>
        <w:rPr>
          <w:rFonts w:ascii="Arial" w:hAnsi="Arial" w:cs="Arial"/>
          <w:lang w:val="es-MX"/>
        </w:rPr>
        <w:t xml:space="preserve">dentro de las competencias de </w:t>
      </w:r>
      <w:r w:rsidRPr="00755B2C">
        <w:rPr>
          <w:rFonts w:ascii="Arial" w:hAnsi="Arial" w:cs="Arial"/>
          <w:lang w:val="es-MX"/>
        </w:rPr>
        <w:t>este Tribunal</w:t>
      </w:r>
      <w:r>
        <w:rPr>
          <w:rFonts w:ascii="Arial" w:hAnsi="Arial" w:cs="Arial"/>
          <w:lang w:val="es-MX"/>
        </w:rPr>
        <w:t>.</w:t>
      </w:r>
    </w:p>
    <w:p w14:paraId="6B1160DA" w14:textId="7EEDB927" w:rsidR="00755B2C" w:rsidRPr="00755B2C" w:rsidRDefault="00755B2C" w:rsidP="00755B2C">
      <w:pPr>
        <w:spacing w:before="240" w:after="240" w:line="360" w:lineRule="auto"/>
        <w:jc w:val="both"/>
        <w:rPr>
          <w:rFonts w:ascii="Arial" w:hAnsi="Arial" w:cs="Arial"/>
          <w:lang w:val="es-MX"/>
        </w:rPr>
      </w:pPr>
      <w:r w:rsidRPr="00755B2C">
        <w:rPr>
          <w:rFonts w:ascii="Arial" w:hAnsi="Arial" w:cs="Arial"/>
          <w:lang w:val="es-MX"/>
        </w:rPr>
        <w:t xml:space="preserve">En el SUP-JDC-1878/2019, la materia de controversia se centró en la sanción impuesta a un actor derivado de supuestos actos en ejercicio de sus funciones parlamentarias como </w:t>
      </w:r>
      <w:r w:rsidR="0025003F">
        <w:rPr>
          <w:rFonts w:ascii="Arial" w:hAnsi="Arial" w:cs="Arial"/>
          <w:lang w:val="es-MX"/>
        </w:rPr>
        <w:t>s</w:t>
      </w:r>
      <w:r w:rsidRPr="00755B2C">
        <w:rPr>
          <w:rFonts w:ascii="Arial" w:hAnsi="Arial" w:cs="Arial"/>
          <w:lang w:val="es-MX"/>
        </w:rPr>
        <w:t xml:space="preserve">enador y </w:t>
      </w:r>
      <w:r w:rsidR="0025003F">
        <w:rPr>
          <w:rFonts w:ascii="Arial" w:hAnsi="Arial" w:cs="Arial"/>
          <w:lang w:val="es-MX"/>
        </w:rPr>
        <w:t>c</w:t>
      </w:r>
      <w:r w:rsidRPr="00755B2C">
        <w:rPr>
          <w:rFonts w:ascii="Arial" w:hAnsi="Arial" w:cs="Arial"/>
          <w:lang w:val="es-MX"/>
        </w:rPr>
        <w:t>oordinador de un Grupo Parlamentario, en los que presuntamente influyó sobre algunos de sus pares, a fin de elegir una propuesta para la presidencia de la Mesa Directiva del Senado.</w:t>
      </w:r>
    </w:p>
    <w:p w14:paraId="14BD7DB0" w14:textId="18C4A10A" w:rsidR="00755B2C" w:rsidRPr="00755B2C" w:rsidRDefault="00755B2C" w:rsidP="00755B2C">
      <w:pPr>
        <w:spacing w:before="240" w:after="240" w:line="360" w:lineRule="auto"/>
        <w:jc w:val="both"/>
        <w:rPr>
          <w:rFonts w:ascii="Arial" w:hAnsi="Arial" w:cs="Arial"/>
          <w:lang w:val="es-MX"/>
        </w:rPr>
      </w:pPr>
      <w:r w:rsidRPr="00755B2C">
        <w:rPr>
          <w:rFonts w:ascii="Arial" w:hAnsi="Arial" w:cs="Arial"/>
          <w:lang w:val="es-MX"/>
        </w:rPr>
        <w:t xml:space="preserve">Lo relevante de ese caso es que la Sala Superior resolvió que era contrario a </w:t>
      </w:r>
      <w:r w:rsidR="000A13FF">
        <w:rPr>
          <w:rFonts w:ascii="Arial" w:hAnsi="Arial" w:cs="Arial"/>
          <w:lang w:val="es-MX"/>
        </w:rPr>
        <w:t>D</w:t>
      </w:r>
      <w:r w:rsidRPr="00755B2C">
        <w:rPr>
          <w:rFonts w:ascii="Arial" w:hAnsi="Arial" w:cs="Arial"/>
          <w:lang w:val="es-MX"/>
        </w:rPr>
        <w:t xml:space="preserve">erecho que la Comisión de Justicia haya emplazado, valorado pruebas y sancionado, con motivo de la actuación de un legislador vinculada exclusivamente con el procedimiento de selección de la presidencia de la </w:t>
      </w:r>
      <w:r w:rsidRPr="00755B2C">
        <w:rPr>
          <w:rFonts w:ascii="Arial" w:hAnsi="Arial" w:cs="Arial"/>
          <w:lang w:val="es-MX"/>
        </w:rPr>
        <w:lastRenderedPageBreak/>
        <w:t>Mesa Directiva del Senado, pues con ello se vulnera la función parlamentaria.</w:t>
      </w:r>
    </w:p>
    <w:p w14:paraId="448B9165" w14:textId="77777777" w:rsidR="00755B2C" w:rsidRPr="00755B2C" w:rsidRDefault="00755B2C" w:rsidP="00755B2C">
      <w:pPr>
        <w:spacing w:before="240" w:after="240" w:line="360" w:lineRule="auto"/>
        <w:jc w:val="both"/>
        <w:rPr>
          <w:rFonts w:ascii="Arial" w:hAnsi="Arial" w:cs="Arial"/>
          <w:lang w:val="es-MX"/>
        </w:rPr>
      </w:pPr>
      <w:r w:rsidRPr="00755B2C">
        <w:rPr>
          <w:rFonts w:ascii="Arial" w:hAnsi="Arial" w:cs="Arial"/>
          <w:lang w:val="es-MX"/>
        </w:rPr>
        <w:t>En el SUP-JDC-1877/2019, la cuestión jurídica tenía que ver con la revisión de un oficio de la Comisión Nacional de Honestidad y Justicia de MORENA, por el cual se solicitaba la separación de una senadora como integrante del grupo parlamentario de ese instituto político.</w:t>
      </w:r>
    </w:p>
    <w:p w14:paraId="39559BF8" w14:textId="77777777" w:rsidR="00755B2C" w:rsidRPr="00755B2C" w:rsidRDefault="00755B2C" w:rsidP="00755B2C">
      <w:pPr>
        <w:spacing w:before="240" w:after="240" w:line="360" w:lineRule="auto"/>
        <w:jc w:val="both"/>
        <w:rPr>
          <w:rFonts w:ascii="Arial" w:hAnsi="Arial" w:cs="Arial"/>
          <w:lang w:val="es-MX"/>
        </w:rPr>
      </w:pPr>
      <w:r w:rsidRPr="00755B2C">
        <w:rPr>
          <w:rFonts w:ascii="Arial" w:hAnsi="Arial" w:cs="Arial"/>
          <w:lang w:val="es-MX"/>
        </w:rPr>
        <w:t>La Sala Superior asumió competencia para conocer del juicio ciudadano, porque</w:t>
      </w:r>
      <w:r w:rsidR="00EC0D28">
        <w:rPr>
          <w:rFonts w:ascii="Arial" w:hAnsi="Arial" w:cs="Arial"/>
          <w:lang w:val="es-MX"/>
        </w:rPr>
        <w:t>,</w:t>
      </w:r>
      <w:r w:rsidRPr="00755B2C">
        <w:rPr>
          <w:rFonts w:ascii="Arial" w:hAnsi="Arial" w:cs="Arial"/>
          <w:lang w:val="es-MX"/>
        </w:rPr>
        <w:t xml:space="preserve"> aun cuando pudieran estar involucrados temas relacionados con el Derecho Parlamentario, el acto impugnado comprendía una determinación de un órgano de justicia de un partido político nacional que tenía incidencia en las condiciones de desempeño de la función pública de una senadora integrante de su grupo parlamentario.</w:t>
      </w:r>
    </w:p>
    <w:p w14:paraId="244D4F7D" w14:textId="77777777" w:rsidR="00755B2C" w:rsidRDefault="00755B2C" w:rsidP="00755B2C">
      <w:pPr>
        <w:spacing w:before="240" w:after="240" w:line="360" w:lineRule="auto"/>
        <w:jc w:val="both"/>
        <w:rPr>
          <w:rFonts w:ascii="Arial" w:hAnsi="Arial" w:cs="Arial"/>
          <w:lang w:val="es-MX"/>
        </w:rPr>
      </w:pPr>
      <w:r w:rsidRPr="00755B2C">
        <w:rPr>
          <w:rFonts w:ascii="Arial" w:hAnsi="Arial" w:cs="Arial"/>
          <w:lang w:val="es-MX"/>
        </w:rPr>
        <w:t>La Sala Superior razonó, principalmente, que los posicionamientos y posturas que fije una senadora en sus funciones legislativas y la coincidencia o disidencia respecto de la sostenida por el propio grupo parlamentario del que forma parte, son una cuestión que se encuentra exenta del régimen sancionatorio interno del partido, y que, en su caso, correspondería sancionar a la propia bancada, por tratarse de un aspecto que forma parte de la disciplina parlamentaria vinculada enteramente con el desarrollo de la función legislativa.</w:t>
      </w:r>
    </w:p>
    <w:p w14:paraId="44EF3272" w14:textId="77777777" w:rsidR="00755B2C" w:rsidRPr="00755B2C" w:rsidRDefault="00695124" w:rsidP="00755B2C">
      <w:pPr>
        <w:spacing w:before="240" w:after="240" w:line="360" w:lineRule="auto"/>
        <w:jc w:val="both"/>
        <w:rPr>
          <w:rFonts w:ascii="Arial" w:hAnsi="Arial" w:cs="Arial"/>
          <w:lang w:val="es-MX"/>
        </w:rPr>
      </w:pPr>
      <w:r>
        <w:rPr>
          <w:rFonts w:ascii="Arial" w:hAnsi="Arial" w:cs="Arial"/>
          <w:lang w:val="es-MX"/>
        </w:rPr>
        <w:t>A partir de los precedentes anterior</w:t>
      </w:r>
      <w:r w:rsidR="005306D8">
        <w:rPr>
          <w:rFonts w:ascii="Arial" w:hAnsi="Arial" w:cs="Arial"/>
          <w:lang w:val="es-MX"/>
        </w:rPr>
        <w:t>es</w:t>
      </w:r>
      <w:r>
        <w:rPr>
          <w:rFonts w:ascii="Arial" w:hAnsi="Arial" w:cs="Arial"/>
          <w:lang w:val="es-MX"/>
        </w:rPr>
        <w:t>,</w:t>
      </w:r>
      <w:r w:rsidR="00755B2C">
        <w:rPr>
          <w:rFonts w:ascii="Arial" w:hAnsi="Arial" w:cs="Arial"/>
          <w:lang w:val="es-MX"/>
        </w:rPr>
        <w:t xml:space="preserve"> se puede apreciar cómo esta Sala Superior ha protegido derechos políticos </w:t>
      </w:r>
      <w:r w:rsidR="008D1380">
        <w:rPr>
          <w:rFonts w:ascii="Arial" w:hAnsi="Arial" w:cs="Arial"/>
          <w:lang w:val="es-MX"/>
        </w:rPr>
        <w:t xml:space="preserve">en un amplio sentido y electorales en específico. </w:t>
      </w:r>
      <w:r w:rsidR="00755B2C">
        <w:rPr>
          <w:rFonts w:ascii="Arial" w:hAnsi="Arial" w:cs="Arial"/>
          <w:lang w:val="es-MX"/>
        </w:rPr>
        <w:t xml:space="preserve">Esto es, ha protegido derechos políticos </w:t>
      </w:r>
      <w:r w:rsidR="006C1778">
        <w:rPr>
          <w:rFonts w:ascii="Arial" w:hAnsi="Arial" w:cs="Arial"/>
          <w:lang w:val="es-MX"/>
        </w:rPr>
        <w:t xml:space="preserve">relacionados con </w:t>
      </w:r>
      <w:r w:rsidR="00755B2C">
        <w:rPr>
          <w:rFonts w:ascii="Arial" w:hAnsi="Arial" w:cs="Arial"/>
          <w:lang w:val="es-MX"/>
        </w:rPr>
        <w:t>el derecho de votar y ser votado</w:t>
      </w:r>
      <w:r w:rsidR="006C1778">
        <w:rPr>
          <w:rFonts w:ascii="Arial" w:hAnsi="Arial" w:cs="Arial"/>
          <w:lang w:val="es-MX"/>
        </w:rPr>
        <w:t xml:space="preserve"> en su sentido amplio de participación y representación política</w:t>
      </w:r>
      <w:r w:rsidR="00755B2C">
        <w:rPr>
          <w:rFonts w:ascii="Arial" w:hAnsi="Arial" w:cs="Arial"/>
          <w:lang w:val="es-MX"/>
        </w:rPr>
        <w:t xml:space="preserve">, a fin de proteger la función </w:t>
      </w:r>
      <w:r w:rsidR="00A35446">
        <w:rPr>
          <w:rFonts w:ascii="Arial" w:hAnsi="Arial" w:cs="Arial"/>
          <w:lang w:val="es-MX"/>
        </w:rPr>
        <w:t xml:space="preserve">de representación en el </w:t>
      </w:r>
      <w:r w:rsidR="00A35446">
        <w:rPr>
          <w:rFonts w:ascii="Arial" w:hAnsi="Arial" w:cs="Arial"/>
          <w:lang w:val="es-MX"/>
        </w:rPr>
        <w:lastRenderedPageBreak/>
        <w:t xml:space="preserve">ámbito </w:t>
      </w:r>
      <w:r w:rsidR="00755B2C">
        <w:rPr>
          <w:rFonts w:ascii="Arial" w:hAnsi="Arial" w:cs="Arial"/>
          <w:lang w:val="es-MX"/>
        </w:rPr>
        <w:t>parlamentari</w:t>
      </w:r>
      <w:r w:rsidR="00A35446">
        <w:rPr>
          <w:rFonts w:ascii="Arial" w:hAnsi="Arial" w:cs="Arial"/>
          <w:lang w:val="es-MX"/>
        </w:rPr>
        <w:t xml:space="preserve">o </w:t>
      </w:r>
      <w:r w:rsidR="00755B2C">
        <w:rPr>
          <w:rFonts w:ascii="Arial" w:hAnsi="Arial" w:cs="Arial"/>
          <w:lang w:val="es-MX"/>
        </w:rPr>
        <w:t xml:space="preserve">que es, </w:t>
      </w:r>
      <w:r w:rsidR="00D71F52">
        <w:rPr>
          <w:rFonts w:ascii="Arial" w:hAnsi="Arial" w:cs="Arial"/>
          <w:lang w:val="es-MX"/>
        </w:rPr>
        <w:t>en definitiva</w:t>
      </w:r>
      <w:r w:rsidR="00755B2C">
        <w:rPr>
          <w:rFonts w:ascii="Arial" w:hAnsi="Arial" w:cs="Arial"/>
          <w:lang w:val="es-MX"/>
        </w:rPr>
        <w:t>, un derecho político</w:t>
      </w:r>
      <w:r w:rsidR="00E17501">
        <w:rPr>
          <w:rFonts w:ascii="Arial" w:hAnsi="Arial" w:cs="Arial"/>
          <w:lang w:val="es-MX"/>
        </w:rPr>
        <w:t xml:space="preserve"> en un amplio espectro y electoral en aspectos concretos</w:t>
      </w:r>
      <w:r w:rsidR="00755B2C">
        <w:rPr>
          <w:rFonts w:ascii="Arial" w:hAnsi="Arial" w:cs="Arial"/>
          <w:lang w:val="es-MX"/>
        </w:rPr>
        <w:t xml:space="preserve">. </w:t>
      </w:r>
    </w:p>
    <w:p w14:paraId="276F168F" w14:textId="77777777" w:rsidR="00355D29" w:rsidRPr="00897C0F" w:rsidRDefault="00897C0F" w:rsidP="00C01CE1">
      <w:pPr>
        <w:spacing w:before="240" w:after="240" w:line="360" w:lineRule="auto"/>
        <w:jc w:val="both"/>
        <w:rPr>
          <w:rFonts w:ascii="Arial" w:hAnsi="Arial" w:cs="Arial"/>
        </w:rPr>
      </w:pPr>
      <w:r>
        <w:rPr>
          <w:rFonts w:ascii="Arial" w:hAnsi="Arial" w:cs="Arial"/>
        </w:rPr>
        <w:t xml:space="preserve">Es así como se concluye que, al ser un </w:t>
      </w:r>
      <w:r w:rsidR="00A70A63">
        <w:rPr>
          <w:rFonts w:ascii="Arial" w:hAnsi="Arial" w:cs="Arial"/>
        </w:rPr>
        <w:t>T</w:t>
      </w:r>
      <w:r>
        <w:rPr>
          <w:rFonts w:ascii="Arial" w:hAnsi="Arial" w:cs="Arial"/>
        </w:rPr>
        <w:t>ribunal constitucional de derechos políticos</w:t>
      </w:r>
      <w:r w:rsidR="00E17501">
        <w:rPr>
          <w:rFonts w:ascii="Arial" w:hAnsi="Arial" w:cs="Arial"/>
        </w:rPr>
        <w:t xml:space="preserve"> y electorales</w:t>
      </w:r>
      <w:r>
        <w:rPr>
          <w:rFonts w:ascii="Arial" w:hAnsi="Arial" w:cs="Arial"/>
        </w:rPr>
        <w:t xml:space="preserve">, esta Sala Superior tiene la facultad de revisar todos los actos que puedan afectar </w:t>
      </w:r>
      <w:r w:rsidR="0025003F">
        <w:rPr>
          <w:rFonts w:ascii="Arial" w:hAnsi="Arial" w:cs="Arial"/>
        </w:rPr>
        <w:t xml:space="preserve">el </w:t>
      </w:r>
      <w:r w:rsidR="00B77624">
        <w:rPr>
          <w:rFonts w:ascii="Arial" w:hAnsi="Arial" w:cs="Arial"/>
        </w:rPr>
        <w:t xml:space="preserve">ejercicio </w:t>
      </w:r>
      <w:r w:rsidR="0025003F">
        <w:rPr>
          <w:rFonts w:ascii="Arial" w:hAnsi="Arial" w:cs="Arial"/>
        </w:rPr>
        <w:t xml:space="preserve">de estos derechos </w:t>
      </w:r>
      <w:r w:rsidR="00B77624">
        <w:rPr>
          <w:rFonts w:ascii="Arial" w:hAnsi="Arial" w:cs="Arial"/>
        </w:rPr>
        <w:t xml:space="preserve">por </w:t>
      </w:r>
      <w:r w:rsidR="00817664">
        <w:rPr>
          <w:rFonts w:ascii="Arial" w:hAnsi="Arial" w:cs="Arial"/>
        </w:rPr>
        <w:t>la ciudadanía</w:t>
      </w:r>
      <w:r>
        <w:rPr>
          <w:rFonts w:ascii="Arial" w:hAnsi="Arial" w:cs="Arial"/>
        </w:rPr>
        <w:t xml:space="preserve"> que conforma la comunidad política mexicana</w:t>
      </w:r>
      <w:r w:rsidR="0091148A">
        <w:rPr>
          <w:rFonts w:ascii="Arial" w:hAnsi="Arial" w:cs="Arial"/>
        </w:rPr>
        <w:t xml:space="preserve"> y, en </w:t>
      </w:r>
      <w:r w:rsidR="00CA7555">
        <w:rPr>
          <w:rFonts w:ascii="Arial" w:hAnsi="Arial" w:cs="Arial"/>
        </w:rPr>
        <w:t>particular, la comunidad política de la Ciudad de México, con</w:t>
      </w:r>
      <w:r w:rsidR="00817664">
        <w:rPr>
          <w:rFonts w:ascii="Arial" w:hAnsi="Arial" w:cs="Arial"/>
        </w:rPr>
        <w:t xml:space="preserve"> </w:t>
      </w:r>
      <w:r w:rsidR="00FB720E">
        <w:rPr>
          <w:rFonts w:ascii="Arial" w:hAnsi="Arial" w:cs="Arial"/>
        </w:rPr>
        <w:t xml:space="preserve">independencia de si, por razones contingentes, </w:t>
      </w:r>
      <w:r w:rsidR="005B373F">
        <w:rPr>
          <w:rFonts w:ascii="Arial" w:hAnsi="Arial" w:cs="Arial"/>
        </w:rPr>
        <w:t xml:space="preserve">reside o no en </w:t>
      </w:r>
      <w:r w:rsidR="00036682">
        <w:rPr>
          <w:rFonts w:ascii="Arial" w:hAnsi="Arial" w:cs="Arial"/>
        </w:rPr>
        <w:t xml:space="preserve">el </w:t>
      </w:r>
      <w:r w:rsidR="005B373F">
        <w:rPr>
          <w:rFonts w:ascii="Arial" w:hAnsi="Arial" w:cs="Arial"/>
        </w:rPr>
        <w:t xml:space="preserve">territorio </w:t>
      </w:r>
      <w:r w:rsidR="00036682">
        <w:rPr>
          <w:rFonts w:ascii="Arial" w:hAnsi="Arial" w:cs="Arial"/>
        </w:rPr>
        <w:t>de la Ciudad de México</w:t>
      </w:r>
      <w:r>
        <w:rPr>
          <w:rFonts w:ascii="Arial" w:hAnsi="Arial" w:cs="Arial"/>
        </w:rPr>
        <w:t>.</w:t>
      </w:r>
    </w:p>
    <w:p w14:paraId="6BC128F0" w14:textId="77777777" w:rsidR="005A0ECC" w:rsidRPr="006215A7" w:rsidRDefault="00513F43" w:rsidP="006215A7">
      <w:pPr>
        <w:pStyle w:val="Ttulo1"/>
        <w:spacing w:before="240" w:beforeAutospacing="0" w:after="240" w:afterAutospacing="0"/>
        <w:jc w:val="both"/>
        <w:rPr>
          <w:rFonts w:ascii="Arial Negrita" w:eastAsiaTheme="minorHAnsi" w:hAnsi="Arial Negrita" w:cs="Arial"/>
          <w:caps w:val="0"/>
          <w:szCs w:val="24"/>
        </w:rPr>
      </w:pPr>
      <w:bookmarkStart w:id="18" w:name="_Toc48404876"/>
      <w:r w:rsidRPr="006215A7">
        <w:rPr>
          <w:rFonts w:ascii="Arial Negrita" w:eastAsiaTheme="minorHAnsi" w:hAnsi="Arial Negrita" w:cs="Arial"/>
          <w:caps w:val="0"/>
          <w:szCs w:val="24"/>
        </w:rPr>
        <w:t>5.</w:t>
      </w:r>
      <w:r w:rsidR="001E063E" w:rsidRPr="006215A7">
        <w:rPr>
          <w:rFonts w:ascii="Arial Negrita" w:eastAsiaTheme="minorHAnsi" w:hAnsi="Arial Negrita" w:cs="Arial"/>
          <w:caps w:val="0"/>
          <w:szCs w:val="24"/>
        </w:rPr>
        <w:t>3</w:t>
      </w:r>
      <w:r w:rsidRPr="006215A7">
        <w:rPr>
          <w:rFonts w:ascii="Arial Negrita" w:eastAsiaTheme="minorHAnsi" w:hAnsi="Arial Negrita" w:cs="Arial"/>
          <w:caps w:val="0"/>
          <w:szCs w:val="24"/>
        </w:rPr>
        <w:t>.</w:t>
      </w:r>
      <w:r w:rsidR="00355D29" w:rsidRPr="006215A7">
        <w:rPr>
          <w:rFonts w:ascii="Arial Negrita" w:eastAsiaTheme="minorHAnsi" w:hAnsi="Arial Negrita" w:cs="Arial"/>
          <w:caps w:val="0"/>
          <w:szCs w:val="24"/>
        </w:rPr>
        <w:t>2</w:t>
      </w:r>
      <w:r w:rsidRPr="006215A7">
        <w:rPr>
          <w:rFonts w:ascii="Arial Negrita" w:eastAsiaTheme="minorHAnsi" w:hAnsi="Arial Negrita" w:cs="Arial"/>
          <w:caps w:val="0"/>
          <w:szCs w:val="24"/>
        </w:rPr>
        <w:t>.</w:t>
      </w:r>
      <w:r w:rsidR="005A0ECC" w:rsidRPr="006215A7">
        <w:rPr>
          <w:rFonts w:ascii="Arial Negrita" w:eastAsiaTheme="minorHAnsi" w:hAnsi="Arial Negrita" w:cs="Arial"/>
          <w:caps w:val="0"/>
          <w:szCs w:val="24"/>
        </w:rPr>
        <w:t xml:space="preserve"> Naturaleza de la diputación migrante</w:t>
      </w:r>
      <w:bookmarkEnd w:id="18"/>
    </w:p>
    <w:p w14:paraId="6C4C79D8" w14:textId="77777777" w:rsidR="005A0ECC" w:rsidRPr="006215A7" w:rsidRDefault="006215A7" w:rsidP="006215A7">
      <w:pPr>
        <w:pStyle w:val="Ttulo1"/>
        <w:spacing w:before="240" w:beforeAutospacing="0" w:after="240" w:afterAutospacing="0"/>
        <w:ind w:left="567"/>
        <w:jc w:val="both"/>
        <w:rPr>
          <w:rFonts w:ascii="Arial Negrita" w:eastAsiaTheme="minorHAnsi" w:hAnsi="Arial Negrita" w:cs="Arial"/>
          <w:caps w:val="0"/>
          <w:szCs w:val="24"/>
        </w:rPr>
      </w:pPr>
      <w:bookmarkStart w:id="19" w:name="_Toc48404877"/>
      <w:r>
        <w:rPr>
          <w:rFonts w:ascii="Arial Negrita" w:eastAsiaTheme="minorHAnsi" w:hAnsi="Arial Negrita" w:cs="Arial"/>
          <w:caps w:val="0"/>
          <w:szCs w:val="24"/>
        </w:rPr>
        <w:t xml:space="preserve">a. </w:t>
      </w:r>
      <w:r w:rsidR="005A0ECC" w:rsidRPr="006215A7">
        <w:rPr>
          <w:rFonts w:ascii="Arial Negrita" w:eastAsiaTheme="minorHAnsi" w:hAnsi="Arial Negrita" w:cs="Arial"/>
          <w:caps w:val="0"/>
          <w:szCs w:val="24"/>
        </w:rPr>
        <w:t>La figura de la diputación migrante y la diáspora mexicana</w:t>
      </w:r>
      <w:bookmarkEnd w:id="19"/>
    </w:p>
    <w:p w14:paraId="4CEB3AA5" w14:textId="77777777" w:rsidR="005A0ECC" w:rsidRDefault="005A0ECC" w:rsidP="005A0ECC">
      <w:pPr>
        <w:spacing w:before="240" w:after="240" w:line="360" w:lineRule="auto"/>
        <w:jc w:val="both"/>
        <w:rPr>
          <w:rFonts w:ascii="Arial" w:hAnsi="Arial" w:cs="Arial"/>
        </w:rPr>
      </w:pPr>
      <w:r>
        <w:rPr>
          <w:rFonts w:ascii="Arial" w:hAnsi="Arial" w:cs="Arial"/>
        </w:rPr>
        <w:t xml:space="preserve">La migración es un fenómeno que ha existido </w:t>
      </w:r>
      <w:r w:rsidR="00645A07">
        <w:rPr>
          <w:rFonts w:ascii="Arial" w:hAnsi="Arial" w:cs="Arial"/>
        </w:rPr>
        <w:t xml:space="preserve">prácticamente </w:t>
      </w:r>
      <w:r>
        <w:rPr>
          <w:rFonts w:ascii="Arial" w:hAnsi="Arial" w:cs="Arial"/>
        </w:rPr>
        <w:t xml:space="preserve">desde siempre. Existen distintos motivos por los cuales las personas e, incluso, poblaciones completas deciden migrar de su territorio originario. </w:t>
      </w:r>
    </w:p>
    <w:p w14:paraId="7735AA6C" w14:textId="77777777" w:rsidR="005A0ECC" w:rsidRDefault="005A0ECC" w:rsidP="005A0ECC">
      <w:pPr>
        <w:spacing w:before="240" w:after="240" w:line="360" w:lineRule="auto"/>
        <w:jc w:val="both"/>
        <w:rPr>
          <w:rFonts w:ascii="Arial" w:hAnsi="Arial" w:cs="Arial"/>
        </w:rPr>
      </w:pPr>
      <w:r>
        <w:rPr>
          <w:rFonts w:ascii="Arial" w:hAnsi="Arial" w:cs="Arial"/>
        </w:rPr>
        <w:t>Es posible afirmar que la composición</w:t>
      </w:r>
      <w:r w:rsidR="0025003F">
        <w:rPr>
          <w:rFonts w:ascii="Arial" w:hAnsi="Arial" w:cs="Arial"/>
        </w:rPr>
        <w:t xml:space="preserve">, </w:t>
      </w:r>
      <w:r>
        <w:rPr>
          <w:rFonts w:ascii="Arial" w:hAnsi="Arial" w:cs="Arial"/>
        </w:rPr>
        <w:t xml:space="preserve">de todos los </w:t>
      </w:r>
      <w:r w:rsidR="0025003F">
        <w:rPr>
          <w:rFonts w:ascii="Arial" w:hAnsi="Arial" w:cs="Arial"/>
        </w:rPr>
        <w:t>E</w:t>
      </w:r>
      <w:r>
        <w:rPr>
          <w:rFonts w:ascii="Arial" w:hAnsi="Arial" w:cs="Arial"/>
        </w:rPr>
        <w:t>stados democráticos que existen</w:t>
      </w:r>
      <w:r w:rsidR="0025003F">
        <w:rPr>
          <w:rFonts w:ascii="Arial" w:hAnsi="Arial" w:cs="Arial"/>
        </w:rPr>
        <w:t>,</w:t>
      </w:r>
      <w:r>
        <w:rPr>
          <w:rFonts w:ascii="Arial" w:hAnsi="Arial" w:cs="Arial"/>
        </w:rPr>
        <w:t xml:space="preserve"> está basada en procesos de migración. Es decir, en grupos de personas que emigraron de su territorio natal y se asentaron en un nuevo territorio. Mientras que pretenden integrarse a su </w:t>
      </w:r>
      <w:r w:rsidR="0025003F">
        <w:rPr>
          <w:rFonts w:ascii="Arial" w:hAnsi="Arial" w:cs="Arial"/>
        </w:rPr>
        <w:t>E</w:t>
      </w:r>
      <w:r>
        <w:rPr>
          <w:rFonts w:ascii="Arial" w:hAnsi="Arial" w:cs="Arial"/>
        </w:rPr>
        <w:t xml:space="preserve">stado anfitrión por medio de la adopción de sus principios y costumbres, así como prácticas culturales, en ocasiones suelen tener el deseo de mantener un vínculo con su </w:t>
      </w:r>
      <w:r w:rsidR="0025003F">
        <w:rPr>
          <w:rFonts w:ascii="Arial" w:hAnsi="Arial" w:cs="Arial"/>
        </w:rPr>
        <w:t>E</w:t>
      </w:r>
      <w:r>
        <w:rPr>
          <w:rFonts w:ascii="Arial" w:hAnsi="Arial" w:cs="Arial"/>
        </w:rPr>
        <w:t xml:space="preserve">stado natal. </w:t>
      </w:r>
    </w:p>
    <w:p w14:paraId="60D7F34F" w14:textId="77777777" w:rsidR="005A0ECC" w:rsidRDefault="005A0ECC" w:rsidP="005A0ECC">
      <w:pPr>
        <w:spacing w:before="240" w:after="240" w:line="360" w:lineRule="auto"/>
        <w:jc w:val="both"/>
        <w:rPr>
          <w:rFonts w:ascii="Arial" w:hAnsi="Arial" w:cs="Arial"/>
        </w:rPr>
      </w:pPr>
      <w:r>
        <w:rPr>
          <w:rFonts w:ascii="Arial" w:hAnsi="Arial" w:cs="Arial"/>
        </w:rPr>
        <w:t xml:space="preserve">Este es el caso de las diásporas. En la literatura especializada en migración, se ha reconocido que las diásporas son grupos de personas que migraron de su país de origen y se asentaron en un país anfitrión, pero que siguen manteniendo vínculos de distinta naturaleza con su país de origen. Es decir, mantienen un interés por los procesos sociales y políticos de su país de </w:t>
      </w:r>
      <w:r>
        <w:rPr>
          <w:rFonts w:ascii="Arial" w:hAnsi="Arial" w:cs="Arial"/>
        </w:rPr>
        <w:lastRenderedPageBreak/>
        <w:t xml:space="preserve">origen y, además, pretenden conservar y seguir practicando sus especificidades culturales. </w:t>
      </w:r>
    </w:p>
    <w:p w14:paraId="579E0420" w14:textId="77777777" w:rsidR="005A0ECC" w:rsidRDefault="005A0ECC" w:rsidP="005A0ECC">
      <w:pPr>
        <w:spacing w:before="240" w:after="240" w:line="360" w:lineRule="auto"/>
        <w:jc w:val="both"/>
        <w:rPr>
          <w:rFonts w:ascii="Arial" w:hAnsi="Arial" w:cs="Arial"/>
        </w:rPr>
      </w:pPr>
      <w:r>
        <w:rPr>
          <w:rFonts w:ascii="Arial" w:hAnsi="Arial" w:cs="Arial"/>
        </w:rPr>
        <w:t xml:space="preserve">Si bien es complejo identificar una diáspora y determinar el grado de vinculación o de implicación que las personas migrantes tienen con su país de origen a fin de ser </w:t>
      </w:r>
      <w:r w:rsidR="0025003F">
        <w:rPr>
          <w:rFonts w:ascii="Arial" w:hAnsi="Arial" w:cs="Arial"/>
        </w:rPr>
        <w:t xml:space="preserve">así </w:t>
      </w:r>
      <w:r>
        <w:rPr>
          <w:rFonts w:ascii="Arial" w:hAnsi="Arial" w:cs="Arial"/>
        </w:rPr>
        <w:t>considerados, es factible identificar</w:t>
      </w:r>
      <w:r w:rsidR="0025003F">
        <w:rPr>
          <w:rFonts w:ascii="Arial" w:hAnsi="Arial" w:cs="Arial"/>
        </w:rPr>
        <w:t xml:space="preserve">la </w:t>
      </w:r>
      <w:r>
        <w:rPr>
          <w:rFonts w:ascii="Arial" w:hAnsi="Arial" w:cs="Arial"/>
        </w:rPr>
        <w:t>de acuerdo con los siguientes elementos</w:t>
      </w:r>
      <w:r>
        <w:rPr>
          <w:rStyle w:val="Refdenotaalpie"/>
          <w:rFonts w:ascii="Arial" w:hAnsi="Arial" w:cs="Arial"/>
        </w:rPr>
        <w:footnoteReference w:id="16"/>
      </w:r>
      <w:r>
        <w:rPr>
          <w:rFonts w:ascii="Arial" w:hAnsi="Arial" w:cs="Arial"/>
        </w:rPr>
        <w:t xml:space="preserve">: </w:t>
      </w:r>
    </w:p>
    <w:p w14:paraId="64112513" w14:textId="77777777" w:rsidR="005A0ECC" w:rsidRDefault="005A0ECC" w:rsidP="00991F83">
      <w:pPr>
        <w:pStyle w:val="Prrafodelista"/>
        <w:numPr>
          <w:ilvl w:val="0"/>
          <w:numId w:val="1"/>
        </w:numPr>
        <w:spacing w:before="240" w:after="240" w:line="360" w:lineRule="auto"/>
        <w:jc w:val="both"/>
        <w:rPr>
          <w:rFonts w:ascii="Arial" w:hAnsi="Arial" w:cs="Arial"/>
        </w:rPr>
      </w:pPr>
      <w:r w:rsidRPr="00BD11BB">
        <w:rPr>
          <w:rFonts w:ascii="Arial" w:hAnsi="Arial" w:cs="Arial"/>
          <w:b/>
        </w:rPr>
        <w:t>Dispersión territorial</w:t>
      </w:r>
      <w:r>
        <w:rPr>
          <w:rFonts w:ascii="Arial" w:hAnsi="Arial" w:cs="Arial"/>
        </w:rPr>
        <w:t xml:space="preserve">. Es decir, que se trate de un grupo de personas pertenecientes a un </w:t>
      </w:r>
      <w:r w:rsidR="0025003F">
        <w:rPr>
          <w:rFonts w:ascii="Arial" w:hAnsi="Arial" w:cs="Arial"/>
        </w:rPr>
        <w:t>E</w:t>
      </w:r>
      <w:r>
        <w:rPr>
          <w:rFonts w:ascii="Arial" w:hAnsi="Arial" w:cs="Arial"/>
        </w:rPr>
        <w:t>stado, pero que se encuentran territorialmente separados</w:t>
      </w:r>
      <w:r w:rsidR="0025003F">
        <w:rPr>
          <w:rFonts w:ascii="Arial" w:hAnsi="Arial" w:cs="Arial"/>
        </w:rPr>
        <w:t xml:space="preserve"> de ese lugar</w:t>
      </w:r>
      <w:r>
        <w:rPr>
          <w:rFonts w:ascii="Arial" w:hAnsi="Arial" w:cs="Arial"/>
        </w:rPr>
        <w:t xml:space="preserve">, o sea, que han cruzado las fronteras de su país de origen para asentarse dentro de otro país. </w:t>
      </w:r>
    </w:p>
    <w:p w14:paraId="00C847DC" w14:textId="77777777" w:rsidR="005A0ECC" w:rsidRDefault="005A0ECC" w:rsidP="00991F83">
      <w:pPr>
        <w:pStyle w:val="Prrafodelista"/>
        <w:numPr>
          <w:ilvl w:val="0"/>
          <w:numId w:val="1"/>
        </w:numPr>
        <w:spacing w:before="240" w:after="240" w:line="360" w:lineRule="auto"/>
        <w:jc w:val="both"/>
        <w:rPr>
          <w:rFonts w:ascii="Arial" w:hAnsi="Arial" w:cs="Arial"/>
        </w:rPr>
      </w:pPr>
      <w:r w:rsidRPr="00BD11BB">
        <w:rPr>
          <w:rFonts w:ascii="Arial" w:hAnsi="Arial" w:cs="Arial"/>
          <w:b/>
        </w:rPr>
        <w:t>Orientación hacia su país de origen</w:t>
      </w:r>
      <w:r>
        <w:rPr>
          <w:rFonts w:ascii="Arial" w:hAnsi="Arial" w:cs="Arial"/>
        </w:rPr>
        <w:t>. Este criterio hace referencia a que las personas que integran ese colectivo consideran que su país de origen es algo valioso para ellos ya que, en parte, moldea su identidad, además de que merece un sentido de lealtad.</w:t>
      </w:r>
    </w:p>
    <w:p w14:paraId="1E79835D" w14:textId="77777777" w:rsidR="005A0ECC" w:rsidRDefault="005A0ECC" w:rsidP="00991F83">
      <w:pPr>
        <w:pStyle w:val="Prrafodelista"/>
        <w:numPr>
          <w:ilvl w:val="0"/>
          <w:numId w:val="1"/>
        </w:numPr>
        <w:spacing w:before="240" w:after="240" w:line="360" w:lineRule="auto"/>
        <w:jc w:val="both"/>
        <w:rPr>
          <w:rFonts w:ascii="Arial" w:hAnsi="Arial" w:cs="Arial"/>
        </w:rPr>
      </w:pPr>
      <w:r w:rsidRPr="00BD11BB">
        <w:rPr>
          <w:rFonts w:ascii="Arial" w:hAnsi="Arial" w:cs="Arial"/>
          <w:b/>
        </w:rPr>
        <w:t>Se distinguen de la cultura de su país anfitrión</w:t>
      </w:r>
      <w:r>
        <w:rPr>
          <w:rFonts w:ascii="Arial" w:hAnsi="Arial" w:cs="Arial"/>
        </w:rPr>
        <w:t xml:space="preserve">. Esto implica que las personas que han migrado de su país de origen mantienen y preservan una identidad distinta frente al país anfitrión. Es decir, han resistido a asimilarse a la cultura del país en el que se han integrado. </w:t>
      </w:r>
    </w:p>
    <w:p w14:paraId="36B1425B" w14:textId="77777777" w:rsidR="005A0ECC" w:rsidRDefault="005A0ECC" w:rsidP="005A0ECC">
      <w:pPr>
        <w:pStyle w:val="Prrafodelista"/>
        <w:spacing w:before="240" w:after="240" w:line="360" w:lineRule="auto"/>
        <w:jc w:val="both"/>
        <w:rPr>
          <w:rFonts w:ascii="Arial" w:hAnsi="Arial" w:cs="Arial"/>
        </w:rPr>
      </w:pPr>
    </w:p>
    <w:p w14:paraId="494B6B8C" w14:textId="77777777" w:rsidR="005A0ECC" w:rsidRDefault="005A0ECC" w:rsidP="005A0ECC">
      <w:pPr>
        <w:pStyle w:val="Prrafodelista"/>
        <w:spacing w:before="240" w:after="240" w:line="360" w:lineRule="auto"/>
        <w:jc w:val="both"/>
        <w:rPr>
          <w:rFonts w:ascii="Arial" w:hAnsi="Arial" w:cs="Arial"/>
        </w:rPr>
      </w:pPr>
      <w:r>
        <w:rPr>
          <w:rFonts w:ascii="Arial" w:hAnsi="Arial" w:cs="Arial"/>
        </w:rPr>
        <w:t xml:space="preserve">Esto no implica, necesariamente, que vivan al margen de su </w:t>
      </w:r>
      <w:r w:rsidR="0025003F">
        <w:rPr>
          <w:rFonts w:ascii="Arial" w:hAnsi="Arial" w:cs="Arial"/>
        </w:rPr>
        <w:t>E</w:t>
      </w:r>
      <w:r>
        <w:rPr>
          <w:rFonts w:ascii="Arial" w:hAnsi="Arial" w:cs="Arial"/>
        </w:rPr>
        <w:t xml:space="preserve">stado anfitrión, porque muchos países han adoptado </w:t>
      </w:r>
      <w:r w:rsidR="0025003F">
        <w:rPr>
          <w:rFonts w:ascii="Arial" w:hAnsi="Arial" w:cs="Arial"/>
        </w:rPr>
        <w:t>en</w:t>
      </w:r>
      <w:r>
        <w:rPr>
          <w:rFonts w:ascii="Arial" w:hAnsi="Arial" w:cs="Arial"/>
        </w:rPr>
        <w:t xml:space="preserve"> su interior políticas multiculturales tendentes a acomodar las diferencias de sus grupos poliétnicos</w:t>
      </w:r>
      <w:r>
        <w:rPr>
          <w:rStyle w:val="Refdenotaalpie"/>
          <w:rFonts w:ascii="Arial" w:hAnsi="Arial" w:cs="Arial"/>
        </w:rPr>
        <w:footnoteReference w:id="17"/>
      </w:r>
      <w:r>
        <w:rPr>
          <w:rFonts w:ascii="Arial" w:hAnsi="Arial" w:cs="Arial"/>
        </w:rPr>
        <w:t xml:space="preserve">. </w:t>
      </w:r>
    </w:p>
    <w:p w14:paraId="6D69AAC8" w14:textId="77777777" w:rsidR="005A0ECC" w:rsidRDefault="005A0ECC" w:rsidP="005A0ECC">
      <w:pPr>
        <w:pStyle w:val="Prrafodelista"/>
        <w:spacing w:before="240" w:after="240" w:line="360" w:lineRule="auto"/>
        <w:jc w:val="both"/>
        <w:rPr>
          <w:rFonts w:ascii="Arial" w:hAnsi="Arial" w:cs="Arial"/>
        </w:rPr>
      </w:pPr>
    </w:p>
    <w:p w14:paraId="09C99B18" w14:textId="77777777" w:rsidR="005A0ECC" w:rsidRDefault="00E12123" w:rsidP="005A0ECC">
      <w:pPr>
        <w:pStyle w:val="Prrafodelista"/>
        <w:spacing w:before="240" w:after="240" w:line="360" w:lineRule="auto"/>
        <w:jc w:val="both"/>
        <w:rPr>
          <w:rFonts w:ascii="Arial" w:hAnsi="Arial" w:cs="Arial"/>
        </w:rPr>
      </w:pPr>
      <w:r>
        <w:rPr>
          <w:rFonts w:ascii="Arial" w:hAnsi="Arial" w:cs="Arial"/>
        </w:rPr>
        <w:t>C</w:t>
      </w:r>
      <w:r w:rsidR="005A0ECC">
        <w:rPr>
          <w:rFonts w:ascii="Arial" w:hAnsi="Arial" w:cs="Arial"/>
        </w:rPr>
        <w:t xml:space="preserve">on independencia de la forma en cómo el </w:t>
      </w:r>
      <w:r>
        <w:rPr>
          <w:rFonts w:ascii="Arial" w:hAnsi="Arial" w:cs="Arial"/>
        </w:rPr>
        <w:t>E</w:t>
      </w:r>
      <w:r w:rsidR="005A0ECC">
        <w:rPr>
          <w:rFonts w:ascii="Arial" w:hAnsi="Arial" w:cs="Arial"/>
        </w:rPr>
        <w:t xml:space="preserve">stado anfitrión gestione la diversidad cultural </w:t>
      </w:r>
      <w:r>
        <w:rPr>
          <w:rFonts w:ascii="Arial" w:hAnsi="Arial" w:cs="Arial"/>
        </w:rPr>
        <w:t>en</w:t>
      </w:r>
      <w:r w:rsidR="005A0ECC">
        <w:rPr>
          <w:rFonts w:ascii="Arial" w:hAnsi="Arial" w:cs="Arial"/>
        </w:rPr>
        <w:t xml:space="preserve"> su interior, un colectivo de migrantes de un mismo territorio se convierte en una diáspora cuando mantiene una identidad distinta de aquella de su país anfitrión </w:t>
      </w:r>
      <w:r>
        <w:rPr>
          <w:rFonts w:ascii="Arial" w:hAnsi="Arial" w:cs="Arial"/>
        </w:rPr>
        <w:t>–</w:t>
      </w:r>
      <w:r w:rsidR="005A0ECC">
        <w:rPr>
          <w:rFonts w:ascii="Arial" w:hAnsi="Arial" w:cs="Arial"/>
        </w:rPr>
        <w:t>aunque no incompatible</w:t>
      </w:r>
      <w:r>
        <w:rPr>
          <w:rFonts w:ascii="Arial" w:hAnsi="Arial" w:cs="Arial"/>
        </w:rPr>
        <w:t>–</w:t>
      </w:r>
      <w:r w:rsidR="005A0ECC">
        <w:rPr>
          <w:rFonts w:ascii="Arial" w:hAnsi="Arial" w:cs="Arial"/>
        </w:rPr>
        <w:t xml:space="preserve">, y moldeada, en gran parte, por la cultura de su país de origen. </w:t>
      </w:r>
    </w:p>
    <w:p w14:paraId="164F9281" w14:textId="77777777" w:rsidR="005A0ECC" w:rsidRPr="00DF198F" w:rsidRDefault="005A0ECC" w:rsidP="005A0ECC">
      <w:pPr>
        <w:spacing w:before="240" w:after="240" w:line="360" w:lineRule="auto"/>
        <w:jc w:val="both"/>
        <w:rPr>
          <w:rFonts w:ascii="Arial" w:hAnsi="Arial" w:cs="Arial"/>
        </w:rPr>
      </w:pPr>
      <w:r w:rsidRPr="00DF198F">
        <w:rPr>
          <w:rFonts w:ascii="Arial" w:hAnsi="Arial" w:cs="Arial"/>
        </w:rPr>
        <w:t xml:space="preserve">Sin embargo, esta identidad distinta debe mantenerse por un periodo largo de tiempo, es decir, debe transmitirse de una a otra generación. </w:t>
      </w:r>
    </w:p>
    <w:p w14:paraId="05B42DD7" w14:textId="77777777" w:rsidR="005A0ECC" w:rsidRDefault="005A0ECC" w:rsidP="005A0ECC">
      <w:pPr>
        <w:spacing w:before="240" w:after="240" w:line="360" w:lineRule="auto"/>
        <w:jc w:val="both"/>
        <w:rPr>
          <w:rFonts w:ascii="Arial" w:hAnsi="Arial" w:cs="Arial"/>
        </w:rPr>
      </w:pPr>
      <w:r>
        <w:rPr>
          <w:rFonts w:ascii="Arial" w:hAnsi="Arial" w:cs="Arial"/>
        </w:rPr>
        <w:t xml:space="preserve">Ahora bien, en el campo del </w:t>
      </w:r>
      <w:r w:rsidR="006E74C7">
        <w:rPr>
          <w:rFonts w:ascii="Arial" w:hAnsi="Arial" w:cs="Arial"/>
        </w:rPr>
        <w:t>D</w:t>
      </w:r>
      <w:r>
        <w:rPr>
          <w:rFonts w:ascii="Arial" w:hAnsi="Arial" w:cs="Arial"/>
        </w:rPr>
        <w:t xml:space="preserve">erecho poco se ha considerado a las diásporas. Si bien existen muchos desarrollos respecto de los derechos que un </w:t>
      </w:r>
      <w:r w:rsidR="00A35E36">
        <w:rPr>
          <w:rFonts w:ascii="Arial" w:hAnsi="Arial" w:cs="Arial"/>
        </w:rPr>
        <w:t>E</w:t>
      </w:r>
      <w:r>
        <w:rPr>
          <w:rFonts w:ascii="Arial" w:hAnsi="Arial" w:cs="Arial"/>
        </w:rPr>
        <w:t xml:space="preserve">stado reconoce </w:t>
      </w:r>
      <w:r w:rsidR="00A35E36">
        <w:rPr>
          <w:rFonts w:ascii="Arial" w:hAnsi="Arial" w:cs="Arial"/>
        </w:rPr>
        <w:t>–</w:t>
      </w:r>
      <w:r>
        <w:rPr>
          <w:rFonts w:ascii="Arial" w:hAnsi="Arial" w:cs="Arial"/>
        </w:rPr>
        <w:t>o debería de reconocer</w:t>
      </w:r>
      <w:r w:rsidR="00A35E36">
        <w:rPr>
          <w:rFonts w:ascii="Arial" w:hAnsi="Arial" w:cs="Arial"/>
        </w:rPr>
        <w:t>–</w:t>
      </w:r>
      <w:r>
        <w:rPr>
          <w:rFonts w:ascii="Arial" w:hAnsi="Arial" w:cs="Arial"/>
        </w:rPr>
        <w:t xml:space="preserve"> a los grupos culturales que habitan en su interior y que provienen de fenómenos de la migración, lo cierto es que poco se ha discutido respecto de cuál debería ser la relación de un </w:t>
      </w:r>
      <w:r w:rsidR="00A35E36">
        <w:rPr>
          <w:rFonts w:ascii="Arial" w:hAnsi="Arial" w:cs="Arial"/>
        </w:rPr>
        <w:t>E</w:t>
      </w:r>
      <w:r>
        <w:rPr>
          <w:rFonts w:ascii="Arial" w:hAnsi="Arial" w:cs="Arial"/>
        </w:rPr>
        <w:t xml:space="preserve">stado de origen con sus diásporas, así como tampoco respecto de qué derechos se les reconoce o deberían reconocer. </w:t>
      </w:r>
    </w:p>
    <w:p w14:paraId="6C4F55D0" w14:textId="77777777" w:rsidR="005A0ECC" w:rsidRDefault="005A0ECC" w:rsidP="005A0ECC">
      <w:pPr>
        <w:spacing w:before="240" w:after="240" w:line="360" w:lineRule="auto"/>
        <w:jc w:val="both"/>
        <w:rPr>
          <w:rFonts w:ascii="Arial" w:hAnsi="Arial" w:cs="Arial"/>
        </w:rPr>
      </w:pPr>
      <w:r>
        <w:rPr>
          <w:rFonts w:ascii="Arial" w:hAnsi="Arial" w:cs="Arial"/>
        </w:rPr>
        <w:lastRenderedPageBreak/>
        <w:t xml:space="preserve">Este vacío subsiste también en el campo del </w:t>
      </w:r>
      <w:r w:rsidR="00450A17">
        <w:rPr>
          <w:rFonts w:ascii="Arial" w:hAnsi="Arial" w:cs="Arial"/>
        </w:rPr>
        <w:t>D</w:t>
      </w:r>
      <w:r>
        <w:rPr>
          <w:rFonts w:ascii="Arial" w:hAnsi="Arial" w:cs="Arial"/>
        </w:rPr>
        <w:t xml:space="preserve">erecho internacional, en el que las diásporas tampoco son reconocidas como actores legales, así como tampoco </w:t>
      </w:r>
      <w:r w:rsidR="007844BC">
        <w:rPr>
          <w:rFonts w:ascii="Arial" w:hAnsi="Arial" w:cs="Arial"/>
        </w:rPr>
        <w:t>se encuentra</w:t>
      </w:r>
      <w:r>
        <w:rPr>
          <w:rFonts w:ascii="Arial" w:hAnsi="Arial" w:cs="Arial"/>
        </w:rPr>
        <w:t xml:space="preserve"> algún instrumento de carácter internacional que esté dirigido a estos grupos. Apenas se reconoce que existe una relación entre una diáspora y su </w:t>
      </w:r>
      <w:r w:rsidR="00A35E36">
        <w:rPr>
          <w:rFonts w:ascii="Arial" w:hAnsi="Arial" w:cs="Arial"/>
        </w:rPr>
        <w:t>E</w:t>
      </w:r>
      <w:r>
        <w:rPr>
          <w:rFonts w:ascii="Arial" w:hAnsi="Arial" w:cs="Arial"/>
        </w:rPr>
        <w:t xml:space="preserve">stado de origen en la </w:t>
      </w:r>
      <w:r w:rsidR="00A35E36">
        <w:rPr>
          <w:rFonts w:ascii="Arial" w:hAnsi="Arial" w:cs="Arial"/>
        </w:rPr>
        <w:t>“</w:t>
      </w:r>
      <w:r w:rsidRPr="00913C06">
        <w:rPr>
          <w:rFonts w:ascii="Arial" w:hAnsi="Arial" w:cs="Arial"/>
        </w:rPr>
        <w:t>Declaración de Nueva York sobre Personas Refugiadas y Migrantes</w:t>
      </w:r>
      <w:r w:rsidR="00A35E36">
        <w:rPr>
          <w:rFonts w:ascii="Arial" w:hAnsi="Arial" w:cs="Arial"/>
        </w:rPr>
        <w:t>”</w:t>
      </w:r>
      <w:r>
        <w:rPr>
          <w:rStyle w:val="Refdenotaalpie"/>
          <w:rFonts w:ascii="Arial" w:hAnsi="Arial" w:cs="Arial"/>
        </w:rPr>
        <w:footnoteReference w:id="18"/>
      </w:r>
      <w:r>
        <w:rPr>
          <w:rFonts w:ascii="Arial" w:hAnsi="Arial" w:cs="Arial"/>
        </w:rPr>
        <w:t>, pero en ella únicamente se hace referencia a las distintas contribuciones que pueden hacer las diásporas en el desarrollo de los países de origen</w:t>
      </w:r>
      <w:r>
        <w:rPr>
          <w:rStyle w:val="Refdenotaalpie"/>
          <w:rFonts w:ascii="Arial" w:hAnsi="Arial" w:cs="Arial"/>
        </w:rPr>
        <w:footnoteReference w:id="19"/>
      </w:r>
      <w:r>
        <w:rPr>
          <w:rFonts w:ascii="Arial" w:hAnsi="Arial" w:cs="Arial"/>
        </w:rPr>
        <w:t>.</w:t>
      </w:r>
    </w:p>
    <w:p w14:paraId="3A9BFC0E" w14:textId="77777777" w:rsidR="005A0ECC" w:rsidRDefault="005A0ECC" w:rsidP="005A0ECC">
      <w:pPr>
        <w:spacing w:before="240" w:after="240" w:line="360" w:lineRule="auto"/>
        <w:jc w:val="both"/>
        <w:rPr>
          <w:rFonts w:ascii="Arial" w:hAnsi="Arial" w:cs="Arial"/>
        </w:rPr>
      </w:pPr>
      <w:r>
        <w:rPr>
          <w:rFonts w:ascii="Arial" w:hAnsi="Arial" w:cs="Arial"/>
        </w:rPr>
        <w:t>Sin embargo, en la literatura relativa a estudios de migración, s</w:t>
      </w:r>
      <w:r w:rsidR="0083596F">
        <w:rPr>
          <w:rFonts w:ascii="Arial" w:hAnsi="Arial" w:cs="Arial"/>
        </w:rPr>
        <w:t>í</w:t>
      </w:r>
      <w:r>
        <w:rPr>
          <w:rFonts w:ascii="Arial" w:hAnsi="Arial" w:cs="Arial"/>
        </w:rPr>
        <w:t xml:space="preserve"> existe un consenso respecto de que las conexiones que preservan las diásporas respecto de su país de origen deberían ser reconocidas y reforzadas por medio de instituciones del propio </w:t>
      </w:r>
      <w:r w:rsidR="00A35E36">
        <w:rPr>
          <w:rFonts w:ascii="Arial" w:hAnsi="Arial" w:cs="Arial"/>
        </w:rPr>
        <w:t>E</w:t>
      </w:r>
      <w:r>
        <w:rPr>
          <w:rFonts w:ascii="Arial" w:hAnsi="Arial" w:cs="Arial"/>
        </w:rPr>
        <w:t>stado de origen</w:t>
      </w:r>
      <w:r>
        <w:rPr>
          <w:rStyle w:val="Refdenotaalpie"/>
          <w:rFonts w:ascii="Arial" w:hAnsi="Arial" w:cs="Arial"/>
        </w:rPr>
        <w:footnoteReference w:id="20"/>
      </w:r>
      <w:r>
        <w:rPr>
          <w:rFonts w:ascii="Arial" w:hAnsi="Arial" w:cs="Arial"/>
        </w:rPr>
        <w:t xml:space="preserve">. Las diásporas deben ser reconocidas por los </w:t>
      </w:r>
      <w:r w:rsidR="00A35E36">
        <w:rPr>
          <w:rFonts w:ascii="Arial" w:hAnsi="Arial" w:cs="Arial"/>
        </w:rPr>
        <w:t>E</w:t>
      </w:r>
      <w:r>
        <w:rPr>
          <w:rFonts w:ascii="Arial" w:hAnsi="Arial" w:cs="Arial"/>
        </w:rPr>
        <w:t>stados de origen y sus gobiernos a fin de fungir como actores activos de la cooperación internacional</w:t>
      </w:r>
      <w:r>
        <w:rPr>
          <w:rStyle w:val="Refdenotaalpie"/>
          <w:rFonts w:ascii="Arial" w:hAnsi="Arial" w:cs="Arial"/>
        </w:rPr>
        <w:footnoteReference w:id="21"/>
      </w:r>
      <w:r>
        <w:rPr>
          <w:rFonts w:ascii="Arial" w:hAnsi="Arial" w:cs="Arial"/>
        </w:rPr>
        <w:t>.</w:t>
      </w:r>
    </w:p>
    <w:p w14:paraId="0D2189B8" w14:textId="77777777" w:rsidR="005A0ECC" w:rsidRDefault="005A0ECC" w:rsidP="005A0ECC">
      <w:pPr>
        <w:spacing w:before="240" w:after="240" w:line="360" w:lineRule="auto"/>
        <w:jc w:val="both"/>
        <w:rPr>
          <w:rFonts w:ascii="Arial" w:hAnsi="Arial" w:cs="Arial"/>
        </w:rPr>
      </w:pPr>
      <w:r>
        <w:rPr>
          <w:rFonts w:ascii="Arial" w:hAnsi="Arial" w:cs="Arial"/>
        </w:rPr>
        <w:t xml:space="preserve">Por ello, algunos países han empezado a aprobar políticas exteriores dirigidas no únicamente a sus expatriados, sino a aquellos grupos de personas que en su conjunto conforman una diáspora. </w:t>
      </w:r>
    </w:p>
    <w:p w14:paraId="5AAD0925" w14:textId="77777777" w:rsidR="005A0ECC" w:rsidRPr="00BD11BB" w:rsidRDefault="005A0ECC" w:rsidP="005A0ECC">
      <w:pPr>
        <w:spacing w:before="240" w:after="240" w:line="360" w:lineRule="auto"/>
        <w:jc w:val="both"/>
        <w:rPr>
          <w:rFonts w:ascii="Arial" w:hAnsi="Arial" w:cs="Arial"/>
        </w:rPr>
      </w:pPr>
      <w:r>
        <w:rPr>
          <w:rFonts w:ascii="Arial" w:hAnsi="Arial" w:cs="Arial"/>
        </w:rPr>
        <w:t xml:space="preserve">Una de estas políticas es la que ahora se analiza. Concretamente, la figura de la diputación migrante que </w:t>
      </w:r>
      <w:r w:rsidR="0083596F">
        <w:rPr>
          <w:rFonts w:ascii="Arial" w:hAnsi="Arial" w:cs="Arial"/>
        </w:rPr>
        <w:t xml:space="preserve">legalmente </w:t>
      </w:r>
      <w:r>
        <w:rPr>
          <w:rFonts w:ascii="Arial" w:hAnsi="Arial" w:cs="Arial"/>
        </w:rPr>
        <w:t>se reconoció en la Ciudad de México, pero</w:t>
      </w:r>
      <w:r w:rsidR="00FF1D7E">
        <w:rPr>
          <w:rFonts w:ascii="Arial" w:hAnsi="Arial" w:cs="Arial"/>
        </w:rPr>
        <w:t>,</w:t>
      </w:r>
      <w:r>
        <w:rPr>
          <w:rFonts w:ascii="Arial" w:hAnsi="Arial" w:cs="Arial"/>
        </w:rPr>
        <w:t xml:space="preserve"> posteriormente, el legislador optó por derogarla. </w:t>
      </w:r>
    </w:p>
    <w:p w14:paraId="3B44BE36" w14:textId="77777777" w:rsidR="005A0ECC" w:rsidRDefault="005A0ECC" w:rsidP="005A0ECC">
      <w:pPr>
        <w:spacing w:before="240" w:after="240" w:line="360" w:lineRule="auto"/>
        <w:jc w:val="both"/>
        <w:rPr>
          <w:rFonts w:ascii="Arial" w:hAnsi="Arial" w:cs="Arial"/>
        </w:rPr>
      </w:pPr>
      <w:r>
        <w:rPr>
          <w:rFonts w:ascii="Arial" w:hAnsi="Arial" w:cs="Arial"/>
        </w:rPr>
        <w:lastRenderedPageBreak/>
        <w:t xml:space="preserve">A grandes rasgos, la figura de </w:t>
      </w:r>
      <w:r w:rsidR="007426D4">
        <w:rPr>
          <w:rFonts w:ascii="Arial" w:hAnsi="Arial" w:cs="Arial"/>
        </w:rPr>
        <w:t xml:space="preserve">la </w:t>
      </w:r>
      <w:r>
        <w:rPr>
          <w:rFonts w:ascii="Arial" w:hAnsi="Arial" w:cs="Arial"/>
        </w:rPr>
        <w:t xml:space="preserve">diputación migrante consiste en que habrá una curul reservada para que sea ocupada por una ciudadana de la Ciudad de México que resida en el extranjero </w:t>
      </w:r>
      <w:r w:rsidRPr="00E043F5">
        <w:rPr>
          <w:rFonts w:ascii="Arial" w:hAnsi="Arial" w:cs="Arial"/>
        </w:rPr>
        <w:t>y que únicamente podrá ser elegida por ciudadanas y ciudadanos que, igualmente, resid</w:t>
      </w:r>
      <w:r w:rsidR="00A35E36">
        <w:rPr>
          <w:rFonts w:ascii="Arial" w:hAnsi="Arial" w:cs="Arial"/>
        </w:rPr>
        <w:t>a</w:t>
      </w:r>
      <w:r w:rsidRPr="00E043F5">
        <w:rPr>
          <w:rFonts w:ascii="Arial" w:hAnsi="Arial" w:cs="Arial"/>
        </w:rPr>
        <w:t>n en el extranjero.</w:t>
      </w:r>
      <w:r>
        <w:rPr>
          <w:rFonts w:ascii="Arial" w:hAnsi="Arial" w:cs="Arial"/>
        </w:rPr>
        <w:t xml:space="preserve"> </w:t>
      </w:r>
    </w:p>
    <w:p w14:paraId="5741FB6D" w14:textId="77777777" w:rsidR="005A0ECC" w:rsidRDefault="005A0ECC" w:rsidP="005A0ECC">
      <w:pPr>
        <w:spacing w:before="240" w:after="240" w:line="360" w:lineRule="auto"/>
        <w:jc w:val="both"/>
        <w:rPr>
          <w:rFonts w:ascii="Arial" w:hAnsi="Arial" w:cs="Arial"/>
        </w:rPr>
      </w:pPr>
      <w:r>
        <w:rPr>
          <w:rFonts w:ascii="Arial" w:hAnsi="Arial" w:cs="Arial"/>
        </w:rPr>
        <w:t xml:space="preserve">Si bien se </w:t>
      </w:r>
      <w:r w:rsidR="004868F3">
        <w:rPr>
          <w:rFonts w:ascii="Arial" w:hAnsi="Arial" w:cs="Arial"/>
        </w:rPr>
        <w:t>puede considerar</w:t>
      </w:r>
      <w:r>
        <w:rPr>
          <w:rFonts w:ascii="Arial" w:hAnsi="Arial" w:cs="Arial"/>
        </w:rPr>
        <w:t xml:space="preserve"> que esta figura es una expansión del derecho político a ser votad</w:t>
      </w:r>
      <w:r w:rsidR="00A35E36">
        <w:rPr>
          <w:rFonts w:ascii="Arial" w:hAnsi="Arial" w:cs="Arial"/>
        </w:rPr>
        <w:t>o</w:t>
      </w:r>
      <w:r>
        <w:rPr>
          <w:rFonts w:ascii="Arial" w:hAnsi="Arial" w:cs="Arial"/>
        </w:rPr>
        <w:t xml:space="preserve">, lo cierto es que tiene una dimensión más allá de la esfera individual de derechos y libertades fundamentales, que es esencial para el análisis que esta Sala Superior debe abordar. </w:t>
      </w:r>
    </w:p>
    <w:p w14:paraId="19576E53" w14:textId="77777777" w:rsidR="005A0ECC" w:rsidRDefault="005A0ECC" w:rsidP="005A0ECC">
      <w:pPr>
        <w:spacing w:before="240" w:after="240" w:line="360" w:lineRule="auto"/>
        <w:jc w:val="both"/>
        <w:rPr>
          <w:rFonts w:ascii="Arial" w:hAnsi="Arial" w:cs="Arial"/>
        </w:rPr>
      </w:pPr>
      <w:r>
        <w:rPr>
          <w:rFonts w:ascii="Arial" w:hAnsi="Arial" w:cs="Arial"/>
        </w:rPr>
        <w:t xml:space="preserve">Concretamente, la figura de la diputación migrante se debe considerar como una manifestación de la Ciudad de México para mantener o, en su caso, fortalecer, un vínculo con su diáspora en el extranjero. Es así </w:t>
      </w:r>
      <w:r w:rsidR="00EF5606">
        <w:rPr>
          <w:rFonts w:ascii="Arial" w:hAnsi="Arial" w:cs="Arial"/>
        </w:rPr>
        <w:t>como</w:t>
      </w:r>
      <w:r>
        <w:rPr>
          <w:rFonts w:ascii="Arial" w:hAnsi="Arial" w:cs="Arial"/>
        </w:rPr>
        <w:t xml:space="preserve"> estamos frente a un derecho </w:t>
      </w:r>
      <w:r w:rsidR="006D18E3">
        <w:rPr>
          <w:rFonts w:ascii="Arial" w:hAnsi="Arial" w:cs="Arial"/>
        </w:rPr>
        <w:t xml:space="preserve">humano </w:t>
      </w:r>
      <w:r>
        <w:rPr>
          <w:rFonts w:ascii="Arial" w:hAnsi="Arial" w:cs="Arial"/>
        </w:rPr>
        <w:t xml:space="preserve">especial en función de </w:t>
      </w:r>
      <w:r w:rsidR="00CC7435">
        <w:rPr>
          <w:rFonts w:ascii="Arial" w:hAnsi="Arial" w:cs="Arial"/>
        </w:rPr>
        <w:t xml:space="preserve">un </w:t>
      </w:r>
      <w:r>
        <w:rPr>
          <w:rFonts w:ascii="Arial" w:hAnsi="Arial" w:cs="Arial"/>
        </w:rPr>
        <w:t>grupo</w:t>
      </w:r>
      <w:r w:rsidR="00D01741">
        <w:rPr>
          <w:rFonts w:ascii="Arial" w:hAnsi="Arial" w:cs="Arial"/>
        </w:rPr>
        <w:t xml:space="preserve"> que se identifica como</w:t>
      </w:r>
      <w:r w:rsidR="002D3101">
        <w:rPr>
          <w:rFonts w:ascii="Arial" w:hAnsi="Arial" w:cs="Arial"/>
        </w:rPr>
        <w:t xml:space="preserve"> ciudadanas y ciudadanos mexicanos </w:t>
      </w:r>
      <w:r w:rsidR="00D01741">
        <w:rPr>
          <w:rFonts w:ascii="Arial" w:hAnsi="Arial" w:cs="Arial"/>
        </w:rPr>
        <w:t xml:space="preserve">en el extranjero o, como se ha identificado por la literatura especializada, como una diáspora. </w:t>
      </w:r>
    </w:p>
    <w:p w14:paraId="4A3024F1" w14:textId="77777777" w:rsidR="005A0ECC" w:rsidRPr="006215A7" w:rsidRDefault="006215A7" w:rsidP="006215A7">
      <w:pPr>
        <w:pStyle w:val="Ttulo1"/>
        <w:spacing w:before="240" w:beforeAutospacing="0" w:after="240" w:afterAutospacing="0"/>
        <w:ind w:left="567"/>
        <w:jc w:val="both"/>
        <w:rPr>
          <w:rFonts w:ascii="Arial Negrita" w:eastAsiaTheme="minorHAnsi" w:hAnsi="Arial Negrita" w:cs="Arial"/>
          <w:caps w:val="0"/>
          <w:szCs w:val="24"/>
        </w:rPr>
      </w:pPr>
      <w:bookmarkStart w:id="20" w:name="_Toc48404878"/>
      <w:r>
        <w:rPr>
          <w:rFonts w:ascii="Arial Negrita" w:eastAsiaTheme="minorHAnsi" w:hAnsi="Arial Negrita" w:cs="Arial"/>
          <w:caps w:val="0"/>
          <w:szCs w:val="24"/>
        </w:rPr>
        <w:t xml:space="preserve">b. </w:t>
      </w:r>
      <w:r w:rsidR="005A0ECC" w:rsidRPr="006215A7">
        <w:rPr>
          <w:rFonts w:ascii="Arial Negrita" w:eastAsiaTheme="minorHAnsi" w:hAnsi="Arial Negrita" w:cs="Arial"/>
          <w:caps w:val="0"/>
          <w:szCs w:val="24"/>
        </w:rPr>
        <w:t>La diputación migrante como un derecho especial en función del grupo</w:t>
      </w:r>
      <w:bookmarkEnd w:id="20"/>
    </w:p>
    <w:p w14:paraId="340613A2" w14:textId="77777777" w:rsidR="005A0ECC" w:rsidRDefault="005A0ECC" w:rsidP="005A0ECC">
      <w:pPr>
        <w:spacing w:before="240" w:after="240" w:line="360" w:lineRule="auto"/>
        <w:jc w:val="both"/>
        <w:rPr>
          <w:rFonts w:ascii="Arial" w:hAnsi="Arial" w:cs="Arial"/>
        </w:rPr>
      </w:pPr>
      <w:r>
        <w:rPr>
          <w:rFonts w:ascii="Arial" w:hAnsi="Arial" w:cs="Arial"/>
        </w:rPr>
        <w:t xml:space="preserve">En la literatura </w:t>
      </w:r>
      <w:r w:rsidR="00CC5F30">
        <w:rPr>
          <w:rFonts w:ascii="Arial" w:hAnsi="Arial" w:cs="Arial"/>
        </w:rPr>
        <w:t xml:space="preserve">sobre </w:t>
      </w:r>
      <w:r>
        <w:rPr>
          <w:rFonts w:ascii="Arial" w:hAnsi="Arial" w:cs="Arial"/>
        </w:rPr>
        <w:t xml:space="preserve">el multiculturalismo, los derechos especiales en función de un grupo se han entendido como una herramienta por medio de la cual un </w:t>
      </w:r>
      <w:r w:rsidR="00A35E36">
        <w:rPr>
          <w:rFonts w:ascii="Arial" w:hAnsi="Arial" w:cs="Arial"/>
        </w:rPr>
        <w:t>E</w:t>
      </w:r>
      <w:r>
        <w:rPr>
          <w:rFonts w:ascii="Arial" w:hAnsi="Arial" w:cs="Arial"/>
        </w:rPr>
        <w:t xml:space="preserve">stado que pretende reconocer a sus diferentes grupos culturales y </w:t>
      </w:r>
      <w:r w:rsidR="0089749F">
        <w:rPr>
          <w:rFonts w:ascii="Arial" w:hAnsi="Arial" w:cs="Arial"/>
        </w:rPr>
        <w:t>minoritarios</w:t>
      </w:r>
      <w:r>
        <w:rPr>
          <w:rFonts w:ascii="Arial" w:hAnsi="Arial" w:cs="Arial"/>
        </w:rPr>
        <w:t xml:space="preserve"> </w:t>
      </w:r>
      <w:r w:rsidR="009F6E8A">
        <w:rPr>
          <w:rFonts w:ascii="Arial" w:hAnsi="Arial" w:cs="Arial"/>
        </w:rPr>
        <w:t>desarrolla una política de reco</w:t>
      </w:r>
      <w:r w:rsidR="00D763F0">
        <w:rPr>
          <w:rFonts w:ascii="Arial" w:hAnsi="Arial" w:cs="Arial"/>
        </w:rPr>
        <w:t>nocimiento de</w:t>
      </w:r>
      <w:r>
        <w:rPr>
          <w:rFonts w:ascii="Arial" w:hAnsi="Arial" w:cs="Arial"/>
        </w:rPr>
        <w:t xml:space="preserve"> ciertos derechos, políticas o arreglos institucionales, a fin de reconocer esos grupos y a sus diferencias culturales. </w:t>
      </w:r>
    </w:p>
    <w:p w14:paraId="682BFEC6" w14:textId="77777777" w:rsidR="005A0ECC" w:rsidRDefault="005A0ECC" w:rsidP="005A0ECC">
      <w:pPr>
        <w:spacing w:before="240" w:after="240" w:line="360" w:lineRule="auto"/>
        <w:jc w:val="both"/>
        <w:rPr>
          <w:rFonts w:ascii="Arial" w:hAnsi="Arial" w:cs="Arial"/>
        </w:rPr>
      </w:pPr>
      <w:r>
        <w:rPr>
          <w:rFonts w:ascii="Arial" w:hAnsi="Arial" w:cs="Arial"/>
        </w:rPr>
        <w:t xml:space="preserve">Los derechos especiales en función de grupo son, por lo tanto, derechos adicionales a todos los derechos civiles y políticos que un </w:t>
      </w:r>
      <w:r w:rsidR="00A35E36">
        <w:rPr>
          <w:rFonts w:ascii="Arial" w:hAnsi="Arial" w:cs="Arial"/>
        </w:rPr>
        <w:t>E</w:t>
      </w:r>
      <w:r>
        <w:rPr>
          <w:rFonts w:ascii="Arial" w:hAnsi="Arial" w:cs="Arial"/>
        </w:rPr>
        <w:t xml:space="preserve">stado reconoce </w:t>
      </w:r>
      <w:r>
        <w:rPr>
          <w:rFonts w:ascii="Arial" w:hAnsi="Arial" w:cs="Arial"/>
        </w:rPr>
        <w:lastRenderedPageBreak/>
        <w:t xml:space="preserve">a todas las personas y un </w:t>
      </w:r>
      <w:r w:rsidR="00A35E36">
        <w:rPr>
          <w:rFonts w:ascii="Arial" w:hAnsi="Arial" w:cs="Arial"/>
        </w:rPr>
        <w:t>E</w:t>
      </w:r>
      <w:r>
        <w:rPr>
          <w:rFonts w:ascii="Arial" w:hAnsi="Arial" w:cs="Arial"/>
        </w:rPr>
        <w:t>stado que los implementa es uno que se ha alineado con los principios multiculturales</w:t>
      </w:r>
      <w:r>
        <w:rPr>
          <w:rStyle w:val="Refdenotaalpie"/>
          <w:rFonts w:ascii="Arial" w:hAnsi="Arial" w:cs="Arial"/>
        </w:rPr>
        <w:footnoteReference w:id="22"/>
      </w:r>
      <w:r>
        <w:rPr>
          <w:rFonts w:ascii="Arial" w:hAnsi="Arial" w:cs="Arial"/>
        </w:rPr>
        <w:t xml:space="preserve">. </w:t>
      </w:r>
    </w:p>
    <w:p w14:paraId="7AD9D25C" w14:textId="77777777" w:rsidR="005A0ECC" w:rsidRDefault="005A0ECC" w:rsidP="005A0ECC">
      <w:pPr>
        <w:spacing w:before="240" w:after="240" w:line="360" w:lineRule="auto"/>
        <w:jc w:val="both"/>
        <w:rPr>
          <w:rFonts w:ascii="Arial" w:hAnsi="Arial" w:cs="Arial"/>
        </w:rPr>
      </w:pPr>
      <w:r>
        <w:rPr>
          <w:rFonts w:ascii="Arial" w:hAnsi="Arial" w:cs="Arial"/>
        </w:rPr>
        <w:t xml:space="preserve">En pocas palabras, un </w:t>
      </w:r>
      <w:r w:rsidR="00A35E36">
        <w:rPr>
          <w:rFonts w:ascii="Arial" w:hAnsi="Arial" w:cs="Arial"/>
        </w:rPr>
        <w:t>E</w:t>
      </w:r>
      <w:r>
        <w:rPr>
          <w:rFonts w:ascii="Arial" w:hAnsi="Arial" w:cs="Arial"/>
        </w:rPr>
        <w:t>stado multicultural es aquel que sostiene tres premisas básicas. La primera, es que reconoce que existe una diversidad cultural en su interior y no una cultura o un grupo cultural homogéneo. Por ello</w:t>
      </w:r>
      <w:r w:rsidR="00A35E36">
        <w:rPr>
          <w:rFonts w:ascii="Arial" w:hAnsi="Arial" w:cs="Arial"/>
        </w:rPr>
        <w:t xml:space="preserve"> </w:t>
      </w:r>
      <w:r>
        <w:rPr>
          <w:rFonts w:ascii="Arial" w:hAnsi="Arial" w:cs="Arial"/>
        </w:rPr>
        <w:t xml:space="preserve">rechaza el modelo de neutralidad etnocultural. </w:t>
      </w:r>
    </w:p>
    <w:p w14:paraId="11680ADC" w14:textId="77777777" w:rsidR="005A0ECC" w:rsidRDefault="005A0ECC" w:rsidP="005A0ECC">
      <w:pPr>
        <w:spacing w:before="240" w:after="240" w:line="360" w:lineRule="auto"/>
        <w:jc w:val="both"/>
        <w:rPr>
          <w:rFonts w:ascii="Arial" w:hAnsi="Arial" w:cs="Arial"/>
        </w:rPr>
      </w:pPr>
      <w:r>
        <w:rPr>
          <w:rFonts w:ascii="Arial" w:hAnsi="Arial" w:cs="Arial"/>
        </w:rPr>
        <w:t>En segundo lugar, rechaza una idea asimilacionista de la diferencia. Es decir, se aparta de la noción de que existe un Estado-Nación y, por lo tanto, del proyecto de construcción nacional (</w:t>
      </w:r>
      <w:r w:rsidRPr="00DF198F">
        <w:rPr>
          <w:rFonts w:ascii="Arial" w:hAnsi="Arial" w:cs="Arial"/>
          <w:i/>
          <w:lang w:val="es-MX"/>
        </w:rPr>
        <w:t>nation building project</w:t>
      </w:r>
      <w:r>
        <w:rPr>
          <w:rFonts w:ascii="Arial" w:hAnsi="Arial" w:cs="Arial"/>
        </w:rPr>
        <w:t>) que se basaba en generar una identidad cultural única. Es decir, reconoce que hay distintas formas de identificarse con y</w:t>
      </w:r>
      <w:r w:rsidR="00A35E36">
        <w:rPr>
          <w:rFonts w:ascii="Arial" w:hAnsi="Arial" w:cs="Arial"/>
        </w:rPr>
        <w:t>,</w:t>
      </w:r>
      <w:r>
        <w:rPr>
          <w:rFonts w:ascii="Arial" w:hAnsi="Arial" w:cs="Arial"/>
        </w:rPr>
        <w:t xml:space="preserve"> de pertenecer a, un Estado. </w:t>
      </w:r>
    </w:p>
    <w:p w14:paraId="5F756214" w14:textId="77777777" w:rsidR="005A0ECC" w:rsidRDefault="005A0ECC" w:rsidP="005A0ECC">
      <w:pPr>
        <w:spacing w:before="240" w:after="240" w:line="360" w:lineRule="auto"/>
        <w:jc w:val="both"/>
        <w:rPr>
          <w:rFonts w:ascii="Arial" w:hAnsi="Arial" w:cs="Arial"/>
        </w:rPr>
      </w:pPr>
      <w:r>
        <w:rPr>
          <w:rFonts w:ascii="Arial" w:hAnsi="Arial" w:cs="Arial"/>
        </w:rPr>
        <w:t xml:space="preserve">Finalmente, reconoce que estos grupos minoritarios han experimentado discriminación, opresión y exclusión por parte de la cultura mayoritaria, ya que las instituciones y, en general, el Estado, se construyeron bajo una idea de que existía una cultura única. Es decir, se reconoce la desventaja que han enfrentado estos grupos minoritarios y, más aun, se adopta una voluntad de querer remediar esta situación. De ahí que se adopten políticas diferenciadas, tales como los derechos especiales en función del grupo. </w:t>
      </w:r>
    </w:p>
    <w:p w14:paraId="35407009" w14:textId="77777777" w:rsidR="005A0ECC" w:rsidRDefault="005A0ECC" w:rsidP="005A0ECC">
      <w:pPr>
        <w:spacing w:before="240" w:after="240" w:line="360" w:lineRule="auto"/>
        <w:jc w:val="both"/>
        <w:rPr>
          <w:rFonts w:ascii="Arial" w:hAnsi="Arial" w:cs="Arial"/>
        </w:rPr>
      </w:pPr>
      <w:r>
        <w:rPr>
          <w:rFonts w:ascii="Arial" w:hAnsi="Arial" w:cs="Arial"/>
        </w:rPr>
        <w:t xml:space="preserve">El enfoque del multiculturalismo suele ser al interior del Estado. Es decir, tiene como objetivo hacer arreglos institucionales a fin de reconocer las diferencias de los grupos minoritarios que habitan en su interior y, con ello, lograr una igualdad entre los distintos grupos culturales y una relación equitativa entre el </w:t>
      </w:r>
      <w:r w:rsidR="00A35E36">
        <w:rPr>
          <w:rFonts w:ascii="Arial" w:hAnsi="Arial" w:cs="Arial"/>
        </w:rPr>
        <w:t>E</w:t>
      </w:r>
      <w:r>
        <w:rPr>
          <w:rFonts w:ascii="Arial" w:hAnsi="Arial" w:cs="Arial"/>
        </w:rPr>
        <w:t>stado y cada uno de esos grupos.</w:t>
      </w:r>
    </w:p>
    <w:p w14:paraId="0416C9C9" w14:textId="77777777" w:rsidR="005A0ECC" w:rsidRDefault="005A0ECC" w:rsidP="005A0ECC">
      <w:pPr>
        <w:spacing w:before="240" w:after="240" w:line="360" w:lineRule="auto"/>
        <w:jc w:val="both"/>
        <w:rPr>
          <w:rFonts w:ascii="Arial" w:hAnsi="Arial" w:cs="Arial"/>
        </w:rPr>
      </w:pPr>
      <w:r>
        <w:rPr>
          <w:rFonts w:ascii="Arial" w:hAnsi="Arial" w:cs="Arial"/>
        </w:rPr>
        <w:lastRenderedPageBreak/>
        <w:t>Sin embargo, estas premisas también pueden extenderse para el caso de las diásporas por dos principales motivos</w:t>
      </w:r>
      <w:r w:rsidR="00A35E36">
        <w:rPr>
          <w:rFonts w:ascii="Arial" w:hAnsi="Arial" w:cs="Arial"/>
        </w:rPr>
        <w:t xml:space="preserve"> que se explican a continuación</w:t>
      </w:r>
      <w:r>
        <w:rPr>
          <w:rFonts w:ascii="Arial" w:hAnsi="Arial" w:cs="Arial"/>
        </w:rPr>
        <w:t xml:space="preserve">. </w:t>
      </w:r>
    </w:p>
    <w:p w14:paraId="7947E68D" w14:textId="77777777" w:rsidR="005A0ECC" w:rsidRDefault="005A0ECC" w:rsidP="005A0ECC">
      <w:pPr>
        <w:spacing w:before="240" w:after="240" w:line="360" w:lineRule="auto"/>
        <w:jc w:val="both"/>
        <w:rPr>
          <w:rFonts w:ascii="Arial" w:hAnsi="Arial" w:cs="Arial"/>
        </w:rPr>
      </w:pPr>
      <w:r>
        <w:rPr>
          <w:rFonts w:ascii="Arial" w:hAnsi="Arial" w:cs="Arial"/>
        </w:rPr>
        <w:t xml:space="preserve">El primero, porque un </w:t>
      </w:r>
      <w:r w:rsidR="00A35E36">
        <w:rPr>
          <w:rFonts w:ascii="Arial" w:hAnsi="Arial" w:cs="Arial"/>
        </w:rPr>
        <w:t>E</w:t>
      </w:r>
      <w:r>
        <w:rPr>
          <w:rFonts w:ascii="Arial" w:hAnsi="Arial" w:cs="Arial"/>
        </w:rPr>
        <w:t xml:space="preserve">stado que se alinea a los principios multiculturales es </w:t>
      </w:r>
      <w:r w:rsidR="00A35E36">
        <w:rPr>
          <w:rFonts w:ascii="Arial" w:hAnsi="Arial" w:cs="Arial"/>
        </w:rPr>
        <w:t xml:space="preserve">uno </w:t>
      </w:r>
      <w:r>
        <w:rPr>
          <w:rFonts w:ascii="Arial" w:hAnsi="Arial" w:cs="Arial"/>
        </w:rPr>
        <w:t xml:space="preserve">que, </w:t>
      </w:r>
      <w:r w:rsidR="00A35E36">
        <w:rPr>
          <w:rFonts w:ascii="Arial" w:hAnsi="Arial" w:cs="Arial"/>
        </w:rPr>
        <w:t xml:space="preserve">de </w:t>
      </w:r>
      <w:r>
        <w:rPr>
          <w:rFonts w:ascii="Arial" w:hAnsi="Arial" w:cs="Arial"/>
        </w:rPr>
        <w:t xml:space="preserve">entre otras cuestiones, ha aceptado y reconocido que existen muchas formas </w:t>
      </w:r>
      <w:r w:rsidR="00A35E36">
        <w:rPr>
          <w:rFonts w:ascii="Arial" w:hAnsi="Arial" w:cs="Arial"/>
        </w:rPr>
        <w:t>para que las personas se</w:t>
      </w:r>
      <w:r>
        <w:rPr>
          <w:rFonts w:ascii="Arial" w:hAnsi="Arial" w:cs="Arial"/>
        </w:rPr>
        <w:t xml:space="preserve"> identifi</w:t>
      </w:r>
      <w:r w:rsidR="00A35E36">
        <w:rPr>
          <w:rFonts w:ascii="Arial" w:hAnsi="Arial" w:cs="Arial"/>
        </w:rPr>
        <w:t>quen</w:t>
      </w:r>
      <w:r>
        <w:rPr>
          <w:rFonts w:ascii="Arial" w:hAnsi="Arial" w:cs="Arial"/>
        </w:rPr>
        <w:t xml:space="preserve"> como </w:t>
      </w:r>
      <w:r w:rsidR="00A35E36">
        <w:rPr>
          <w:rFonts w:ascii="Arial" w:hAnsi="Arial" w:cs="Arial"/>
        </w:rPr>
        <w:t>parte de él</w:t>
      </w:r>
      <w:r>
        <w:rPr>
          <w:rFonts w:ascii="Arial" w:hAnsi="Arial" w:cs="Arial"/>
        </w:rPr>
        <w:t xml:space="preserve">. </w:t>
      </w:r>
    </w:p>
    <w:p w14:paraId="5664BAD0" w14:textId="77777777" w:rsidR="005A0ECC" w:rsidRDefault="005A0ECC" w:rsidP="005A0ECC">
      <w:pPr>
        <w:spacing w:before="240" w:after="240" w:line="360" w:lineRule="auto"/>
        <w:jc w:val="both"/>
        <w:rPr>
          <w:rFonts w:ascii="Arial" w:hAnsi="Arial" w:cs="Arial"/>
        </w:rPr>
      </w:pPr>
      <w:r>
        <w:rPr>
          <w:rFonts w:ascii="Arial" w:hAnsi="Arial" w:cs="Arial"/>
        </w:rPr>
        <w:t>Es decir, hay muchas formas de sentirse e identificarse como mexican</w:t>
      </w:r>
      <w:r w:rsidR="00A35E36">
        <w:rPr>
          <w:rFonts w:ascii="Arial" w:hAnsi="Arial" w:cs="Arial"/>
        </w:rPr>
        <w:t>a o mexicano</w:t>
      </w:r>
      <w:r>
        <w:rPr>
          <w:rFonts w:ascii="Arial" w:hAnsi="Arial" w:cs="Arial"/>
        </w:rPr>
        <w:t xml:space="preserve">, y una de esas formas es, precisamente, </w:t>
      </w:r>
      <w:r w:rsidR="00A35E36">
        <w:rPr>
          <w:rFonts w:ascii="Arial" w:hAnsi="Arial" w:cs="Arial"/>
        </w:rPr>
        <w:t xml:space="preserve">la que se </w:t>
      </w:r>
      <w:r w:rsidR="00650434">
        <w:rPr>
          <w:rFonts w:ascii="Arial" w:hAnsi="Arial" w:cs="Arial"/>
        </w:rPr>
        <w:t>refiere</w:t>
      </w:r>
      <w:r w:rsidR="00A35E36">
        <w:rPr>
          <w:rFonts w:ascii="Arial" w:hAnsi="Arial" w:cs="Arial"/>
        </w:rPr>
        <w:t xml:space="preserve"> a </w:t>
      </w:r>
      <w:r w:rsidR="00650434">
        <w:rPr>
          <w:rFonts w:ascii="Arial" w:hAnsi="Arial" w:cs="Arial"/>
        </w:rPr>
        <w:t>aquellas</w:t>
      </w:r>
      <w:r>
        <w:rPr>
          <w:rFonts w:ascii="Arial" w:hAnsi="Arial" w:cs="Arial"/>
        </w:rPr>
        <w:t xml:space="preserve"> personas que </w:t>
      </w:r>
      <w:r w:rsidRPr="00C374C5">
        <w:rPr>
          <w:rFonts w:ascii="Arial" w:hAnsi="Arial" w:cs="Arial"/>
          <w:b/>
          <w:i/>
        </w:rPr>
        <w:t>i)</w:t>
      </w:r>
      <w:r>
        <w:rPr>
          <w:rFonts w:ascii="Arial" w:hAnsi="Arial" w:cs="Arial"/>
        </w:rPr>
        <w:t xml:space="preserve"> directamente emigraron de México para asentarse en otro país, pero que siguen conservando su vínculo identitario con México, o </w:t>
      </w:r>
      <w:r w:rsidRPr="00C374C5">
        <w:rPr>
          <w:rFonts w:ascii="Arial" w:hAnsi="Arial" w:cs="Arial"/>
          <w:b/>
          <w:i/>
        </w:rPr>
        <w:t>ii)</w:t>
      </w:r>
      <w:r>
        <w:rPr>
          <w:rFonts w:ascii="Arial" w:hAnsi="Arial" w:cs="Arial"/>
        </w:rPr>
        <w:t xml:space="preserve"> que descienden de gente que emigró de México y que han heredado la identidad mexicana. O sea, es gente que no nació en México y que, quizá, no tenga la nacionalidad mexicana, pero que se le ha transmitido la identidad mexicana y, por tanto, así se identifica. </w:t>
      </w:r>
    </w:p>
    <w:p w14:paraId="715FA6AF" w14:textId="77777777" w:rsidR="005A0ECC" w:rsidRDefault="005A0ECC" w:rsidP="005A0ECC">
      <w:pPr>
        <w:spacing w:before="240" w:after="240" w:line="360" w:lineRule="auto"/>
        <w:jc w:val="both"/>
        <w:rPr>
          <w:rFonts w:ascii="Arial" w:hAnsi="Arial" w:cs="Arial"/>
        </w:rPr>
      </w:pPr>
      <w:r>
        <w:rPr>
          <w:rFonts w:ascii="Arial" w:hAnsi="Arial" w:cs="Arial"/>
        </w:rPr>
        <w:t xml:space="preserve">De ahí que el reconocimiento de estos grupos como integrantes de la Ciudad de México se entiende mejor cuando </w:t>
      </w:r>
      <w:r w:rsidR="002854B0">
        <w:rPr>
          <w:rFonts w:ascii="Arial" w:hAnsi="Arial" w:cs="Arial"/>
        </w:rPr>
        <w:t xml:space="preserve">este órgano jurisdiccional </w:t>
      </w:r>
      <w:r w:rsidR="0010107B">
        <w:rPr>
          <w:rFonts w:ascii="Arial" w:hAnsi="Arial" w:cs="Arial"/>
        </w:rPr>
        <w:t>federal resuelve el presente litigio a la luz</w:t>
      </w:r>
      <w:r>
        <w:rPr>
          <w:rFonts w:ascii="Arial" w:hAnsi="Arial" w:cs="Arial"/>
        </w:rPr>
        <w:t xml:space="preserve"> de los principios del multiculturalismo que han sido adoptados tanto por la propia Ciudad de México, como por el estado mexicano</w:t>
      </w:r>
      <w:r w:rsidR="00A35E36">
        <w:rPr>
          <w:rFonts w:ascii="Arial" w:hAnsi="Arial" w:cs="Arial"/>
        </w:rPr>
        <w:t>,</w:t>
      </w:r>
      <w:r w:rsidR="008234BC">
        <w:rPr>
          <w:rFonts w:ascii="Arial" w:hAnsi="Arial" w:cs="Arial"/>
        </w:rPr>
        <w:t xml:space="preserve"> puesto que la Constitución</w:t>
      </w:r>
      <w:r w:rsidR="001D0D7B">
        <w:rPr>
          <w:rFonts w:ascii="Arial" w:hAnsi="Arial" w:cs="Arial"/>
        </w:rPr>
        <w:t>, desde su artículo 2</w:t>
      </w:r>
      <w:r w:rsidR="00A35E36">
        <w:rPr>
          <w:rFonts w:ascii="Arial" w:hAnsi="Arial" w:cs="Arial"/>
        </w:rPr>
        <w:t xml:space="preserve">. </w:t>
      </w:r>
      <w:r w:rsidR="001D0D7B">
        <w:rPr>
          <w:rFonts w:ascii="Arial" w:hAnsi="Arial" w:cs="Arial"/>
        </w:rPr>
        <w:t xml:space="preserve">º, </w:t>
      </w:r>
      <w:r w:rsidR="004D3899">
        <w:rPr>
          <w:rFonts w:ascii="Arial" w:hAnsi="Arial" w:cs="Arial"/>
        </w:rPr>
        <w:t xml:space="preserve">reconoce a la nación mexicana como una comunidad política </w:t>
      </w:r>
      <w:r w:rsidR="007514F7">
        <w:rPr>
          <w:rFonts w:ascii="Arial" w:hAnsi="Arial" w:cs="Arial"/>
        </w:rPr>
        <w:t>pluricultural</w:t>
      </w:r>
      <w:r>
        <w:rPr>
          <w:rFonts w:ascii="Arial" w:hAnsi="Arial" w:cs="Arial"/>
        </w:rPr>
        <w:t xml:space="preserve">. </w:t>
      </w:r>
    </w:p>
    <w:p w14:paraId="7D8A81B4" w14:textId="77777777" w:rsidR="005A0ECC" w:rsidRDefault="005A0ECC" w:rsidP="005A0ECC">
      <w:pPr>
        <w:spacing w:before="240" w:after="240" w:line="360" w:lineRule="auto"/>
        <w:jc w:val="both"/>
        <w:rPr>
          <w:rFonts w:ascii="Arial" w:hAnsi="Arial" w:cs="Arial"/>
        </w:rPr>
      </w:pPr>
      <w:r>
        <w:rPr>
          <w:rFonts w:ascii="Arial" w:hAnsi="Arial" w:cs="Arial"/>
        </w:rPr>
        <w:t xml:space="preserve">El segundo motivo, y una vez que se ha reconocido a estos colectivos como integrantes de la Ciudad de México a pesar de no residir en ella, ha sido una </w:t>
      </w:r>
      <w:r w:rsidRPr="00BB131B">
        <w:rPr>
          <w:rFonts w:ascii="Arial" w:hAnsi="Arial" w:cs="Arial"/>
          <w:b/>
        </w:rPr>
        <w:t>decisión política</w:t>
      </w:r>
      <w:r>
        <w:rPr>
          <w:rFonts w:ascii="Arial" w:hAnsi="Arial" w:cs="Arial"/>
        </w:rPr>
        <w:t xml:space="preserve"> </w:t>
      </w:r>
      <w:r w:rsidR="009A4841" w:rsidRPr="00D01741">
        <w:rPr>
          <w:rFonts w:ascii="Arial" w:hAnsi="Arial" w:cs="Arial"/>
          <w:b/>
        </w:rPr>
        <w:t>y jurídica</w:t>
      </w:r>
      <w:r w:rsidR="009A4841">
        <w:rPr>
          <w:rFonts w:ascii="Arial" w:hAnsi="Arial" w:cs="Arial"/>
        </w:rPr>
        <w:t xml:space="preserve"> </w:t>
      </w:r>
      <w:r>
        <w:rPr>
          <w:rFonts w:ascii="Arial" w:hAnsi="Arial" w:cs="Arial"/>
        </w:rPr>
        <w:t xml:space="preserve">el adoptar ciertos arreglos institucionales a fin de preservar e, incluso, fortalecer el vínculo con estos colectivos. </w:t>
      </w:r>
    </w:p>
    <w:p w14:paraId="459ED997" w14:textId="77777777" w:rsidR="005A0ECC" w:rsidRDefault="005A0ECC" w:rsidP="005A0ECC">
      <w:pPr>
        <w:spacing w:before="240" w:after="240" w:line="360" w:lineRule="auto"/>
        <w:jc w:val="both"/>
        <w:rPr>
          <w:rFonts w:ascii="Arial" w:hAnsi="Arial" w:cs="Arial"/>
        </w:rPr>
      </w:pPr>
      <w:r>
        <w:rPr>
          <w:rFonts w:ascii="Arial" w:hAnsi="Arial" w:cs="Arial"/>
        </w:rPr>
        <w:lastRenderedPageBreak/>
        <w:t xml:space="preserve">Para ello, se ha </w:t>
      </w:r>
      <w:r w:rsidR="00456B8F">
        <w:rPr>
          <w:rFonts w:ascii="Arial" w:hAnsi="Arial" w:cs="Arial"/>
        </w:rPr>
        <w:t>recurr</w:t>
      </w:r>
      <w:r w:rsidR="00957C48">
        <w:rPr>
          <w:rFonts w:ascii="Arial" w:hAnsi="Arial" w:cs="Arial"/>
        </w:rPr>
        <w:t xml:space="preserve">ido a </w:t>
      </w:r>
      <w:r>
        <w:rPr>
          <w:rFonts w:ascii="Arial" w:hAnsi="Arial" w:cs="Arial"/>
        </w:rPr>
        <w:t xml:space="preserve">un derecho especial de grupo que consiste en la reserva de una curul en el </w:t>
      </w:r>
      <w:r w:rsidR="00783340">
        <w:rPr>
          <w:rFonts w:ascii="Arial" w:hAnsi="Arial" w:cs="Arial"/>
        </w:rPr>
        <w:t>C</w:t>
      </w:r>
      <w:r>
        <w:rPr>
          <w:rFonts w:ascii="Arial" w:hAnsi="Arial" w:cs="Arial"/>
        </w:rPr>
        <w:t xml:space="preserve">ongreso para efectos de ser ocupada por una persona integrante de ese grupo. </w:t>
      </w:r>
    </w:p>
    <w:p w14:paraId="7A0E51CA" w14:textId="77777777" w:rsidR="005A0ECC" w:rsidRDefault="005A0ECC" w:rsidP="005A0ECC">
      <w:pPr>
        <w:spacing w:before="240" w:after="240" w:line="360" w:lineRule="auto"/>
        <w:jc w:val="both"/>
        <w:rPr>
          <w:rFonts w:ascii="Arial" w:hAnsi="Arial" w:cs="Arial"/>
        </w:rPr>
      </w:pPr>
      <w:r>
        <w:rPr>
          <w:rFonts w:ascii="Arial" w:hAnsi="Arial" w:cs="Arial"/>
        </w:rPr>
        <w:t>Precisamente la lógica de los principios multiculturales es lo que permite entender la naturaleza de la figura de la diputación migrante.</w:t>
      </w:r>
    </w:p>
    <w:p w14:paraId="1264ADB8" w14:textId="77777777" w:rsidR="005A0ECC" w:rsidRDefault="005A0ECC" w:rsidP="005A0ECC">
      <w:pPr>
        <w:spacing w:before="240" w:after="240" w:line="360" w:lineRule="auto"/>
        <w:jc w:val="both"/>
        <w:rPr>
          <w:rFonts w:ascii="Arial" w:hAnsi="Arial" w:cs="Arial"/>
        </w:rPr>
      </w:pPr>
      <w:r>
        <w:rPr>
          <w:rFonts w:ascii="Arial" w:hAnsi="Arial" w:cs="Arial"/>
        </w:rPr>
        <w:t xml:space="preserve">Como ya se precisó, en el caso que ahora se estudia estamos frente a una manifestación de la voluntad de la Ciudad de México </w:t>
      </w:r>
      <w:r w:rsidR="00783340">
        <w:rPr>
          <w:rFonts w:ascii="Arial" w:hAnsi="Arial" w:cs="Arial"/>
        </w:rPr>
        <w:t>d</w:t>
      </w:r>
      <w:r>
        <w:rPr>
          <w:rFonts w:ascii="Arial" w:hAnsi="Arial" w:cs="Arial"/>
        </w:rPr>
        <w:t xml:space="preserve">e mantener y fortalecer el vínculo que tiene con sus expatriados, concretamente, con sus diásporas. </w:t>
      </w:r>
    </w:p>
    <w:p w14:paraId="3B691EB8" w14:textId="77777777" w:rsidR="005A0ECC" w:rsidRDefault="005A0ECC" w:rsidP="005A0ECC">
      <w:pPr>
        <w:spacing w:before="240" w:after="240" w:line="360" w:lineRule="auto"/>
        <w:jc w:val="both"/>
        <w:rPr>
          <w:rFonts w:ascii="Arial" w:hAnsi="Arial" w:cs="Arial"/>
        </w:rPr>
      </w:pPr>
      <w:r>
        <w:rPr>
          <w:rFonts w:ascii="Arial" w:hAnsi="Arial" w:cs="Arial"/>
        </w:rPr>
        <w:t>Para efectos del análisis que debe llevar a cabo esta Sala Superior,</w:t>
      </w:r>
      <w:r w:rsidR="00783340">
        <w:rPr>
          <w:rFonts w:ascii="Arial" w:hAnsi="Arial" w:cs="Arial"/>
        </w:rPr>
        <w:t xml:space="preserve"> esta visión</w:t>
      </w:r>
      <w:r>
        <w:rPr>
          <w:rFonts w:ascii="Arial" w:hAnsi="Arial" w:cs="Arial"/>
        </w:rPr>
        <w:t xml:space="preserve"> resulta de fundamental importancia porque precisa a quién está destinada esta figura y, por lo tanto, delimita los efectos que tendría la decisión tomada. </w:t>
      </w:r>
    </w:p>
    <w:p w14:paraId="4ACC5F7F" w14:textId="77777777" w:rsidR="005A0ECC" w:rsidRDefault="005A0ECC" w:rsidP="005A0ECC">
      <w:pPr>
        <w:spacing w:before="240" w:after="240" w:line="360" w:lineRule="auto"/>
        <w:jc w:val="both"/>
        <w:rPr>
          <w:rFonts w:ascii="Arial" w:hAnsi="Arial" w:cs="Arial"/>
        </w:rPr>
      </w:pPr>
      <w:r>
        <w:rPr>
          <w:rFonts w:ascii="Arial" w:hAnsi="Arial" w:cs="Arial"/>
        </w:rPr>
        <w:t xml:space="preserve">Esto es, si ha sido una decisión política </w:t>
      </w:r>
      <w:r w:rsidR="00D80FD5">
        <w:rPr>
          <w:rFonts w:ascii="Arial" w:hAnsi="Arial" w:cs="Arial"/>
        </w:rPr>
        <w:t xml:space="preserve">y jurídica </w:t>
      </w:r>
      <w:r>
        <w:rPr>
          <w:rFonts w:ascii="Arial" w:hAnsi="Arial" w:cs="Arial"/>
        </w:rPr>
        <w:t xml:space="preserve">de la Ciudad de México reconocer a su diáspora como un grupo minoritario y, por lo tanto, </w:t>
      </w:r>
      <w:r w:rsidR="00783340">
        <w:rPr>
          <w:rFonts w:ascii="Arial" w:hAnsi="Arial" w:cs="Arial"/>
        </w:rPr>
        <w:t xml:space="preserve">al reconocer </w:t>
      </w:r>
      <w:r>
        <w:rPr>
          <w:rFonts w:ascii="Arial" w:hAnsi="Arial" w:cs="Arial"/>
        </w:rPr>
        <w:t>la figura de la diputación migrante, es evidente que este derecho va dirigido a un grupo</w:t>
      </w:r>
      <w:r>
        <w:rPr>
          <w:rStyle w:val="Refdenotaalpie"/>
          <w:rFonts w:ascii="Arial" w:hAnsi="Arial" w:cs="Arial"/>
        </w:rPr>
        <w:footnoteReference w:id="23"/>
      </w:r>
      <w:r>
        <w:rPr>
          <w:rFonts w:ascii="Arial" w:hAnsi="Arial" w:cs="Arial"/>
        </w:rPr>
        <w:t xml:space="preserve">. </w:t>
      </w:r>
    </w:p>
    <w:p w14:paraId="1D785F22" w14:textId="77777777" w:rsidR="005A0ECC" w:rsidRDefault="005A0ECC" w:rsidP="005A0ECC">
      <w:pPr>
        <w:spacing w:before="240" w:after="240" w:line="360" w:lineRule="auto"/>
        <w:jc w:val="both"/>
        <w:rPr>
          <w:rFonts w:ascii="Arial" w:hAnsi="Arial" w:cs="Arial"/>
        </w:rPr>
      </w:pPr>
      <w:r>
        <w:rPr>
          <w:rFonts w:ascii="Arial" w:hAnsi="Arial" w:cs="Arial"/>
        </w:rPr>
        <w:t>Ahora bien, respecto de este tipo de derechos, es trasladable</w:t>
      </w:r>
      <w:r w:rsidR="00542CE1">
        <w:rPr>
          <w:rFonts w:ascii="Arial" w:hAnsi="Arial" w:cs="Arial"/>
        </w:rPr>
        <w:t>, con sus matices,</w:t>
      </w:r>
      <w:r>
        <w:rPr>
          <w:rFonts w:ascii="Arial" w:hAnsi="Arial" w:cs="Arial"/>
        </w:rPr>
        <w:t xml:space="preserve"> el razonamiento que ha hecho esta Sala Superior respecto a cómo se debe entender y, por lo tanto, aplicar el mandato de paridad de género. </w:t>
      </w:r>
    </w:p>
    <w:p w14:paraId="2DE66695" w14:textId="77777777" w:rsidR="005A0ECC" w:rsidRDefault="005A0ECC" w:rsidP="005A0ECC">
      <w:pPr>
        <w:spacing w:before="240" w:after="240" w:line="360" w:lineRule="auto"/>
        <w:jc w:val="both"/>
        <w:rPr>
          <w:rFonts w:ascii="Arial" w:hAnsi="Arial" w:cs="Arial"/>
        </w:rPr>
      </w:pPr>
      <w:r>
        <w:rPr>
          <w:rFonts w:ascii="Arial" w:hAnsi="Arial" w:cs="Arial"/>
        </w:rPr>
        <w:t>E</w:t>
      </w:r>
      <w:r w:rsidR="00E668D9">
        <w:rPr>
          <w:rFonts w:ascii="Arial" w:hAnsi="Arial" w:cs="Arial"/>
        </w:rPr>
        <w:t>n</w:t>
      </w:r>
      <w:r>
        <w:rPr>
          <w:rFonts w:ascii="Arial" w:hAnsi="Arial" w:cs="Arial"/>
        </w:rPr>
        <w:t xml:space="preserve"> varios precedentes este </w:t>
      </w:r>
      <w:r w:rsidR="00A70A63">
        <w:rPr>
          <w:rFonts w:ascii="Arial" w:hAnsi="Arial" w:cs="Arial"/>
        </w:rPr>
        <w:t>T</w:t>
      </w:r>
      <w:r>
        <w:rPr>
          <w:rFonts w:ascii="Arial" w:hAnsi="Arial" w:cs="Arial"/>
        </w:rPr>
        <w:t xml:space="preserve">ribunal ha razonado que el mandato de paridad de género busca ofrecer condiciones equitativas para que las mujeres </w:t>
      </w:r>
      <w:r>
        <w:rPr>
          <w:rFonts w:ascii="Arial" w:hAnsi="Arial" w:cs="Arial"/>
        </w:rPr>
        <w:lastRenderedPageBreak/>
        <w:t xml:space="preserve">puedan acceder a cargos públicos. Es decir, es un derecho dirigido a las mujeres como un colectivo en desventaja. De ahí que, si bien, se materializa en una persona </w:t>
      </w:r>
      <w:r w:rsidR="00783340">
        <w:rPr>
          <w:rFonts w:ascii="Arial" w:hAnsi="Arial" w:cs="Arial"/>
        </w:rPr>
        <w:t>–</w:t>
      </w:r>
      <w:r>
        <w:rPr>
          <w:rFonts w:ascii="Arial" w:hAnsi="Arial" w:cs="Arial"/>
        </w:rPr>
        <w:t>es decir, en una mujer</w:t>
      </w:r>
      <w:r w:rsidR="00783340">
        <w:rPr>
          <w:rFonts w:ascii="Arial" w:hAnsi="Arial" w:cs="Arial"/>
        </w:rPr>
        <w:t>–</w:t>
      </w:r>
      <w:r>
        <w:rPr>
          <w:rFonts w:ascii="Arial" w:hAnsi="Arial" w:cs="Arial"/>
        </w:rPr>
        <w:t>, esto no implica que una mujer en concreto tiene un mejor derecho por ser mujer</w:t>
      </w:r>
      <w:r w:rsidRPr="004C2960">
        <w:rPr>
          <w:rStyle w:val="Refdenotaalpie"/>
          <w:rFonts w:ascii="Arial" w:hAnsi="Arial" w:cs="Arial"/>
        </w:rPr>
        <w:footnoteReference w:id="24"/>
      </w:r>
      <w:r w:rsidRPr="004C2960">
        <w:rPr>
          <w:rFonts w:ascii="Arial" w:hAnsi="Arial" w:cs="Arial"/>
        </w:rPr>
        <w:t>.</w:t>
      </w:r>
    </w:p>
    <w:p w14:paraId="7AFA23B0" w14:textId="77777777" w:rsidR="005A0ECC" w:rsidRDefault="005A0ECC" w:rsidP="005A0ECC">
      <w:pPr>
        <w:spacing w:before="240" w:after="240" w:line="360" w:lineRule="auto"/>
        <w:jc w:val="both"/>
        <w:rPr>
          <w:rFonts w:ascii="Arial" w:hAnsi="Arial" w:cs="Arial"/>
        </w:rPr>
      </w:pPr>
      <w:r>
        <w:rPr>
          <w:rFonts w:ascii="Arial" w:hAnsi="Arial" w:cs="Arial"/>
        </w:rPr>
        <w:t>Es decir que, por su naturaleza, este tipo de derechos tienen como destinatario a un grupo de personas que conforman un grupo social (ya sea vulnerable, culturalmente distinto, o ambos) y</w:t>
      </w:r>
      <w:r w:rsidR="00783340">
        <w:rPr>
          <w:rFonts w:ascii="Arial" w:hAnsi="Arial" w:cs="Arial"/>
        </w:rPr>
        <w:t>,</w:t>
      </w:r>
      <w:r>
        <w:rPr>
          <w:rFonts w:ascii="Arial" w:hAnsi="Arial" w:cs="Arial"/>
        </w:rPr>
        <w:t xml:space="preserve"> si bien</w:t>
      </w:r>
      <w:r w:rsidR="00783340">
        <w:rPr>
          <w:rFonts w:ascii="Arial" w:hAnsi="Arial" w:cs="Arial"/>
        </w:rPr>
        <w:t>,</w:t>
      </w:r>
      <w:r>
        <w:rPr>
          <w:rFonts w:ascii="Arial" w:hAnsi="Arial" w:cs="Arial"/>
        </w:rPr>
        <w:t xml:space="preserve"> es evidente que se materializa en una persona que pertenece a ese grupo, lo cierto es que no es un derecho individual, sino que es un derecho del grupo al que está dirigido. </w:t>
      </w:r>
    </w:p>
    <w:p w14:paraId="693814AA" w14:textId="77777777" w:rsidR="005A0ECC" w:rsidRDefault="005A0ECC" w:rsidP="005A0ECC">
      <w:pPr>
        <w:spacing w:before="240" w:after="240" w:line="360" w:lineRule="auto"/>
        <w:jc w:val="both"/>
        <w:rPr>
          <w:rFonts w:ascii="Arial" w:hAnsi="Arial" w:cs="Arial"/>
        </w:rPr>
      </w:pPr>
      <w:r>
        <w:rPr>
          <w:rFonts w:ascii="Arial" w:hAnsi="Arial" w:cs="Arial"/>
        </w:rPr>
        <w:t xml:space="preserve">Por esto, cualquier control de regularidad constitucional que se haga respecto de estos derechos tiene que tener en consideración, precisamente, su naturaleza y sus destinatarios, para así poder advertir el efecto que va a tener la decisión. </w:t>
      </w:r>
    </w:p>
    <w:p w14:paraId="277DB62B" w14:textId="77777777" w:rsidR="005A0ECC" w:rsidRDefault="005A0ECC" w:rsidP="005A0ECC">
      <w:pPr>
        <w:spacing w:before="240" w:after="240" w:line="360" w:lineRule="auto"/>
        <w:jc w:val="both"/>
        <w:rPr>
          <w:rFonts w:ascii="Arial" w:hAnsi="Arial" w:cs="Arial"/>
        </w:rPr>
      </w:pPr>
      <w:r>
        <w:rPr>
          <w:rFonts w:ascii="Arial" w:hAnsi="Arial" w:cs="Arial"/>
        </w:rPr>
        <w:t xml:space="preserve">Ahora bien, el estudio de la naturaleza de la diputación migrante es el marco dentro del cual este </w:t>
      </w:r>
      <w:r w:rsidR="00A70A63">
        <w:rPr>
          <w:rFonts w:ascii="Arial" w:hAnsi="Arial" w:cs="Arial"/>
        </w:rPr>
        <w:t>T</w:t>
      </w:r>
      <w:r>
        <w:rPr>
          <w:rFonts w:ascii="Arial" w:hAnsi="Arial" w:cs="Arial"/>
        </w:rPr>
        <w:t xml:space="preserve">ribunal debe llevar a cabo el análisis de los agravios planteados por la parte actora. Es decir, el análisis que debe hacer este </w:t>
      </w:r>
      <w:r w:rsidR="00A70A63">
        <w:rPr>
          <w:rFonts w:ascii="Arial" w:hAnsi="Arial" w:cs="Arial"/>
        </w:rPr>
        <w:t>T</w:t>
      </w:r>
      <w:r>
        <w:rPr>
          <w:rFonts w:ascii="Arial" w:hAnsi="Arial" w:cs="Arial"/>
        </w:rPr>
        <w:t xml:space="preserve">ribunal debe partir del reconocimiento de que nos encontramos frente a un derecho de carácter colectivo y que se enmarca en la lógica de los derechos diferenciados en función de grupo. </w:t>
      </w:r>
    </w:p>
    <w:p w14:paraId="1CC2657E" w14:textId="77777777" w:rsidR="00E80EE6" w:rsidRPr="009B4DDD" w:rsidRDefault="00E80EE6" w:rsidP="005A0ECC">
      <w:pPr>
        <w:spacing w:before="240" w:after="240" w:line="360" w:lineRule="auto"/>
        <w:jc w:val="both"/>
        <w:rPr>
          <w:rFonts w:ascii="Arial" w:hAnsi="Arial" w:cs="Arial"/>
        </w:rPr>
      </w:pPr>
      <w:r>
        <w:rPr>
          <w:rFonts w:ascii="Arial" w:hAnsi="Arial" w:cs="Arial"/>
        </w:rPr>
        <w:t xml:space="preserve">Es bajo esta lógica que, como se explicará a continuación, esta Sala Superior </w:t>
      </w:r>
      <w:r w:rsidR="00AE1A19">
        <w:rPr>
          <w:rFonts w:ascii="Arial" w:hAnsi="Arial" w:cs="Arial"/>
        </w:rPr>
        <w:t>analizará la posibilidad de revisar</w:t>
      </w:r>
      <w:r>
        <w:rPr>
          <w:rFonts w:ascii="Arial" w:hAnsi="Arial" w:cs="Arial"/>
        </w:rPr>
        <w:t xml:space="preserve"> la validez constitucional de la supresión de la diputación migrante. </w:t>
      </w:r>
    </w:p>
    <w:p w14:paraId="68BC4C64" w14:textId="77777777" w:rsidR="005A0ECC" w:rsidRPr="006215A7" w:rsidRDefault="00513F43" w:rsidP="006215A7">
      <w:pPr>
        <w:pStyle w:val="Ttulo1"/>
        <w:spacing w:before="240" w:beforeAutospacing="0" w:after="240" w:afterAutospacing="0"/>
        <w:jc w:val="both"/>
        <w:rPr>
          <w:rFonts w:ascii="Arial Negrita" w:eastAsiaTheme="minorHAnsi" w:hAnsi="Arial Negrita" w:cs="Arial"/>
          <w:caps w:val="0"/>
          <w:szCs w:val="24"/>
        </w:rPr>
      </w:pPr>
      <w:bookmarkStart w:id="21" w:name="_Toc48404879"/>
      <w:r w:rsidRPr="006215A7">
        <w:rPr>
          <w:rFonts w:ascii="Arial Negrita" w:eastAsiaTheme="minorHAnsi" w:hAnsi="Arial Negrita" w:cs="Arial"/>
          <w:caps w:val="0"/>
          <w:szCs w:val="24"/>
        </w:rPr>
        <w:lastRenderedPageBreak/>
        <w:t>5.</w:t>
      </w:r>
      <w:r w:rsidR="001E063E" w:rsidRPr="006215A7">
        <w:rPr>
          <w:rFonts w:ascii="Arial Negrita" w:eastAsiaTheme="minorHAnsi" w:hAnsi="Arial Negrita" w:cs="Arial"/>
          <w:caps w:val="0"/>
          <w:szCs w:val="24"/>
        </w:rPr>
        <w:t>3</w:t>
      </w:r>
      <w:r w:rsidRPr="006215A7">
        <w:rPr>
          <w:rFonts w:ascii="Arial Negrita" w:eastAsiaTheme="minorHAnsi" w:hAnsi="Arial Negrita" w:cs="Arial"/>
          <w:caps w:val="0"/>
          <w:szCs w:val="24"/>
        </w:rPr>
        <w:t>.</w:t>
      </w:r>
      <w:r w:rsidR="00AE1A19" w:rsidRPr="006215A7">
        <w:rPr>
          <w:rFonts w:ascii="Arial Negrita" w:eastAsiaTheme="minorHAnsi" w:hAnsi="Arial Negrita" w:cs="Arial"/>
          <w:caps w:val="0"/>
          <w:szCs w:val="24"/>
        </w:rPr>
        <w:t>3</w:t>
      </w:r>
      <w:r w:rsidRPr="006215A7">
        <w:rPr>
          <w:rFonts w:ascii="Arial Negrita" w:eastAsiaTheme="minorHAnsi" w:hAnsi="Arial Negrita" w:cs="Arial"/>
          <w:caps w:val="0"/>
          <w:szCs w:val="24"/>
        </w:rPr>
        <w:t xml:space="preserve">. </w:t>
      </w:r>
      <w:r w:rsidR="00B822A4" w:rsidRPr="006215A7">
        <w:rPr>
          <w:rFonts w:ascii="Arial Negrita" w:eastAsiaTheme="minorHAnsi" w:hAnsi="Arial Negrita" w:cs="Arial"/>
          <w:caps w:val="0"/>
          <w:szCs w:val="24"/>
        </w:rPr>
        <w:t>La posibilidad de que este Tribunal revise la validez constitucional de</w:t>
      </w:r>
      <w:r w:rsidR="00AE1A19" w:rsidRPr="006215A7">
        <w:rPr>
          <w:rFonts w:ascii="Arial Negrita" w:eastAsiaTheme="minorHAnsi" w:hAnsi="Arial Negrita" w:cs="Arial"/>
          <w:caps w:val="0"/>
          <w:szCs w:val="24"/>
        </w:rPr>
        <w:t>l acto derogatorio que</w:t>
      </w:r>
      <w:r w:rsidR="00B822A4" w:rsidRPr="006215A7">
        <w:rPr>
          <w:rFonts w:ascii="Arial Negrita" w:eastAsiaTheme="minorHAnsi" w:hAnsi="Arial Negrita" w:cs="Arial"/>
          <w:caps w:val="0"/>
          <w:szCs w:val="24"/>
        </w:rPr>
        <w:t xml:space="preserve"> </w:t>
      </w:r>
      <w:r w:rsidR="00AE1A19" w:rsidRPr="006215A7">
        <w:rPr>
          <w:rFonts w:ascii="Arial Negrita" w:eastAsiaTheme="minorHAnsi" w:hAnsi="Arial Negrita" w:cs="Arial"/>
          <w:caps w:val="0"/>
          <w:szCs w:val="24"/>
        </w:rPr>
        <w:t>suprimió</w:t>
      </w:r>
      <w:r w:rsidR="00890683" w:rsidRPr="006215A7">
        <w:rPr>
          <w:rFonts w:ascii="Arial Negrita" w:eastAsiaTheme="minorHAnsi" w:hAnsi="Arial Negrita" w:cs="Arial"/>
          <w:caps w:val="0"/>
          <w:szCs w:val="24"/>
        </w:rPr>
        <w:t xml:space="preserve"> la</w:t>
      </w:r>
      <w:r w:rsidR="00AE1A19" w:rsidRPr="006215A7">
        <w:rPr>
          <w:rFonts w:ascii="Arial Negrita" w:eastAsiaTheme="minorHAnsi" w:hAnsi="Arial Negrita" w:cs="Arial"/>
          <w:caps w:val="0"/>
          <w:szCs w:val="24"/>
        </w:rPr>
        <w:t xml:space="preserve"> figura de</w:t>
      </w:r>
      <w:r w:rsidR="00890683" w:rsidRPr="006215A7">
        <w:rPr>
          <w:rFonts w:ascii="Arial Negrita" w:eastAsiaTheme="minorHAnsi" w:hAnsi="Arial Negrita" w:cs="Arial"/>
          <w:caps w:val="0"/>
          <w:szCs w:val="24"/>
        </w:rPr>
        <w:t xml:space="preserve"> </w:t>
      </w:r>
      <w:r w:rsidR="00265004" w:rsidRPr="006215A7">
        <w:rPr>
          <w:rFonts w:ascii="Arial Negrita" w:eastAsiaTheme="minorHAnsi" w:hAnsi="Arial Negrita" w:cs="Arial"/>
          <w:caps w:val="0"/>
          <w:szCs w:val="24"/>
        </w:rPr>
        <w:t xml:space="preserve">la </w:t>
      </w:r>
      <w:r w:rsidR="00890683" w:rsidRPr="006215A7">
        <w:rPr>
          <w:rFonts w:ascii="Arial Negrita" w:eastAsiaTheme="minorHAnsi" w:hAnsi="Arial Negrita" w:cs="Arial"/>
          <w:caps w:val="0"/>
          <w:szCs w:val="24"/>
        </w:rPr>
        <w:t>diputación migrante</w:t>
      </w:r>
      <w:bookmarkEnd w:id="21"/>
    </w:p>
    <w:p w14:paraId="1ACB8C52" w14:textId="77777777" w:rsidR="00AE1A19" w:rsidRDefault="00AE1A19" w:rsidP="005A0ECC">
      <w:pPr>
        <w:spacing w:before="240" w:after="240" w:line="360" w:lineRule="auto"/>
        <w:jc w:val="both"/>
        <w:rPr>
          <w:rFonts w:ascii="Arial" w:hAnsi="Arial" w:cs="Arial"/>
        </w:rPr>
      </w:pPr>
      <w:r>
        <w:rPr>
          <w:rFonts w:ascii="Arial" w:hAnsi="Arial" w:cs="Arial"/>
        </w:rPr>
        <w:t xml:space="preserve">Este Tribunal advierte que para poder determinar si resultó válido llevar a cabo un control constitucional del decreto impugnado, hay dos problemas que se deben resolver. </w:t>
      </w:r>
    </w:p>
    <w:p w14:paraId="0DD2E029" w14:textId="77777777" w:rsidR="00AE1A19" w:rsidRDefault="00AE1A19" w:rsidP="005A0ECC">
      <w:pPr>
        <w:spacing w:before="240" w:after="240" w:line="360" w:lineRule="auto"/>
        <w:jc w:val="both"/>
        <w:rPr>
          <w:rFonts w:ascii="Arial" w:hAnsi="Arial" w:cs="Arial"/>
        </w:rPr>
      </w:pPr>
      <w:r>
        <w:rPr>
          <w:rFonts w:ascii="Arial" w:hAnsi="Arial" w:cs="Arial"/>
        </w:rPr>
        <w:t xml:space="preserve">El primero radica en determinar si es jurídicamente posible llevar a cabo un control constitucional respecto de actos derogatorios. </w:t>
      </w:r>
    </w:p>
    <w:p w14:paraId="6DEE4B79" w14:textId="77777777" w:rsidR="00AE1A19" w:rsidRDefault="00AE1A19" w:rsidP="005A0ECC">
      <w:pPr>
        <w:spacing w:before="240" w:after="240" w:line="360" w:lineRule="auto"/>
        <w:jc w:val="both"/>
        <w:rPr>
          <w:rFonts w:ascii="Arial" w:hAnsi="Arial" w:cs="Arial"/>
        </w:rPr>
      </w:pPr>
      <w:r>
        <w:rPr>
          <w:rFonts w:ascii="Arial" w:hAnsi="Arial" w:cs="Arial"/>
        </w:rPr>
        <w:t xml:space="preserve">El segundo problema radica en determinar si el tipo de control constitucional que debe ser desplegado para analizar el decreto impugnado entra dentro de las facultades de esta Sala Superior, como </w:t>
      </w:r>
      <w:r w:rsidR="00A70A63">
        <w:rPr>
          <w:rFonts w:ascii="Arial" w:hAnsi="Arial" w:cs="Arial"/>
        </w:rPr>
        <w:t>T</w:t>
      </w:r>
      <w:r>
        <w:rPr>
          <w:rFonts w:ascii="Arial" w:hAnsi="Arial" w:cs="Arial"/>
        </w:rPr>
        <w:t xml:space="preserve">ribunal constitucional de derechos políticos. A continuación, se analizan estos dos temas. </w:t>
      </w:r>
    </w:p>
    <w:p w14:paraId="69D26534" w14:textId="77777777" w:rsidR="00716335" w:rsidRPr="006215A7" w:rsidRDefault="00716335" w:rsidP="00991F83">
      <w:pPr>
        <w:pStyle w:val="Ttulo1"/>
        <w:numPr>
          <w:ilvl w:val="0"/>
          <w:numId w:val="12"/>
        </w:numPr>
        <w:spacing w:before="240" w:beforeAutospacing="0" w:after="240" w:afterAutospacing="0"/>
        <w:jc w:val="both"/>
        <w:rPr>
          <w:rFonts w:ascii="Arial Negrita" w:eastAsiaTheme="minorHAnsi" w:hAnsi="Arial Negrita" w:cs="Arial"/>
          <w:caps w:val="0"/>
          <w:szCs w:val="24"/>
        </w:rPr>
      </w:pPr>
      <w:bookmarkStart w:id="22" w:name="_Toc48404880"/>
      <w:r w:rsidRPr="006215A7">
        <w:rPr>
          <w:rFonts w:ascii="Arial Negrita" w:eastAsiaTheme="minorHAnsi" w:hAnsi="Arial Negrita" w:cs="Arial"/>
          <w:caps w:val="0"/>
          <w:szCs w:val="24"/>
        </w:rPr>
        <w:t>Posibilidad de controlar un acto derogatorio</w:t>
      </w:r>
      <w:bookmarkEnd w:id="22"/>
    </w:p>
    <w:p w14:paraId="47816CA8" w14:textId="77777777" w:rsidR="007A1CDF" w:rsidRPr="007A1CDF" w:rsidRDefault="007A1CDF" w:rsidP="007A1CDF">
      <w:pPr>
        <w:spacing w:before="240" w:after="240" w:line="360" w:lineRule="auto"/>
        <w:jc w:val="both"/>
        <w:rPr>
          <w:rFonts w:ascii="Arial" w:hAnsi="Arial" w:cs="Arial"/>
        </w:rPr>
      </w:pPr>
      <w:r w:rsidRPr="007A1CDF">
        <w:rPr>
          <w:rFonts w:ascii="Arial" w:hAnsi="Arial" w:cs="Arial"/>
        </w:rPr>
        <w:t>Las disposiciones derogatorias</w:t>
      </w:r>
      <w:r>
        <w:rPr>
          <w:rFonts w:ascii="Arial" w:hAnsi="Arial" w:cs="Arial"/>
        </w:rPr>
        <w:t>,</w:t>
      </w:r>
      <w:r w:rsidRPr="007A1CDF">
        <w:rPr>
          <w:rFonts w:ascii="Arial" w:hAnsi="Arial" w:cs="Arial"/>
        </w:rPr>
        <w:t xml:space="preserve"> o actos derogatorios</w:t>
      </w:r>
      <w:r>
        <w:rPr>
          <w:rFonts w:ascii="Arial" w:hAnsi="Arial" w:cs="Arial"/>
        </w:rPr>
        <w:t>,</w:t>
      </w:r>
      <w:r w:rsidRPr="007A1CDF">
        <w:rPr>
          <w:rFonts w:ascii="Arial" w:hAnsi="Arial" w:cs="Arial"/>
        </w:rPr>
        <w:t xml:space="preserve"> son susceptibles de control constitucional por este Tribunal Electoral del Poder Judicial de la Federación, en tanto </w:t>
      </w:r>
      <w:r w:rsidR="008C0D8D">
        <w:rPr>
          <w:rFonts w:ascii="Arial" w:hAnsi="Arial" w:cs="Arial"/>
        </w:rPr>
        <w:t>T</w:t>
      </w:r>
      <w:r w:rsidRPr="007A1CDF">
        <w:rPr>
          <w:rFonts w:ascii="Arial" w:hAnsi="Arial" w:cs="Arial"/>
        </w:rPr>
        <w:t>ribunal constitucional garante de los derechos políticos y electorales de la ciudadanía</w:t>
      </w:r>
      <w:r>
        <w:rPr>
          <w:rFonts w:ascii="Arial" w:hAnsi="Arial" w:cs="Arial"/>
        </w:rPr>
        <w:t xml:space="preserve">, </w:t>
      </w:r>
      <w:r w:rsidRPr="007A1CDF">
        <w:rPr>
          <w:rFonts w:ascii="Arial" w:hAnsi="Arial" w:cs="Arial"/>
        </w:rPr>
        <w:t xml:space="preserve">de conformidad con los artículos 99; 116, fracción IV, inciso l), y 121, fracción IX, en relación con el artículo 17 de la Constitución </w:t>
      </w:r>
      <w:r w:rsidR="00265004">
        <w:rPr>
          <w:rFonts w:ascii="Arial" w:hAnsi="Arial" w:cs="Arial"/>
        </w:rPr>
        <w:t>f</w:t>
      </w:r>
      <w:r w:rsidRPr="007A1CDF">
        <w:rPr>
          <w:rFonts w:ascii="Arial" w:hAnsi="Arial" w:cs="Arial"/>
        </w:rPr>
        <w:t xml:space="preserve">ederal. </w:t>
      </w:r>
    </w:p>
    <w:p w14:paraId="4B325108" w14:textId="77777777" w:rsidR="00252BEC" w:rsidRDefault="007A1CDF" w:rsidP="007A1CDF">
      <w:pPr>
        <w:spacing w:before="240" w:after="240" w:line="360" w:lineRule="auto"/>
        <w:jc w:val="both"/>
        <w:rPr>
          <w:rFonts w:ascii="Arial" w:hAnsi="Arial" w:cs="Arial"/>
        </w:rPr>
      </w:pPr>
      <w:r w:rsidRPr="007A1CDF">
        <w:rPr>
          <w:rFonts w:ascii="Arial" w:hAnsi="Arial" w:cs="Arial"/>
        </w:rPr>
        <w:t xml:space="preserve">La necesidad y la legitimidad del controlar jurisdiccionalmente </w:t>
      </w:r>
      <w:r w:rsidRPr="007A1CDF">
        <w:rPr>
          <w:rFonts w:ascii="Arial" w:hAnsi="Arial" w:cs="Arial"/>
          <w:b/>
          <w:bCs/>
        </w:rPr>
        <w:t>todos</w:t>
      </w:r>
      <w:r w:rsidRPr="007A1CDF">
        <w:rPr>
          <w:rFonts w:ascii="Arial" w:hAnsi="Arial" w:cs="Arial"/>
        </w:rPr>
        <w:t xml:space="preserve"> los actos, resoluciones y demás elementos jurídicos, incluidos los actos derogatorios, con excepción de las normas generales cuyo control abstracto corresponde en forma exclusiva y excluyente a la Suprema Corte de Justicia de la Nación, tiene fundamento constitucional y convencional</w:t>
      </w:r>
      <w:r w:rsidR="00252BEC">
        <w:rPr>
          <w:rFonts w:ascii="Arial" w:hAnsi="Arial" w:cs="Arial"/>
        </w:rPr>
        <w:t>.</w:t>
      </w:r>
    </w:p>
    <w:p w14:paraId="645B7E3D" w14:textId="0EB1D361" w:rsidR="00252BEC" w:rsidRDefault="00252BEC" w:rsidP="007A1CDF">
      <w:pPr>
        <w:spacing w:before="240" w:after="240" w:line="360" w:lineRule="auto"/>
        <w:jc w:val="both"/>
        <w:rPr>
          <w:rFonts w:ascii="Arial" w:hAnsi="Arial" w:cs="Arial"/>
        </w:rPr>
      </w:pPr>
      <w:r>
        <w:rPr>
          <w:rFonts w:ascii="Arial" w:hAnsi="Arial" w:cs="Arial"/>
        </w:rPr>
        <w:lastRenderedPageBreak/>
        <w:t>P</w:t>
      </w:r>
      <w:r w:rsidR="007A1CDF" w:rsidRPr="007A1CDF">
        <w:rPr>
          <w:rFonts w:ascii="Arial" w:hAnsi="Arial" w:cs="Arial"/>
        </w:rPr>
        <w:t xml:space="preserve">or un lado, </w:t>
      </w:r>
      <w:r>
        <w:rPr>
          <w:rFonts w:ascii="Arial" w:hAnsi="Arial" w:cs="Arial"/>
        </w:rPr>
        <w:t xml:space="preserve">este fundamento se encuentra </w:t>
      </w:r>
      <w:r w:rsidR="007A1CDF" w:rsidRPr="007A1CDF">
        <w:rPr>
          <w:rFonts w:ascii="Arial" w:hAnsi="Arial" w:cs="Arial"/>
        </w:rPr>
        <w:t xml:space="preserve">en la necesidad de que las personas cuenten con un recurso judicial efectivo para controvertir los actos, resoluciones y demás elementos jurídicos </w:t>
      </w:r>
      <w:r w:rsidR="007A1CDF" w:rsidRPr="00252BEC">
        <w:rPr>
          <w:rFonts w:ascii="Arial" w:hAnsi="Arial" w:cs="Arial"/>
          <w:b/>
        </w:rPr>
        <w:t>que les puedan afectar sus derechos a la participación política</w:t>
      </w:r>
      <w:r w:rsidR="007A1CDF" w:rsidRPr="007A1CDF">
        <w:rPr>
          <w:rFonts w:ascii="Arial" w:hAnsi="Arial" w:cs="Arial"/>
        </w:rPr>
        <w:t xml:space="preserve"> en general y, en particular, de los derechos humanos de votar y ser votados, entre otros, de conformidad con el artículo 21 de la Convención Americana sobre Derechos Humanos. </w:t>
      </w:r>
    </w:p>
    <w:p w14:paraId="2506DE4D" w14:textId="77777777" w:rsidR="007A1CDF" w:rsidRPr="007A1CDF" w:rsidRDefault="00252BEC" w:rsidP="007A1CDF">
      <w:pPr>
        <w:spacing w:before="240" w:after="240" w:line="360" w:lineRule="auto"/>
        <w:jc w:val="both"/>
        <w:rPr>
          <w:rFonts w:ascii="Arial" w:hAnsi="Arial" w:cs="Arial"/>
        </w:rPr>
      </w:pPr>
      <w:r>
        <w:rPr>
          <w:rFonts w:ascii="Arial" w:hAnsi="Arial" w:cs="Arial"/>
        </w:rPr>
        <w:t xml:space="preserve">Esto implica que </w:t>
      </w:r>
      <w:r w:rsidR="007A1CDF" w:rsidRPr="00252BEC">
        <w:rPr>
          <w:rFonts w:ascii="Arial" w:hAnsi="Arial" w:cs="Arial"/>
          <w:b/>
        </w:rPr>
        <w:t xml:space="preserve">ningún elemento jurídico —incluidas las disposiciones derogatorias o los actos derogatorios— </w:t>
      </w:r>
      <w:r w:rsidRPr="00252BEC">
        <w:rPr>
          <w:rFonts w:ascii="Arial" w:hAnsi="Arial" w:cs="Arial"/>
          <w:b/>
        </w:rPr>
        <w:t>está exento del</w:t>
      </w:r>
      <w:r w:rsidR="007A1CDF" w:rsidRPr="00252BEC">
        <w:rPr>
          <w:rFonts w:ascii="Arial" w:hAnsi="Arial" w:cs="Arial"/>
          <w:b/>
        </w:rPr>
        <w:t xml:space="preserve"> control </w:t>
      </w:r>
      <w:r w:rsidR="007A1CDF" w:rsidRPr="003B2E1C">
        <w:rPr>
          <w:rFonts w:ascii="Arial" w:hAnsi="Arial" w:cs="Arial"/>
          <w:b/>
        </w:rPr>
        <w:t>jurisdiccional</w:t>
      </w:r>
      <w:r w:rsidR="007A1CDF" w:rsidRPr="007A1CDF">
        <w:rPr>
          <w:rFonts w:ascii="Arial" w:hAnsi="Arial" w:cs="Arial"/>
        </w:rPr>
        <w:t xml:space="preserve"> en la materia, a fin de evitar zonas de inmunidad y garantizar el principio de tutela judicial efectiva en el ámbito </w:t>
      </w:r>
      <w:r>
        <w:rPr>
          <w:rFonts w:ascii="Arial" w:hAnsi="Arial" w:cs="Arial"/>
        </w:rPr>
        <w:t>político-</w:t>
      </w:r>
      <w:r w:rsidR="007A1CDF" w:rsidRPr="007A1CDF">
        <w:rPr>
          <w:rFonts w:ascii="Arial" w:hAnsi="Arial" w:cs="Arial"/>
        </w:rPr>
        <w:t xml:space="preserve">electoral. </w:t>
      </w:r>
    </w:p>
    <w:p w14:paraId="138AF848" w14:textId="0AA1B876" w:rsidR="003B2E1C" w:rsidRDefault="007A1CDF" w:rsidP="007A1CDF">
      <w:pPr>
        <w:spacing w:before="240" w:after="240" w:line="360" w:lineRule="auto"/>
        <w:jc w:val="both"/>
        <w:rPr>
          <w:rFonts w:ascii="Arial" w:hAnsi="Arial" w:cs="Arial"/>
        </w:rPr>
      </w:pPr>
      <w:r w:rsidRPr="007A1CDF">
        <w:rPr>
          <w:rFonts w:ascii="Arial" w:hAnsi="Arial" w:cs="Arial"/>
        </w:rPr>
        <w:t>Por otro lado</w:t>
      </w:r>
      <w:r w:rsidR="003B2E1C">
        <w:rPr>
          <w:rFonts w:ascii="Arial" w:hAnsi="Arial" w:cs="Arial"/>
        </w:rPr>
        <w:t>, la necesidad y legitimidad de controlar jurídicamente todos los actos, incluidos los derogatorios, surge al considera</w:t>
      </w:r>
      <w:r w:rsidR="00265004">
        <w:rPr>
          <w:rFonts w:ascii="Arial" w:hAnsi="Arial" w:cs="Arial"/>
        </w:rPr>
        <w:t>r</w:t>
      </w:r>
      <w:r w:rsidR="003B2E1C">
        <w:rPr>
          <w:rFonts w:ascii="Arial" w:hAnsi="Arial" w:cs="Arial"/>
        </w:rPr>
        <w:t xml:space="preserve"> la naturaleza dinámica de los sistemas jurídicos. Esto implica, entre otr</w:t>
      </w:r>
      <w:r w:rsidR="004C09C8">
        <w:rPr>
          <w:rFonts w:ascii="Arial" w:hAnsi="Arial" w:cs="Arial"/>
        </w:rPr>
        <w:t>o</w:t>
      </w:r>
      <w:r w:rsidR="003B2E1C">
        <w:rPr>
          <w:rFonts w:ascii="Arial" w:hAnsi="Arial" w:cs="Arial"/>
        </w:rPr>
        <w:t xml:space="preserve">s </w:t>
      </w:r>
      <w:r w:rsidR="004C09C8">
        <w:rPr>
          <w:rFonts w:ascii="Arial" w:hAnsi="Arial" w:cs="Arial"/>
        </w:rPr>
        <w:t>aspectos</w:t>
      </w:r>
      <w:r w:rsidR="003B2E1C">
        <w:rPr>
          <w:rFonts w:ascii="Arial" w:hAnsi="Arial" w:cs="Arial"/>
        </w:rPr>
        <w:t xml:space="preserve">, que </w:t>
      </w:r>
      <w:r w:rsidRPr="007A1CDF">
        <w:rPr>
          <w:rFonts w:ascii="Arial" w:hAnsi="Arial" w:cs="Arial"/>
        </w:rPr>
        <w:t>no s</w:t>
      </w:r>
      <w:r w:rsidR="00265004">
        <w:rPr>
          <w:rFonts w:ascii="Arial" w:hAnsi="Arial" w:cs="Arial"/>
        </w:rPr>
        <w:t>o</w:t>
      </w:r>
      <w:r w:rsidRPr="007A1CDF">
        <w:rPr>
          <w:rFonts w:ascii="Arial" w:hAnsi="Arial" w:cs="Arial"/>
        </w:rPr>
        <w:t>lo las normas que lo constituyen pueden cambiar con el transcurso del tiempo, sino que todo sistema jurídico contiene las normas relativas a regular su propia creación y cambio</w:t>
      </w:r>
      <w:r w:rsidRPr="007A1CDF">
        <w:rPr>
          <w:rStyle w:val="Refdenotaalpie"/>
          <w:rFonts w:ascii="Arial" w:hAnsi="Arial" w:cs="Arial"/>
        </w:rPr>
        <w:footnoteReference w:id="25"/>
      </w:r>
      <w:r w:rsidRPr="007A1CDF">
        <w:rPr>
          <w:rFonts w:ascii="Arial" w:hAnsi="Arial" w:cs="Arial"/>
        </w:rPr>
        <w:t xml:space="preserve">. </w:t>
      </w:r>
    </w:p>
    <w:p w14:paraId="5563A07F" w14:textId="77777777" w:rsidR="007A1CDF" w:rsidRDefault="007A1CDF" w:rsidP="007A1CDF">
      <w:pPr>
        <w:spacing w:before="240" w:after="240" w:line="360" w:lineRule="auto"/>
        <w:jc w:val="both"/>
        <w:rPr>
          <w:rFonts w:ascii="Arial" w:hAnsi="Arial" w:cs="Arial"/>
        </w:rPr>
      </w:pPr>
      <w:r w:rsidRPr="007A1CDF">
        <w:rPr>
          <w:rFonts w:ascii="Arial" w:hAnsi="Arial" w:cs="Arial"/>
        </w:rPr>
        <w:t>Lo anterior significa que los sistemas jurídicos desarrollados establecen las reglas que confieren las potestades y establecen deberes a los órganos encargados de crear nuevas normas, modificarlas y dejar sin efecto normas, así como los procedimientos que deben seguirse al efecto. Así, en los sistemas dinámicos pueden introducirse nuevas normas</w:t>
      </w:r>
      <w:r w:rsidR="003B2E1C">
        <w:rPr>
          <w:rFonts w:ascii="Arial" w:hAnsi="Arial" w:cs="Arial"/>
        </w:rPr>
        <w:t>, así como eliminarse otras de</w:t>
      </w:r>
      <w:r w:rsidRPr="007A1CDF">
        <w:rPr>
          <w:rFonts w:ascii="Arial" w:hAnsi="Arial" w:cs="Arial"/>
        </w:rPr>
        <w:t>l sistema, de forma tal que su contenido es distinto en cada momento. En suma, el orden jurídico regula su propia creación,</w:t>
      </w:r>
      <w:r w:rsidRPr="007A1CDF">
        <w:rPr>
          <w:rStyle w:val="Refdenotaalpie"/>
          <w:rFonts w:ascii="Arial" w:hAnsi="Arial" w:cs="Arial"/>
        </w:rPr>
        <w:footnoteReference w:id="26"/>
      </w:r>
      <w:r w:rsidRPr="007A1CDF">
        <w:rPr>
          <w:rFonts w:ascii="Arial" w:hAnsi="Arial" w:cs="Arial"/>
        </w:rPr>
        <w:t xml:space="preserve"> </w:t>
      </w:r>
      <w:r w:rsidRPr="007A1CDF">
        <w:rPr>
          <w:rFonts w:ascii="Arial" w:hAnsi="Arial" w:cs="Arial"/>
        </w:rPr>
        <w:lastRenderedPageBreak/>
        <w:t xml:space="preserve">mediante el establecimiento de normas que posibilitan su cambio deliberado. </w:t>
      </w:r>
    </w:p>
    <w:p w14:paraId="6A1106C5" w14:textId="77777777" w:rsidR="003B2E1C" w:rsidRPr="007A1CDF" w:rsidRDefault="003B2E1C" w:rsidP="007A1CDF">
      <w:pPr>
        <w:spacing w:before="240" w:after="240" w:line="360" w:lineRule="auto"/>
        <w:jc w:val="both"/>
        <w:rPr>
          <w:rFonts w:ascii="Arial" w:hAnsi="Arial" w:cs="Arial"/>
        </w:rPr>
      </w:pPr>
      <w:r>
        <w:rPr>
          <w:rFonts w:ascii="Arial" w:hAnsi="Arial" w:cs="Arial"/>
        </w:rPr>
        <w:t xml:space="preserve">Por ello, y dado que el propio sistema jurídico prevé las normas y los procedimientos por medio de los cuales se pueden cambiar o derogar las normas que lo integran, es que resulta jurídicamente válido y necesario poder revisar la validez de los actos derogatorios. </w:t>
      </w:r>
    </w:p>
    <w:p w14:paraId="2A3D9D38" w14:textId="77777777" w:rsidR="003B2E1C" w:rsidRDefault="003B2E1C" w:rsidP="007A1CDF">
      <w:pPr>
        <w:spacing w:before="240" w:after="240" w:line="360" w:lineRule="auto"/>
        <w:jc w:val="both"/>
        <w:rPr>
          <w:rFonts w:ascii="Arial" w:hAnsi="Arial" w:cs="Arial"/>
        </w:rPr>
      </w:pPr>
      <w:r>
        <w:rPr>
          <w:rFonts w:ascii="Arial" w:hAnsi="Arial" w:cs="Arial"/>
        </w:rPr>
        <w:t xml:space="preserve">Ahora bien, a pesar de que el término </w:t>
      </w:r>
      <w:r w:rsidRPr="003B2E1C">
        <w:rPr>
          <w:rFonts w:ascii="Arial" w:hAnsi="Arial" w:cs="Arial"/>
          <w:b/>
          <w:i/>
        </w:rPr>
        <w:t>derogación</w:t>
      </w:r>
      <w:r>
        <w:rPr>
          <w:rFonts w:ascii="Arial" w:hAnsi="Arial" w:cs="Arial"/>
        </w:rPr>
        <w:t xml:space="preserve"> es ambiguo</w:t>
      </w:r>
      <w:r>
        <w:rPr>
          <w:rStyle w:val="Refdenotaalpie"/>
          <w:rFonts w:ascii="Arial" w:hAnsi="Arial" w:cs="Arial"/>
        </w:rPr>
        <w:footnoteReference w:id="27"/>
      </w:r>
      <w:r>
        <w:rPr>
          <w:rFonts w:ascii="Arial" w:hAnsi="Arial" w:cs="Arial"/>
        </w:rPr>
        <w:t xml:space="preserve">, es posible entenderlo como </w:t>
      </w:r>
      <w:r w:rsidR="007A1CDF" w:rsidRPr="007A1CDF">
        <w:rPr>
          <w:rFonts w:ascii="Arial" w:hAnsi="Arial" w:cs="Arial"/>
        </w:rPr>
        <w:t>una función que consiste en “determinar qué normas han quedado sin efecto como consecuencia de actos derogatorios realizados por quien es el titular de la potestad de dictar nuevas normas”</w:t>
      </w:r>
      <w:r w:rsidR="007A1CDF" w:rsidRPr="007A1CDF">
        <w:rPr>
          <w:rStyle w:val="Refdenotaalpie"/>
          <w:rFonts w:ascii="Arial" w:hAnsi="Arial" w:cs="Arial"/>
        </w:rPr>
        <w:footnoteReference w:id="28"/>
      </w:r>
      <w:r>
        <w:rPr>
          <w:rFonts w:ascii="Arial" w:hAnsi="Arial" w:cs="Arial"/>
        </w:rPr>
        <w:t>.</w:t>
      </w:r>
      <w:r w:rsidR="007A1CDF" w:rsidRPr="007A1CDF">
        <w:rPr>
          <w:rFonts w:ascii="Arial" w:hAnsi="Arial" w:cs="Arial"/>
        </w:rPr>
        <w:t xml:space="preserve">  </w:t>
      </w:r>
    </w:p>
    <w:p w14:paraId="18C5252B" w14:textId="77777777" w:rsidR="003B2E1C" w:rsidRDefault="003B2E1C" w:rsidP="007A1CDF">
      <w:pPr>
        <w:spacing w:before="240" w:after="240" w:line="360" w:lineRule="auto"/>
        <w:jc w:val="both"/>
        <w:rPr>
          <w:rFonts w:ascii="Arial" w:hAnsi="Arial" w:cs="Arial"/>
        </w:rPr>
      </w:pPr>
      <w:r>
        <w:rPr>
          <w:rFonts w:ascii="Arial" w:hAnsi="Arial" w:cs="Arial"/>
        </w:rPr>
        <w:t>Usualmente existen</w:t>
      </w:r>
      <w:r w:rsidR="007A1CDF" w:rsidRPr="007A1CDF">
        <w:rPr>
          <w:rFonts w:ascii="Arial" w:hAnsi="Arial" w:cs="Arial"/>
        </w:rPr>
        <w:t xml:space="preserve"> dos tipos básicos de derogación</w:t>
      </w:r>
      <w:r>
        <w:rPr>
          <w:rFonts w:ascii="Arial" w:hAnsi="Arial" w:cs="Arial"/>
        </w:rPr>
        <w:t>:</w:t>
      </w:r>
      <w:r w:rsidR="007A1CDF" w:rsidRPr="007A1CDF">
        <w:rPr>
          <w:rFonts w:ascii="Arial" w:hAnsi="Arial" w:cs="Arial"/>
        </w:rPr>
        <w:t xml:space="preserve"> </w:t>
      </w:r>
      <w:r w:rsidRPr="003B2E1C">
        <w:rPr>
          <w:rFonts w:ascii="Arial" w:hAnsi="Arial" w:cs="Arial"/>
          <w:b/>
          <w:i/>
        </w:rPr>
        <w:t>i)</w:t>
      </w:r>
      <w:r>
        <w:rPr>
          <w:rFonts w:ascii="Arial" w:hAnsi="Arial" w:cs="Arial"/>
        </w:rPr>
        <w:t xml:space="preserve"> </w:t>
      </w:r>
      <w:r w:rsidR="007A1CDF" w:rsidRPr="007A1CDF">
        <w:rPr>
          <w:rFonts w:ascii="Arial" w:hAnsi="Arial" w:cs="Arial"/>
        </w:rPr>
        <w:t>la derogación expresa, que se realiza mediante las cláusulas derogatorias expresas</w:t>
      </w:r>
      <w:r w:rsidR="007A1CDF" w:rsidRPr="007A1CDF">
        <w:rPr>
          <w:rStyle w:val="Refdenotaalpie"/>
          <w:rFonts w:ascii="Arial" w:hAnsi="Arial" w:cs="Arial"/>
        </w:rPr>
        <w:footnoteReference w:id="29"/>
      </w:r>
      <w:r>
        <w:rPr>
          <w:rFonts w:ascii="Arial" w:hAnsi="Arial" w:cs="Arial"/>
        </w:rPr>
        <w:t>,</w:t>
      </w:r>
      <w:r w:rsidR="007A1CDF" w:rsidRPr="007A1CDF">
        <w:rPr>
          <w:rFonts w:ascii="Arial" w:hAnsi="Arial" w:cs="Arial"/>
        </w:rPr>
        <w:t xml:space="preserve"> y </w:t>
      </w:r>
      <w:r w:rsidRPr="003B2E1C">
        <w:rPr>
          <w:rFonts w:ascii="Arial" w:hAnsi="Arial" w:cs="Arial"/>
          <w:b/>
          <w:i/>
        </w:rPr>
        <w:t>ii)</w:t>
      </w:r>
      <w:r>
        <w:rPr>
          <w:rFonts w:ascii="Arial" w:hAnsi="Arial" w:cs="Arial"/>
        </w:rPr>
        <w:t xml:space="preserve"> </w:t>
      </w:r>
      <w:r w:rsidR="007A1CDF" w:rsidRPr="007A1CDF">
        <w:rPr>
          <w:rFonts w:ascii="Arial" w:hAnsi="Arial" w:cs="Arial"/>
        </w:rPr>
        <w:t>la derogación tácita, que se manifiesta a través de cláusulas derogatorias genéricas</w:t>
      </w:r>
      <w:r w:rsidR="007A1CDF" w:rsidRPr="007A1CDF">
        <w:rPr>
          <w:rStyle w:val="Refdenotaalpie"/>
          <w:rFonts w:ascii="Arial" w:hAnsi="Arial" w:cs="Arial"/>
        </w:rPr>
        <w:footnoteReference w:id="30"/>
      </w:r>
      <w:r>
        <w:rPr>
          <w:rFonts w:ascii="Arial" w:hAnsi="Arial" w:cs="Arial"/>
        </w:rPr>
        <w:t>.</w:t>
      </w:r>
    </w:p>
    <w:p w14:paraId="5E2FA275" w14:textId="77777777" w:rsidR="007A1CDF" w:rsidRPr="007A1CDF" w:rsidRDefault="003B2E1C" w:rsidP="007A1CDF">
      <w:pPr>
        <w:spacing w:before="240" w:after="240" w:line="360" w:lineRule="auto"/>
        <w:jc w:val="both"/>
        <w:rPr>
          <w:rFonts w:ascii="Arial" w:hAnsi="Arial" w:cs="Arial"/>
        </w:rPr>
      </w:pPr>
      <w:r>
        <w:rPr>
          <w:rFonts w:ascii="Arial" w:hAnsi="Arial" w:cs="Arial"/>
        </w:rPr>
        <w:t>Para el caso que ahora se analiza,</w:t>
      </w:r>
      <w:r w:rsidR="007A1CDF" w:rsidRPr="007A1CDF">
        <w:rPr>
          <w:rFonts w:ascii="Arial" w:hAnsi="Arial" w:cs="Arial"/>
        </w:rPr>
        <w:t xml:space="preserve"> interesan las cláusulas derogatorias expresas</w:t>
      </w:r>
      <w:r>
        <w:rPr>
          <w:rFonts w:ascii="Arial" w:hAnsi="Arial" w:cs="Arial"/>
        </w:rPr>
        <w:t>, ya que fue el tipo de cláusula que utilizó el legislador local en el decreto en cuestión</w:t>
      </w:r>
      <w:r w:rsidR="00265004">
        <w:rPr>
          <w:rFonts w:ascii="Arial" w:hAnsi="Arial" w:cs="Arial"/>
        </w:rPr>
        <w:t>,</w:t>
      </w:r>
      <w:r>
        <w:rPr>
          <w:rFonts w:ascii="Arial" w:hAnsi="Arial" w:cs="Arial"/>
        </w:rPr>
        <w:t xml:space="preserve"> </w:t>
      </w:r>
      <w:r w:rsidR="00265004">
        <w:rPr>
          <w:rFonts w:ascii="Arial" w:hAnsi="Arial" w:cs="Arial"/>
        </w:rPr>
        <w:t>ya que</w:t>
      </w:r>
      <w:r w:rsidR="007A1CDF" w:rsidRPr="007A1CDF">
        <w:rPr>
          <w:rFonts w:ascii="Arial" w:hAnsi="Arial" w:cs="Arial"/>
        </w:rPr>
        <w:t xml:space="preserve"> especificó las normas que pretendía derogar mediante el siguiente enunciado: </w:t>
      </w:r>
    </w:p>
    <w:p w14:paraId="6478596A" w14:textId="77777777" w:rsidR="007A1CDF" w:rsidRPr="00B92DA5" w:rsidRDefault="00265004" w:rsidP="003B2E1C">
      <w:pPr>
        <w:spacing w:before="240" w:after="240"/>
        <w:ind w:left="567" w:right="567"/>
        <w:jc w:val="both"/>
        <w:rPr>
          <w:rFonts w:ascii="Arial" w:hAnsi="Arial" w:cs="Arial"/>
          <w:b/>
          <w:smallCaps/>
          <w:sz w:val="20"/>
        </w:rPr>
      </w:pPr>
      <w:r w:rsidRPr="00B92DA5">
        <w:rPr>
          <w:rFonts w:ascii="Arial" w:hAnsi="Arial" w:cs="Arial"/>
          <w:b/>
          <w:smallCaps/>
          <w:sz w:val="20"/>
        </w:rPr>
        <w:t xml:space="preserve">“decreto por el que reforman el artículo 6, fracción i, artículo 13, párrafo primero, artículo 76, fracción vii; y </w:t>
      </w:r>
      <w:r w:rsidRPr="00B92DA5">
        <w:rPr>
          <w:rFonts w:ascii="Arial" w:hAnsi="Arial" w:cs="Arial"/>
          <w:b/>
          <w:smallCaps/>
          <w:sz w:val="20"/>
          <w:u w:val="single"/>
        </w:rPr>
        <w:t xml:space="preserve">se derogan el artículo 4, apartado b, fracción iii, artículo 13, párrafo tercero, artículo 76, fracción v, y artículo vigésimo quinto transitorio, del código de </w:t>
      </w:r>
      <w:r w:rsidRPr="00B92DA5">
        <w:rPr>
          <w:rFonts w:ascii="Arial" w:hAnsi="Arial" w:cs="Arial"/>
          <w:b/>
          <w:smallCaps/>
          <w:sz w:val="20"/>
          <w:u w:val="single"/>
        </w:rPr>
        <w:lastRenderedPageBreak/>
        <w:t xml:space="preserve">instituciones y procedimientos electorales de la ciudad de </w:t>
      </w:r>
      <w:r w:rsidR="00650434" w:rsidRPr="00650434">
        <w:rPr>
          <w:rFonts w:ascii="Arial" w:hAnsi="Arial" w:cs="Arial"/>
          <w:b/>
          <w:smallCaps/>
          <w:sz w:val="20"/>
          <w:u w:val="single"/>
        </w:rPr>
        <w:t>México</w:t>
      </w:r>
      <w:r w:rsidRPr="00B92DA5">
        <w:rPr>
          <w:rFonts w:ascii="Arial" w:hAnsi="Arial" w:cs="Arial"/>
          <w:b/>
          <w:smallCaps/>
          <w:sz w:val="20"/>
        </w:rPr>
        <w:t>” [énfasis añadido].</w:t>
      </w:r>
    </w:p>
    <w:p w14:paraId="780B1B76" w14:textId="77777777" w:rsidR="007A1CDF" w:rsidRPr="007A1CDF" w:rsidRDefault="007A1CDF" w:rsidP="007A1CDF">
      <w:pPr>
        <w:spacing w:before="240" w:after="240" w:line="360" w:lineRule="auto"/>
        <w:jc w:val="both"/>
        <w:rPr>
          <w:rFonts w:ascii="Arial" w:hAnsi="Arial" w:cs="Arial"/>
        </w:rPr>
      </w:pPr>
      <w:r w:rsidRPr="007A1CDF">
        <w:rPr>
          <w:rFonts w:ascii="Arial" w:hAnsi="Arial" w:cs="Arial"/>
        </w:rPr>
        <w:t>La expresión “normas derogatorias”</w:t>
      </w:r>
      <w:r w:rsidRPr="007A1CDF">
        <w:rPr>
          <w:rStyle w:val="Refdenotaalpie"/>
          <w:rFonts w:ascii="Arial" w:hAnsi="Arial" w:cs="Arial"/>
        </w:rPr>
        <w:footnoteReference w:id="31"/>
      </w:r>
      <w:r w:rsidRPr="007A1CDF">
        <w:rPr>
          <w:rFonts w:ascii="Arial" w:hAnsi="Arial" w:cs="Arial"/>
        </w:rPr>
        <w:t xml:space="preserve"> se refiere a las cláusulas derogatorias expresas, esto es, aquellas disposiciones que son el resultado del ejercicio del poder normativo (derogatorio), como las que usó el Congreso de la Ciudad de México, en ejercicio de su potestad legislativa para cambiar normas.</w:t>
      </w:r>
    </w:p>
    <w:p w14:paraId="5D29638B" w14:textId="77777777" w:rsidR="007A1CDF" w:rsidRPr="007A1CDF" w:rsidRDefault="007A1CDF" w:rsidP="007A1CDF">
      <w:pPr>
        <w:spacing w:before="240" w:after="240" w:line="360" w:lineRule="auto"/>
        <w:jc w:val="both"/>
        <w:rPr>
          <w:rFonts w:ascii="Arial" w:hAnsi="Arial" w:cs="Arial"/>
        </w:rPr>
      </w:pPr>
      <w:r w:rsidRPr="007A1CDF">
        <w:rPr>
          <w:rFonts w:ascii="Arial" w:hAnsi="Arial" w:cs="Arial"/>
        </w:rPr>
        <w:t>En esa línea, de acuerdo con Alchourrón y Bulygin,</w:t>
      </w:r>
      <w:r w:rsidRPr="007A1CDF">
        <w:rPr>
          <w:rStyle w:val="Refdenotaalpie"/>
          <w:rFonts w:ascii="Arial" w:hAnsi="Arial" w:cs="Arial"/>
        </w:rPr>
        <w:footnoteReference w:id="32"/>
      </w:r>
      <w:r w:rsidRPr="007A1CDF">
        <w:rPr>
          <w:rFonts w:ascii="Arial" w:hAnsi="Arial" w:cs="Arial"/>
        </w:rPr>
        <w:t xml:space="preserve"> puede sostenerse que la derogación tiene los siguientes dos componentes: el acto derogatorio realizado por la autoridad normativa que denominan </w:t>
      </w:r>
      <w:r w:rsidRPr="007A1CDF">
        <w:rPr>
          <w:rFonts w:ascii="Arial" w:hAnsi="Arial" w:cs="Arial"/>
          <w:b/>
          <w:bCs/>
        </w:rPr>
        <w:t>acto de rechazo</w:t>
      </w:r>
      <w:r w:rsidRPr="007A1CDF">
        <w:rPr>
          <w:rFonts w:ascii="Arial" w:hAnsi="Arial" w:cs="Arial"/>
        </w:rPr>
        <w:t xml:space="preserve"> y la </w:t>
      </w:r>
      <w:r w:rsidRPr="007A1CDF">
        <w:rPr>
          <w:rFonts w:ascii="Arial" w:hAnsi="Arial" w:cs="Arial"/>
          <w:b/>
          <w:bCs/>
        </w:rPr>
        <w:t>eliminación</w:t>
      </w:r>
      <w:r w:rsidRPr="007A1CDF">
        <w:rPr>
          <w:rFonts w:ascii="Arial" w:hAnsi="Arial" w:cs="Arial"/>
        </w:rPr>
        <w:t xml:space="preserve"> de ciertas normas que se produce en virtud del acto de rechazo. </w:t>
      </w:r>
      <w:r w:rsidR="003B2E1C">
        <w:rPr>
          <w:rFonts w:ascii="Arial" w:hAnsi="Arial" w:cs="Arial"/>
        </w:rPr>
        <w:t>Estos autores</w:t>
      </w:r>
      <w:r w:rsidRPr="007A1CDF">
        <w:rPr>
          <w:rFonts w:ascii="Arial" w:hAnsi="Arial" w:cs="Arial"/>
        </w:rPr>
        <w:t xml:space="preserve"> dicen</w:t>
      </w:r>
      <w:r w:rsidR="003B2E1C">
        <w:rPr>
          <w:rFonts w:ascii="Arial" w:hAnsi="Arial" w:cs="Arial"/>
        </w:rPr>
        <w:t xml:space="preserve"> que en un acto de rechazo “</w:t>
      </w:r>
      <w:r w:rsidRPr="007A1CDF">
        <w:rPr>
          <w:rFonts w:ascii="Arial" w:hAnsi="Arial" w:cs="Arial"/>
        </w:rPr>
        <w:t xml:space="preserve">la autoridad manifiesta su voluntad de que la norma </w:t>
      </w:r>
      <w:r w:rsidRPr="007A1CDF">
        <w:rPr>
          <w:rFonts w:ascii="Arial" w:hAnsi="Arial" w:cs="Arial"/>
          <w:i/>
          <w:iCs/>
        </w:rPr>
        <w:t>no sea</w:t>
      </w:r>
      <w:r w:rsidRPr="007A1CDF">
        <w:rPr>
          <w:rFonts w:ascii="Arial" w:hAnsi="Arial" w:cs="Arial"/>
        </w:rPr>
        <w:t>, es decir, que no esté exigido lo que la norma exige, o no esté permitido lo que la norma permite”</w:t>
      </w:r>
      <w:r w:rsidR="003B2E1C" w:rsidRPr="003B2E1C">
        <w:rPr>
          <w:rStyle w:val="Refdenotaalpie"/>
          <w:rFonts w:ascii="Arial" w:hAnsi="Arial" w:cs="Arial"/>
        </w:rPr>
        <w:t xml:space="preserve"> </w:t>
      </w:r>
      <w:r w:rsidR="003B2E1C" w:rsidRPr="007A1CDF">
        <w:rPr>
          <w:rStyle w:val="Refdenotaalpie"/>
          <w:rFonts w:ascii="Arial" w:hAnsi="Arial" w:cs="Arial"/>
        </w:rPr>
        <w:footnoteReference w:id="33"/>
      </w:r>
      <w:r w:rsidR="00314692">
        <w:rPr>
          <w:rFonts w:ascii="Arial" w:hAnsi="Arial" w:cs="Arial"/>
        </w:rPr>
        <w:t xml:space="preserve">. </w:t>
      </w:r>
      <w:r w:rsidRPr="007A1CDF">
        <w:rPr>
          <w:rFonts w:ascii="Arial" w:hAnsi="Arial" w:cs="Arial"/>
        </w:rPr>
        <w:t>[</w:t>
      </w:r>
      <w:r w:rsidR="00314692">
        <w:rPr>
          <w:rFonts w:ascii="Arial" w:hAnsi="Arial" w:cs="Arial"/>
        </w:rPr>
        <w:t>É</w:t>
      </w:r>
      <w:r w:rsidRPr="007A1CDF">
        <w:rPr>
          <w:rFonts w:ascii="Arial" w:hAnsi="Arial" w:cs="Arial"/>
        </w:rPr>
        <w:t>nfasis en el original].</w:t>
      </w:r>
    </w:p>
    <w:p w14:paraId="17DCB812" w14:textId="77777777" w:rsidR="003B2E1C" w:rsidRDefault="007A1CDF" w:rsidP="007A1CDF">
      <w:pPr>
        <w:spacing w:before="240" w:after="240" w:line="360" w:lineRule="auto"/>
        <w:jc w:val="both"/>
        <w:rPr>
          <w:rFonts w:ascii="Arial" w:hAnsi="Arial" w:cs="Arial"/>
        </w:rPr>
      </w:pPr>
      <w:r w:rsidRPr="007A1CDF">
        <w:rPr>
          <w:rFonts w:ascii="Arial" w:hAnsi="Arial" w:cs="Arial"/>
        </w:rPr>
        <w:t>En general, los actos derogatorios</w:t>
      </w:r>
      <w:r w:rsidR="003B2E1C">
        <w:rPr>
          <w:rFonts w:ascii="Arial" w:hAnsi="Arial" w:cs="Arial"/>
        </w:rPr>
        <w:t xml:space="preserve"> </w:t>
      </w:r>
      <w:r w:rsidRPr="007A1CDF">
        <w:rPr>
          <w:rFonts w:ascii="Arial" w:hAnsi="Arial" w:cs="Arial"/>
        </w:rPr>
        <w:t>están invariablemente sujetos a ciertas y determinadas condiciones de validez</w:t>
      </w:r>
      <w:r w:rsidR="003B2E1C">
        <w:rPr>
          <w:rFonts w:ascii="Arial" w:hAnsi="Arial" w:cs="Arial"/>
        </w:rPr>
        <w:t xml:space="preserve"> para que puedan producir sus efectos jurídicos, como, por ejemplo, que </w:t>
      </w:r>
      <w:r w:rsidRPr="007A1CDF">
        <w:rPr>
          <w:rFonts w:ascii="Arial" w:hAnsi="Arial" w:cs="Arial"/>
        </w:rPr>
        <w:t>la autoridad normativa sea legalmente competente</w:t>
      </w:r>
      <w:r w:rsidR="003B2E1C">
        <w:rPr>
          <w:rFonts w:ascii="Arial" w:hAnsi="Arial" w:cs="Arial"/>
        </w:rPr>
        <w:t xml:space="preserve">. </w:t>
      </w:r>
    </w:p>
    <w:p w14:paraId="098E4596" w14:textId="77777777" w:rsidR="003B2E1C" w:rsidRDefault="003B2E1C" w:rsidP="007A1CDF">
      <w:pPr>
        <w:spacing w:before="240" w:after="240" w:line="360" w:lineRule="auto"/>
        <w:jc w:val="both"/>
        <w:rPr>
          <w:rFonts w:ascii="Arial" w:hAnsi="Arial" w:cs="Arial"/>
        </w:rPr>
      </w:pPr>
      <w:r>
        <w:rPr>
          <w:rFonts w:ascii="Arial" w:hAnsi="Arial" w:cs="Arial"/>
        </w:rPr>
        <w:t xml:space="preserve">Por otro lado, la necesidad de poder revisar la constitucionalidad de un acto derogatorio se justifica al considerar la naturaleza sistémica del Derecho, conforme con la cual se ha reconocido que el </w:t>
      </w:r>
      <w:r w:rsidR="00314692">
        <w:rPr>
          <w:rFonts w:ascii="Arial" w:hAnsi="Arial" w:cs="Arial"/>
        </w:rPr>
        <w:t>D</w:t>
      </w:r>
      <w:r>
        <w:rPr>
          <w:rFonts w:ascii="Arial" w:hAnsi="Arial" w:cs="Arial"/>
        </w:rPr>
        <w:t xml:space="preserve">erecho no es </w:t>
      </w:r>
      <w:r w:rsidR="007A1CDF" w:rsidRPr="007A1CDF">
        <w:rPr>
          <w:rFonts w:ascii="Arial" w:hAnsi="Arial" w:cs="Arial"/>
        </w:rPr>
        <w:t xml:space="preserve">un simple conjunto de normas, sino que constituye un </w:t>
      </w:r>
      <w:r w:rsidR="007A1CDF" w:rsidRPr="003B2E1C">
        <w:rPr>
          <w:rFonts w:ascii="Arial" w:hAnsi="Arial" w:cs="Arial"/>
          <w:b/>
        </w:rPr>
        <w:t>conjunto sistemático</w:t>
      </w:r>
      <w:r>
        <w:rPr>
          <w:rFonts w:ascii="Arial" w:hAnsi="Arial" w:cs="Arial"/>
        </w:rPr>
        <w:t>, con</w:t>
      </w:r>
      <w:r w:rsidR="007A1CDF" w:rsidRPr="007A1CDF">
        <w:rPr>
          <w:rFonts w:ascii="Arial" w:hAnsi="Arial" w:cs="Arial"/>
        </w:rPr>
        <w:t xml:space="preserve"> una estructura jerárquica</w:t>
      </w:r>
      <w:r>
        <w:rPr>
          <w:rFonts w:ascii="Arial" w:hAnsi="Arial" w:cs="Arial"/>
        </w:rPr>
        <w:t xml:space="preserve"> y, por tanto, </w:t>
      </w:r>
      <w:r w:rsidR="007A1CDF" w:rsidRPr="007A1CDF">
        <w:rPr>
          <w:rFonts w:ascii="Arial" w:hAnsi="Arial" w:cs="Arial"/>
        </w:rPr>
        <w:t xml:space="preserve">es una red sistemática. </w:t>
      </w:r>
    </w:p>
    <w:p w14:paraId="32104410" w14:textId="77777777" w:rsidR="003B2E1C" w:rsidRDefault="007A1CDF" w:rsidP="007A1CDF">
      <w:pPr>
        <w:spacing w:before="240" w:after="240" w:line="360" w:lineRule="auto"/>
        <w:jc w:val="both"/>
        <w:rPr>
          <w:rFonts w:ascii="Arial" w:hAnsi="Arial" w:cs="Arial"/>
        </w:rPr>
      </w:pPr>
      <w:r w:rsidRPr="007A1CDF">
        <w:rPr>
          <w:rFonts w:ascii="Arial" w:hAnsi="Arial" w:cs="Arial"/>
        </w:rPr>
        <w:t xml:space="preserve">Desde esa perspectiva, un acto de rechazo </w:t>
      </w:r>
      <w:r w:rsidR="004129A3">
        <w:rPr>
          <w:rFonts w:ascii="Arial" w:hAnsi="Arial" w:cs="Arial"/>
        </w:rPr>
        <w:t>trae</w:t>
      </w:r>
      <w:r w:rsidR="003B2E1C">
        <w:rPr>
          <w:rFonts w:ascii="Arial" w:hAnsi="Arial" w:cs="Arial"/>
        </w:rPr>
        <w:t xml:space="preserve"> consigo</w:t>
      </w:r>
      <w:r w:rsidRPr="007A1CDF">
        <w:rPr>
          <w:rFonts w:ascii="Arial" w:hAnsi="Arial" w:cs="Arial"/>
        </w:rPr>
        <w:t xml:space="preserve"> un cambio en el orden jurídico. Consecuentemente, </w:t>
      </w:r>
      <w:r w:rsidR="003B2E1C">
        <w:rPr>
          <w:rFonts w:ascii="Arial" w:hAnsi="Arial" w:cs="Arial"/>
        </w:rPr>
        <w:t>ese acto no puede</w:t>
      </w:r>
      <w:r w:rsidRPr="007A1CDF">
        <w:rPr>
          <w:rFonts w:ascii="Arial" w:hAnsi="Arial" w:cs="Arial"/>
        </w:rPr>
        <w:t xml:space="preserve"> considerarse aisladamente, sino que</w:t>
      </w:r>
      <w:r w:rsidR="003B2E1C">
        <w:rPr>
          <w:rFonts w:ascii="Arial" w:hAnsi="Arial" w:cs="Arial"/>
        </w:rPr>
        <w:t xml:space="preserve"> se debe examinar</w:t>
      </w:r>
      <w:r w:rsidRPr="007A1CDF">
        <w:rPr>
          <w:rFonts w:ascii="Arial" w:hAnsi="Arial" w:cs="Arial"/>
        </w:rPr>
        <w:t xml:space="preserve"> teniendo en cuenta si su emisión</w:t>
      </w:r>
      <w:r w:rsidR="003B2E1C">
        <w:rPr>
          <w:rFonts w:ascii="Arial" w:hAnsi="Arial" w:cs="Arial"/>
        </w:rPr>
        <w:t xml:space="preserve">, así como las consecuencias que produce en el sistema jurídico, son válidos, </w:t>
      </w:r>
    </w:p>
    <w:p w14:paraId="350FF8F9" w14:textId="77777777" w:rsidR="007A1CDF" w:rsidRPr="007A1CDF" w:rsidRDefault="003B2E1C" w:rsidP="007A1CDF">
      <w:pPr>
        <w:spacing w:before="240" w:after="240" w:line="360" w:lineRule="auto"/>
        <w:jc w:val="both"/>
        <w:rPr>
          <w:rFonts w:ascii="Arial" w:hAnsi="Arial" w:cs="Arial"/>
        </w:rPr>
      </w:pPr>
      <w:r>
        <w:rPr>
          <w:rFonts w:ascii="Arial" w:hAnsi="Arial" w:cs="Arial"/>
        </w:rPr>
        <w:t xml:space="preserve">Este análisis se debe hacer </w:t>
      </w:r>
      <w:r w:rsidR="007A1CDF" w:rsidRPr="007A1CDF">
        <w:rPr>
          <w:rFonts w:ascii="Arial" w:hAnsi="Arial" w:cs="Arial"/>
        </w:rPr>
        <w:t>a la luz del ordenamiento en su conjunto</w:t>
      </w:r>
      <w:r>
        <w:rPr>
          <w:rFonts w:ascii="Arial" w:hAnsi="Arial" w:cs="Arial"/>
        </w:rPr>
        <w:t>, así como</w:t>
      </w:r>
      <w:r w:rsidR="007A1CDF" w:rsidRPr="007A1CDF">
        <w:rPr>
          <w:rFonts w:ascii="Arial" w:hAnsi="Arial" w:cs="Arial"/>
        </w:rPr>
        <w:t xml:space="preserve"> de los principios</w:t>
      </w:r>
      <w:r>
        <w:rPr>
          <w:rFonts w:ascii="Arial" w:hAnsi="Arial" w:cs="Arial"/>
        </w:rPr>
        <w:t>,</w:t>
      </w:r>
      <w:r w:rsidR="007A1CDF" w:rsidRPr="007A1CDF">
        <w:rPr>
          <w:rFonts w:ascii="Arial" w:hAnsi="Arial" w:cs="Arial"/>
        </w:rPr>
        <w:t xml:space="preserve"> valores y reglas constitucionales aplicables</w:t>
      </w:r>
      <w:r>
        <w:rPr>
          <w:rFonts w:ascii="Arial" w:hAnsi="Arial" w:cs="Arial"/>
        </w:rPr>
        <w:t xml:space="preserve"> y, finalmente, tomando </w:t>
      </w:r>
      <w:r w:rsidR="007A1CDF" w:rsidRPr="007A1CDF">
        <w:rPr>
          <w:rFonts w:ascii="Arial" w:hAnsi="Arial" w:cs="Arial"/>
        </w:rPr>
        <w:t xml:space="preserve">en cuenta el </w:t>
      </w:r>
      <w:r w:rsidR="007A1CDF" w:rsidRPr="007A1CDF">
        <w:rPr>
          <w:rFonts w:ascii="Arial" w:hAnsi="Arial" w:cs="Arial"/>
          <w:b/>
          <w:bCs/>
        </w:rPr>
        <w:t>contenido</w:t>
      </w:r>
      <w:r w:rsidR="007A1CDF" w:rsidRPr="007A1CDF">
        <w:rPr>
          <w:rFonts w:ascii="Arial" w:hAnsi="Arial" w:cs="Arial"/>
        </w:rPr>
        <w:t xml:space="preserve"> de las normas </w:t>
      </w:r>
      <w:r>
        <w:rPr>
          <w:rFonts w:ascii="Arial" w:hAnsi="Arial" w:cs="Arial"/>
        </w:rPr>
        <w:t xml:space="preserve">que se pretenden rechazar. </w:t>
      </w:r>
    </w:p>
    <w:p w14:paraId="40CF3628" w14:textId="77777777" w:rsidR="003B2E1C" w:rsidRDefault="003B2E1C" w:rsidP="007A1CDF">
      <w:pPr>
        <w:spacing w:before="240" w:after="240" w:line="360" w:lineRule="auto"/>
        <w:jc w:val="both"/>
        <w:rPr>
          <w:rFonts w:ascii="Arial" w:hAnsi="Arial" w:cs="Arial"/>
        </w:rPr>
      </w:pPr>
      <w:r>
        <w:rPr>
          <w:rFonts w:ascii="Arial" w:hAnsi="Arial" w:cs="Arial"/>
        </w:rPr>
        <w:t xml:space="preserve">Ahora bien, esta Sala Superior considera que el hecho de que un acto derogatorio haya sido emitido por un órgano legislativo no es un motivo suficiente para </w:t>
      </w:r>
      <w:r w:rsidR="003F102D">
        <w:rPr>
          <w:rFonts w:ascii="Arial" w:hAnsi="Arial" w:cs="Arial"/>
        </w:rPr>
        <w:t xml:space="preserve">dejar de </w:t>
      </w:r>
      <w:r>
        <w:rPr>
          <w:rFonts w:ascii="Arial" w:hAnsi="Arial" w:cs="Arial"/>
        </w:rPr>
        <w:t>controlar jurisdiccionalmente su validez. Esto, porque pueden existir cuestiones necesarias de revisión, tales como si fue emitido por un órgano carente de competencia, o bien, porque aun y cuando se haya emitido por una autoridad legislativa competente, no se hayan cumplido con las condiciones necesarias para su validez o</w:t>
      </w:r>
      <w:r w:rsidR="00314692">
        <w:rPr>
          <w:rFonts w:ascii="Arial" w:hAnsi="Arial" w:cs="Arial"/>
        </w:rPr>
        <w:t>,</w:t>
      </w:r>
      <w:r>
        <w:rPr>
          <w:rFonts w:ascii="Arial" w:hAnsi="Arial" w:cs="Arial"/>
        </w:rPr>
        <w:t xml:space="preserve"> su emisión haya violado los principios de la deliberación democrática. </w:t>
      </w:r>
    </w:p>
    <w:p w14:paraId="685D843B" w14:textId="77777777" w:rsidR="00660E6B" w:rsidRDefault="007A1CDF" w:rsidP="007A1CDF">
      <w:pPr>
        <w:spacing w:before="240" w:after="240" w:line="360" w:lineRule="auto"/>
        <w:jc w:val="both"/>
        <w:rPr>
          <w:rFonts w:ascii="Arial" w:hAnsi="Arial" w:cs="Arial"/>
        </w:rPr>
      </w:pPr>
      <w:r w:rsidRPr="007A1CDF">
        <w:rPr>
          <w:rFonts w:ascii="Arial" w:hAnsi="Arial" w:cs="Arial"/>
        </w:rPr>
        <w:t>No es obstáculo a lo anterior, es decir, que el acto derogatorio sea controlable jurisdiccionalmente para determinar su validez, que haya sido emitido por un órgano legislativo, porque, por ejemplo, pudo haber sido producido por un órgano carente de competencia</w:t>
      </w:r>
      <w:r w:rsidR="003B2E1C">
        <w:rPr>
          <w:rFonts w:ascii="Arial" w:hAnsi="Arial" w:cs="Arial"/>
        </w:rPr>
        <w:t>;</w:t>
      </w:r>
      <w:r w:rsidRPr="007A1CDF">
        <w:rPr>
          <w:rFonts w:ascii="Arial" w:hAnsi="Arial" w:cs="Arial"/>
        </w:rPr>
        <w:t xml:space="preserve"> o</w:t>
      </w:r>
      <w:r w:rsidR="00314692">
        <w:rPr>
          <w:rFonts w:ascii="Arial" w:hAnsi="Arial" w:cs="Arial"/>
        </w:rPr>
        <w:t>,</w:t>
      </w:r>
      <w:r w:rsidRPr="007A1CDF">
        <w:rPr>
          <w:rFonts w:ascii="Arial" w:hAnsi="Arial" w:cs="Arial"/>
        </w:rPr>
        <w:t xml:space="preserve"> aun </w:t>
      </w:r>
      <w:r w:rsidR="003B2E1C">
        <w:rPr>
          <w:rFonts w:ascii="Arial" w:hAnsi="Arial" w:cs="Arial"/>
        </w:rPr>
        <w:t xml:space="preserve">y </w:t>
      </w:r>
      <w:r w:rsidRPr="007A1CDF">
        <w:rPr>
          <w:rFonts w:ascii="Arial" w:hAnsi="Arial" w:cs="Arial"/>
        </w:rPr>
        <w:t>cuando se emitió por una autoridad legislativa competente, al emitirlo se violaron los principios de la deliberación democrática</w:t>
      </w:r>
      <w:r w:rsidR="003B2E1C">
        <w:rPr>
          <w:rFonts w:ascii="Arial" w:hAnsi="Arial" w:cs="Arial"/>
        </w:rPr>
        <w:t xml:space="preserve">; o, finalmente, porque no se cumplieron con las </w:t>
      </w:r>
      <w:r w:rsidRPr="007A1CDF">
        <w:rPr>
          <w:rFonts w:ascii="Arial" w:hAnsi="Arial" w:cs="Arial"/>
        </w:rPr>
        <w:t>condiciones necesarias para su validez</w:t>
      </w:r>
      <w:r w:rsidRPr="007A1CDF">
        <w:rPr>
          <w:rStyle w:val="Refdenotaalpie"/>
          <w:rFonts w:ascii="Arial" w:hAnsi="Arial" w:cs="Arial"/>
        </w:rPr>
        <w:footnoteReference w:id="34"/>
      </w:r>
      <w:r w:rsidRPr="007A1CDF">
        <w:rPr>
          <w:rFonts w:ascii="Arial" w:hAnsi="Arial" w:cs="Arial"/>
        </w:rPr>
        <w:t>.</w:t>
      </w:r>
    </w:p>
    <w:p w14:paraId="66A6B442" w14:textId="77777777" w:rsidR="007A1CDF" w:rsidRPr="007A1CDF" w:rsidRDefault="00685D79" w:rsidP="007A1CDF">
      <w:pPr>
        <w:spacing w:before="240" w:after="240" w:line="360" w:lineRule="auto"/>
        <w:jc w:val="both"/>
        <w:rPr>
          <w:rFonts w:ascii="Arial" w:hAnsi="Arial" w:cs="Arial"/>
        </w:rPr>
      </w:pPr>
      <w:r>
        <w:rPr>
          <w:rFonts w:ascii="Arial" w:hAnsi="Arial" w:cs="Arial"/>
        </w:rPr>
        <w:t xml:space="preserve">En esa línea, es importante </w:t>
      </w:r>
      <w:r w:rsidR="008C319F">
        <w:rPr>
          <w:rFonts w:ascii="Arial" w:hAnsi="Arial" w:cs="Arial"/>
        </w:rPr>
        <w:t xml:space="preserve">tener en cuenta que los </w:t>
      </w:r>
      <w:r w:rsidR="008E424D">
        <w:rPr>
          <w:rFonts w:ascii="Arial" w:hAnsi="Arial" w:cs="Arial"/>
        </w:rPr>
        <w:t>derechos políticos</w:t>
      </w:r>
      <w:r w:rsidR="00806D6D">
        <w:rPr>
          <w:rFonts w:ascii="Arial" w:hAnsi="Arial" w:cs="Arial"/>
        </w:rPr>
        <w:t xml:space="preserve">, en tanto </w:t>
      </w:r>
      <w:r w:rsidR="008C319F">
        <w:rPr>
          <w:rFonts w:ascii="Arial" w:hAnsi="Arial" w:cs="Arial"/>
        </w:rPr>
        <w:t>derechos humanos</w:t>
      </w:r>
      <w:r w:rsidR="00806D6D">
        <w:rPr>
          <w:rFonts w:ascii="Arial" w:hAnsi="Arial" w:cs="Arial"/>
        </w:rPr>
        <w:t>,</w:t>
      </w:r>
      <w:r w:rsidR="008C319F">
        <w:rPr>
          <w:rFonts w:ascii="Arial" w:hAnsi="Arial" w:cs="Arial"/>
        </w:rPr>
        <w:t xml:space="preserve"> </w:t>
      </w:r>
      <w:r w:rsidR="00FA6602">
        <w:rPr>
          <w:rFonts w:ascii="Arial" w:hAnsi="Arial" w:cs="Arial"/>
        </w:rPr>
        <w:t xml:space="preserve">están sustraídos </w:t>
      </w:r>
      <w:r w:rsidR="00683441">
        <w:rPr>
          <w:rFonts w:ascii="Arial" w:hAnsi="Arial" w:cs="Arial"/>
        </w:rPr>
        <w:t>a los poderes de la mayoría</w:t>
      </w:r>
      <w:r w:rsidR="009C007A">
        <w:rPr>
          <w:rFonts w:ascii="Arial" w:hAnsi="Arial" w:cs="Arial"/>
        </w:rPr>
        <w:t xml:space="preserve"> y forman parte de la esfera de lo indeci</w:t>
      </w:r>
      <w:r w:rsidR="00E4631D">
        <w:rPr>
          <w:rFonts w:ascii="Arial" w:hAnsi="Arial" w:cs="Arial"/>
        </w:rPr>
        <w:t>dible</w:t>
      </w:r>
      <w:r w:rsidR="00683441">
        <w:rPr>
          <w:rFonts w:ascii="Arial" w:hAnsi="Arial" w:cs="Arial"/>
        </w:rPr>
        <w:t xml:space="preserve">. </w:t>
      </w:r>
    </w:p>
    <w:p w14:paraId="245E263D" w14:textId="77777777" w:rsidR="003B2E1C" w:rsidRDefault="007A1CDF" w:rsidP="003B2E1C">
      <w:pPr>
        <w:spacing w:before="240" w:after="240" w:line="360" w:lineRule="auto"/>
        <w:jc w:val="both"/>
        <w:rPr>
          <w:rFonts w:ascii="Arial" w:hAnsi="Arial" w:cs="Arial"/>
        </w:rPr>
      </w:pPr>
      <w:r w:rsidRPr="007A1CDF">
        <w:rPr>
          <w:rFonts w:ascii="Arial" w:hAnsi="Arial" w:cs="Arial"/>
        </w:rPr>
        <w:t>El Tribunal Pleno de la Suprema Corte de Justicia de la Nación, en varias ocasiones</w:t>
      </w:r>
      <w:r w:rsidRPr="007A1CDF">
        <w:rPr>
          <w:rStyle w:val="Refdenotaalpie"/>
          <w:rFonts w:ascii="Arial" w:hAnsi="Arial" w:cs="Arial"/>
        </w:rPr>
        <w:footnoteReference w:id="35"/>
      </w:r>
      <w:r w:rsidR="003B2E1C">
        <w:rPr>
          <w:rFonts w:ascii="Arial" w:hAnsi="Arial" w:cs="Arial"/>
        </w:rPr>
        <w:t>,</w:t>
      </w:r>
      <w:r w:rsidRPr="007A1CDF">
        <w:rPr>
          <w:rFonts w:ascii="Arial" w:hAnsi="Arial" w:cs="Arial"/>
        </w:rPr>
        <w:t xml:space="preserve"> ha conocido y resuelto impugnaciones de decretos derogatorios. </w:t>
      </w:r>
      <w:r w:rsidR="003B2E1C">
        <w:rPr>
          <w:rFonts w:ascii="Arial" w:hAnsi="Arial" w:cs="Arial"/>
        </w:rPr>
        <w:t>Por ejemplo,</w:t>
      </w:r>
      <w:r w:rsidRPr="007A1CDF">
        <w:rPr>
          <w:rFonts w:ascii="Arial" w:hAnsi="Arial" w:cs="Arial"/>
        </w:rPr>
        <w:t xml:space="preserve"> al resolver la acción de inconstitucionalidad 65/2011</w:t>
      </w:r>
      <w:r w:rsidRPr="007A1CDF">
        <w:rPr>
          <w:rStyle w:val="Refdenotaalpie"/>
          <w:rFonts w:ascii="Arial" w:hAnsi="Arial" w:cs="Arial"/>
        </w:rPr>
        <w:footnoteReference w:id="36"/>
      </w:r>
      <w:r w:rsidR="003B2E1C">
        <w:rPr>
          <w:rFonts w:ascii="Arial" w:hAnsi="Arial" w:cs="Arial"/>
        </w:rPr>
        <w:t>,</w:t>
      </w:r>
      <w:r w:rsidRPr="007A1CDF">
        <w:rPr>
          <w:rFonts w:ascii="Arial" w:hAnsi="Arial" w:cs="Arial"/>
        </w:rPr>
        <w:t xml:space="preserve"> determinó la invalidez de un decreto en su porción normativa derogatoria,</w:t>
      </w:r>
      <w:r w:rsidR="003B2E1C">
        <w:rPr>
          <w:rFonts w:ascii="Arial" w:hAnsi="Arial" w:cs="Arial"/>
        </w:rPr>
        <w:t xml:space="preserve"> </w:t>
      </w:r>
      <w:r w:rsidR="003B2E1C" w:rsidRPr="007A1CDF">
        <w:rPr>
          <w:rFonts w:ascii="Arial" w:hAnsi="Arial" w:cs="Arial"/>
        </w:rPr>
        <w:t>por no cumplir las condiciones de validez exigidas, concretamente</w:t>
      </w:r>
      <w:r w:rsidR="003B2E1C">
        <w:rPr>
          <w:rFonts w:ascii="Arial" w:hAnsi="Arial" w:cs="Arial"/>
        </w:rPr>
        <w:t>,</w:t>
      </w:r>
      <w:r w:rsidR="003B2E1C" w:rsidRPr="007A1CDF">
        <w:rPr>
          <w:rFonts w:ascii="Arial" w:hAnsi="Arial" w:cs="Arial"/>
        </w:rPr>
        <w:t xml:space="preserve"> el principio de deliberación parlamentaria establecido en la Constitución </w:t>
      </w:r>
      <w:r w:rsidR="00314692">
        <w:rPr>
          <w:rFonts w:ascii="Arial" w:hAnsi="Arial" w:cs="Arial"/>
        </w:rPr>
        <w:t>f</w:t>
      </w:r>
      <w:r w:rsidR="003B2E1C" w:rsidRPr="007A1CDF">
        <w:rPr>
          <w:rFonts w:ascii="Arial" w:hAnsi="Arial" w:cs="Arial"/>
        </w:rPr>
        <w:t>ederal.</w:t>
      </w:r>
      <w:r w:rsidR="003B2E1C">
        <w:rPr>
          <w:rFonts w:ascii="Arial" w:hAnsi="Arial" w:cs="Arial"/>
        </w:rPr>
        <w:t xml:space="preserve"> </w:t>
      </w:r>
    </w:p>
    <w:p w14:paraId="4AEDB8F8" w14:textId="77777777" w:rsidR="007A1CDF" w:rsidRPr="007A1CDF" w:rsidRDefault="003B2E1C" w:rsidP="007A1CDF">
      <w:pPr>
        <w:spacing w:before="240" w:after="240" w:line="360" w:lineRule="auto"/>
        <w:jc w:val="both"/>
        <w:rPr>
          <w:rFonts w:ascii="Arial" w:hAnsi="Arial" w:cs="Arial"/>
        </w:rPr>
      </w:pPr>
      <w:r>
        <w:rPr>
          <w:rFonts w:ascii="Arial" w:hAnsi="Arial" w:cs="Arial"/>
        </w:rPr>
        <w:t xml:space="preserve">Si bien </w:t>
      </w:r>
      <w:r w:rsidR="004810CF">
        <w:rPr>
          <w:rFonts w:ascii="Arial" w:hAnsi="Arial" w:cs="Arial"/>
        </w:rPr>
        <w:t>n</w:t>
      </w:r>
      <w:r>
        <w:rPr>
          <w:rFonts w:ascii="Arial" w:hAnsi="Arial" w:cs="Arial"/>
        </w:rPr>
        <w:t xml:space="preserve">o se trató de una acción de inconstitucionalidad en materia electoral, esto sirve para reforzar que </w:t>
      </w:r>
      <w:r w:rsidR="007A1CDF" w:rsidRPr="007A1CDF">
        <w:rPr>
          <w:rFonts w:ascii="Arial" w:hAnsi="Arial" w:cs="Arial"/>
        </w:rPr>
        <w:t xml:space="preserve">los actos derogatorios pueden ser objeto de un control jurisdiccional. </w:t>
      </w:r>
    </w:p>
    <w:p w14:paraId="1CDDCE86" w14:textId="77777777" w:rsidR="003B2E1C" w:rsidRDefault="007A1CDF" w:rsidP="007A1CDF">
      <w:pPr>
        <w:pStyle w:val="corte4fondo"/>
        <w:spacing w:before="240" w:after="240"/>
        <w:ind w:firstLine="0"/>
        <w:rPr>
          <w:rFonts w:cs="Arial"/>
          <w:bCs/>
          <w:i/>
          <w:sz w:val="24"/>
          <w:szCs w:val="24"/>
          <w:lang w:val="es-ES"/>
        </w:rPr>
      </w:pPr>
      <w:r w:rsidRPr="007A1CDF">
        <w:rPr>
          <w:rFonts w:cs="Arial"/>
          <w:sz w:val="24"/>
          <w:szCs w:val="24"/>
        </w:rPr>
        <w:t xml:space="preserve">De igual forma, la Segunda Sala de la Suprema Corte de Justicia de la Nación conoció y resolvió el amparo directo en revisión 2425/2015, en el que el recurrente </w:t>
      </w:r>
      <w:r w:rsidRPr="007A1CDF">
        <w:rPr>
          <w:rFonts w:cs="Arial"/>
          <w:bCs/>
          <w:sz w:val="24"/>
          <w:szCs w:val="24"/>
          <w:lang w:val="es-ES"/>
        </w:rPr>
        <w:t xml:space="preserve">impugnó el “Decreto por el que se reforman, adicionan y derogan diversas disposiciones del Código Fiscal de la Federación, publicado en el </w:t>
      </w:r>
      <w:r w:rsidRPr="007A1CDF">
        <w:rPr>
          <w:rFonts w:cs="Arial"/>
          <w:bCs/>
          <w:i/>
          <w:iCs/>
          <w:sz w:val="24"/>
          <w:szCs w:val="24"/>
          <w:lang w:val="es-ES"/>
        </w:rPr>
        <w:t>Diario Oficial de la Federación</w:t>
      </w:r>
      <w:r w:rsidRPr="007A1CDF">
        <w:rPr>
          <w:rFonts w:cs="Arial"/>
          <w:bCs/>
          <w:sz w:val="24"/>
          <w:szCs w:val="24"/>
          <w:lang w:val="es-ES"/>
        </w:rPr>
        <w:t xml:space="preserve"> el nueve de diciembre de dos mil trece”, específicamente, la derogación del artículo 129 del Código Fiscal de la Federación, precisamente, por considerar que </w:t>
      </w:r>
      <w:r w:rsidRPr="007A1CDF">
        <w:rPr>
          <w:rFonts w:cs="Arial"/>
          <w:bCs/>
          <w:i/>
          <w:sz w:val="24"/>
          <w:szCs w:val="24"/>
          <w:lang w:val="es-ES"/>
        </w:rPr>
        <w:t xml:space="preserve">transgrede el principio de progresividad de los derechos humanos, al suprimirse, injustificadamente, el derecho que contenía la referida norma en favor de los contribuyentes. </w:t>
      </w:r>
    </w:p>
    <w:p w14:paraId="0448A8A6" w14:textId="77777777" w:rsidR="007A1CDF" w:rsidRPr="007A1CDF" w:rsidRDefault="007A1CDF" w:rsidP="007A1CDF">
      <w:pPr>
        <w:pStyle w:val="corte4fondo"/>
        <w:spacing w:before="240" w:after="240"/>
        <w:ind w:firstLine="0"/>
        <w:rPr>
          <w:rFonts w:cs="Arial"/>
          <w:bCs/>
          <w:iCs/>
          <w:sz w:val="24"/>
          <w:szCs w:val="24"/>
          <w:lang w:val="es-ES"/>
        </w:rPr>
      </w:pPr>
      <w:r w:rsidRPr="007A1CDF">
        <w:rPr>
          <w:rFonts w:cs="Arial"/>
          <w:bCs/>
          <w:iCs/>
          <w:sz w:val="24"/>
          <w:szCs w:val="24"/>
          <w:lang w:val="es-ES"/>
        </w:rPr>
        <w:t xml:space="preserve">Al respecto, la Segunda Sala consideró que le asistía la razón a la recurrente en cuanto a que el Tribunal Colegiado había declarado la inoperancia de su concepto de violación en el sentido de que lo que reclamaba era la derogación de una norma legal. </w:t>
      </w:r>
    </w:p>
    <w:p w14:paraId="727AA418" w14:textId="77777777" w:rsidR="007A1CDF" w:rsidRPr="007A1CDF" w:rsidRDefault="007A1CDF" w:rsidP="007A1CDF">
      <w:pPr>
        <w:pStyle w:val="corte4fondo"/>
        <w:spacing w:before="240" w:after="240"/>
        <w:ind w:firstLine="0"/>
        <w:rPr>
          <w:snapToGrid w:val="0"/>
          <w:sz w:val="24"/>
          <w:szCs w:val="24"/>
          <w:lang w:val="es-ES_tradnl"/>
        </w:rPr>
      </w:pPr>
      <w:r w:rsidRPr="007A1CDF">
        <w:rPr>
          <w:rFonts w:cs="Arial"/>
          <w:sz w:val="24"/>
          <w:szCs w:val="24"/>
        </w:rPr>
        <w:t>En ese contexto, es importante señalar</w:t>
      </w:r>
      <w:r w:rsidR="00C650CE">
        <w:rPr>
          <w:rFonts w:cs="Arial"/>
          <w:sz w:val="24"/>
          <w:szCs w:val="24"/>
        </w:rPr>
        <w:t>,</w:t>
      </w:r>
      <w:r w:rsidRPr="007A1CDF">
        <w:rPr>
          <w:rFonts w:cs="Arial"/>
          <w:sz w:val="24"/>
          <w:szCs w:val="24"/>
        </w:rPr>
        <w:t xml:space="preserve"> en lo que interesa para resolver el presente caso</w:t>
      </w:r>
      <w:r w:rsidR="003B2E1C">
        <w:rPr>
          <w:rFonts w:cs="Arial"/>
          <w:sz w:val="24"/>
          <w:szCs w:val="24"/>
        </w:rPr>
        <w:t>,</w:t>
      </w:r>
      <w:r w:rsidRPr="007A1CDF">
        <w:rPr>
          <w:rFonts w:cs="Arial"/>
          <w:sz w:val="24"/>
          <w:szCs w:val="24"/>
        </w:rPr>
        <w:t xml:space="preserve"> que la Segunda Sala consideró que </w:t>
      </w:r>
      <w:r w:rsidRPr="007A1CDF">
        <w:rPr>
          <w:snapToGrid w:val="0"/>
          <w:sz w:val="24"/>
          <w:szCs w:val="24"/>
          <w:lang w:val="es-ES_tradnl"/>
        </w:rPr>
        <w:t xml:space="preserve">para analizar el problema de constitucionalidad planteado </w:t>
      </w:r>
      <w:r w:rsidRPr="003B2E1C">
        <w:rPr>
          <w:b/>
          <w:snapToGrid w:val="0"/>
          <w:sz w:val="24"/>
          <w:szCs w:val="24"/>
          <w:lang w:val="es-ES_tradnl"/>
        </w:rPr>
        <w:t>no debe exigirse que se haya aplicado la norma legal cuya derogación se impugna, en tanto lo que se cuestiona es, precisamente, que fue suprimida del orden jurídico mexicano,</w:t>
      </w:r>
      <w:r w:rsidRPr="007A1CDF">
        <w:rPr>
          <w:snapToGrid w:val="0"/>
          <w:sz w:val="24"/>
          <w:szCs w:val="24"/>
          <w:lang w:val="es-ES_tradnl"/>
        </w:rPr>
        <w:t xml:space="preserve"> por lo que evidentemente, atendiendo al principio de legalidad, la referida disposición jurídica no podía haber sido invocada por las autoridades ya sea en sede administrativa o en la sede contenciosa jurisdiccional.</w:t>
      </w:r>
    </w:p>
    <w:p w14:paraId="65F62AF9" w14:textId="77777777" w:rsidR="007A1CDF" w:rsidRDefault="007A1CDF" w:rsidP="003B2E1C">
      <w:pPr>
        <w:pStyle w:val="corte4fondo"/>
        <w:spacing w:before="240" w:after="240"/>
        <w:ind w:firstLine="0"/>
        <w:rPr>
          <w:i/>
          <w:snapToGrid w:val="0"/>
          <w:sz w:val="24"/>
          <w:szCs w:val="24"/>
          <w:lang w:val="es-ES_tradnl"/>
        </w:rPr>
      </w:pPr>
      <w:r w:rsidRPr="007A1CDF">
        <w:rPr>
          <w:snapToGrid w:val="0"/>
          <w:sz w:val="24"/>
          <w:szCs w:val="24"/>
          <w:lang w:val="es-ES_tradnl"/>
        </w:rPr>
        <w:t>En esa línea, para esta Sala Superior, siguiendo el criterio de la Segunda Sala</w:t>
      </w:r>
      <w:r w:rsidRPr="007A1CDF">
        <w:rPr>
          <w:rStyle w:val="Refdenotaalpie"/>
          <w:snapToGrid w:val="0"/>
          <w:sz w:val="24"/>
          <w:szCs w:val="24"/>
          <w:lang w:val="es-ES_tradnl"/>
        </w:rPr>
        <w:footnoteReference w:id="37"/>
      </w:r>
      <w:r w:rsidR="003B2E1C">
        <w:rPr>
          <w:snapToGrid w:val="0"/>
          <w:sz w:val="24"/>
          <w:szCs w:val="24"/>
          <w:lang w:val="es-ES_tradnl"/>
        </w:rPr>
        <w:t>,</w:t>
      </w:r>
      <w:r w:rsidRPr="007A1CDF">
        <w:rPr>
          <w:snapToGrid w:val="0"/>
          <w:sz w:val="24"/>
          <w:szCs w:val="24"/>
          <w:lang w:val="es-ES_tradnl"/>
        </w:rPr>
        <w:t xml:space="preserve"> lo que debe verificar este </w:t>
      </w:r>
      <w:r w:rsidR="008C0D8D">
        <w:rPr>
          <w:snapToGrid w:val="0"/>
          <w:sz w:val="24"/>
          <w:szCs w:val="24"/>
          <w:lang w:val="es-ES_tradnl"/>
        </w:rPr>
        <w:t>T</w:t>
      </w:r>
      <w:r w:rsidRPr="007A1CDF">
        <w:rPr>
          <w:snapToGrid w:val="0"/>
          <w:sz w:val="24"/>
          <w:szCs w:val="24"/>
          <w:lang w:val="es-ES_tradnl"/>
        </w:rPr>
        <w:t xml:space="preserve">ribunal de cierre es la afectación a la esfera jurídica de la ciudadanía </w:t>
      </w:r>
      <w:r w:rsidRPr="007A1CDF">
        <w:rPr>
          <w:i/>
          <w:iCs/>
          <w:snapToGrid w:val="0"/>
          <w:sz w:val="24"/>
          <w:szCs w:val="24"/>
          <w:lang w:val="es-ES_tradnl"/>
        </w:rPr>
        <w:t>“</w:t>
      </w:r>
      <w:r w:rsidRPr="007A1CDF">
        <w:rPr>
          <w:i/>
          <w:snapToGrid w:val="0"/>
          <w:sz w:val="24"/>
          <w:szCs w:val="24"/>
          <w:lang w:val="es-ES_tradnl"/>
        </w:rPr>
        <w:t xml:space="preserve">que causa la derogación o modificación de una norma general que regulaba un derecho humano, o bien, servía de base para complementarlo, expandirlo o garantizarlo, ya sea de carácter sustantivo o adjetivo”. </w:t>
      </w:r>
    </w:p>
    <w:p w14:paraId="2FDB6ED8" w14:textId="77777777" w:rsidR="003B2E1C" w:rsidRDefault="003B2E1C" w:rsidP="003B2E1C">
      <w:pPr>
        <w:pStyle w:val="corte4fondo"/>
        <w:spacing w:before="240" w:after="240"/>
        <w:ind w:firstLine="0"/>
        <w:rPr>
          <w:iCs/>
          <w:snapToGrid w:val="0"/>
          <w:sz w:val="24"/>
          <w:szCs w:val="24"/>
          <w:lang w:val="es-ES_tradnl"/>
        </w:rPr>
      </w:pPr>
      <w:r>
        <w:rPr>
          <w:iCs/>
          <w:snapToGrid w:val="0"/>
          <w:sz w:val="24"/>
          <w:szCs w:val="24"/>
          <w:lang w:val="es-ES_tradnl"/>
        </w:rPr>
        <w:t>Finalmente, además de lo ya razonado, esta Sala Superior confirma la posibilidad de controlar jurisdiccionalmente los decretos legislativos que contentan disposiciones derogatorias porque estos actos modifica</w:t>
      </w:r>
      <w:r w:rsidR="006B1674">
        <w:rPr>
          <w:iCs/>
          <w:snapToGrid w:val="0"/>
          <w:sz w:val="24"/>
          <w:szCs w:val="24"/>
          <w:lang w:val="es-ES_tradnl"/>
        </w:rPr>
        <w:t xml:space="preserve">n </w:t>
      </w:r>
      <w:r>
        <w:rPr>
          <w:iCs/>
          <w:snapToGrid w:val="0"/>
          <w:sz w:val="24"/>
          <w:szCs w:val="24"/>
          <w:lang w:val="es-ES_tradnl"/>
        </w:rPr>
        <w:t xml:space="preserve">el orden jurídico. </w:t>
      </w:r>
    </w:p>
    <w:p w14:paraId="10382CE3" w14:textId="77777777" w:rsidR="007A1CDF" w:rsidRPr="003B2E1C" w:rsidRDefault="003B2E1C" w:rsidP="003B2E1C">
      <w:pPr>
        <w:pStyle w:val="corte4fondo"/>
        <w:spacing w:before="240" w:after="240"/>
        <w:ind w:firstLine="0"/>
        <w:rPr>
          <w:rFonts w:cs="Arial"/>
          <w:snapToGrid w:val="0"/>
          <w:sz w:val="24"/>
          <w:szCs w:val="24"/>
          <w:lang w:val="es-ES_tradnl"/>
        </w:rPr>
      </w:pPr>
      <w:r>
        <w:rPr>
          <w:iCs/>
          <w:snapToGrid w:val="0"/>
          <w:sz w:val="24"/>
          <w:szCs w:val="24"/>
          <w:lang w:val="es-ES_tradnl"/>
        </w:rPr>
        <w:t xml:space="preserve">De no poder revisarlos, implicaría la posibilidad de aceptar graves consecuencias normativas, </w:t>
      </w:r>
      <w:r w:rsidR="007A1CDF" w:rsidRPr="007A1CDF">
        <w:rPr>
          <w:rFonts w:cs="Arial"/>
          <w:sz w:val="24"/>
          <w:szCs w:val="24"/>
        </w:rPr>
        <w:t xml:space="preserve">como el caso de modificaciones al orden jurídico en virtud no solo de normas abiertamente regresivas, </w:t>
      </w:r>
      <w:r w:rsidR="007A1CDF" w:rsidRPr="007A1CDF">
        <w:rPr>
          <w:rFonts w:cs="Arial"/>
          <w:snapToGrid w:val="0"/>
          <w:sz w:val="24"/>
          <w:szCs w:val="24"/>
          <w:lang w:val="es-ES_tradnl"/>
        </w:rPr>
        <w:t xml:space="preserve">sino también por la </w:t>
      </w:r>
      <w:r w:rsidR="007A1CDF" w:rsidRPr="007A1CDF">
        <w:rPr>
          <w:rFonts w:cs="Arial"/>
          <w:b/>
          <w:bCs/>
          <w:iCs/>
          <w:snapToGrid w:val="0"/>
          <w:sz w:val="24"/>
          <w:szCs w:val="24"/>
          <w:lang w:val="es-ES_tradnl"/>
        </w:rPr>
        <w:t>situación de regresividad que conlleva la supresión o modificación de preceptos legales que se relacionan con derechos humanos fundamentales</w:t>
      </w:r>
      <w:r w:rsidR="007A1CDF" w:rsidRPr="007A1CDF">
        <w:rPr>
          <w:rFonts w:cs="Arial"/>
          <w:i/>
          <w:snapToGrid w:val="0"/>
          <w:sz w:val="24"/>
          <w:szCs w:val="24"/>
          <w:lang w:val="es-ES_tradnl"/>
        </w:rPr>
        <w:t xml:space="preserve"> </w:t>
      </w:r>
      <w:r w:rsidR="007A1CDF" w:rsidRPr="007A1CDF">
        <w:rPr>
          <w:rFonts w:cs="Arial"/>
          <w:snapToGrid w:val="0"/>
          <w:sz w:val="24"/>
          <w:szCs w:val="24"/>
          <w:lang w:val="es-ES_tradnl"/>
        </w:rPr>
        <w:t>y que el Estado se encuentra obligado a promover, respetar, proteger y garantizar, de conformidad con el artículo 1</w:t>
      </w:r>
      <w:r w:rsidR="006B1674">
        <w:rPr>
          <w:rFonts w:cs="Arial"/>
          <w:snapToGrid w:val="0"/>
          <w:sz w:val="24"/>
          <w:szCs w:val="24"/>
          <w:lang w:val="es-ES_tradnl"/>
        </w:rPr>
        <w:t xml:space="preserve">. </w:t>
      </w:r>
      <w:r w:rsidR="007A1CDF" w:rsidRPr="007A1CDF">
        <w:rPr>
          <w:rFonts w:cs="Arial"/>
          <w:snapToGrid w:val="0"/>
          <w:sz w:val="24"/>
          <w:szCs w:val="24"/>
          <w:lang w:val="es-ES_tradnl"/>
        </w:rPr>
        <w:t>º constitucional.</w:t>
      </w:r>
      <w:r w:rsidR="007A1CDF" w:rsidRPr="007A1CDF">
        <w:rPr>
          <w:rFonts w:cs="Arial"/>
          <w:sz w:val="24"/>
          <w:szCs w:val="24"/>
        </w:rPr>
        <w:t xml:space="preserve"> </w:t>
      </w:r>
    </w:p>
    <w:p w14:paraId="5E7CBC55" w14:textId="77777777" w:rsidR="00A54C68" w:rsidRPr="009104F9" w:rsidRDefault="00A54C68" w:rsidP="00A54C68">
      <w:pPr>
        <w:pStyle w:val="Sinespaciado"/>
        <w:spacing w:line="360" w:lineRule="auto"/>
        <w:jc w:val="both"/>
        <w:rPr>
          <w:rFonts w:ascii="Arial" w:hAnsi="Arial" w:cs="Arial"/>
          <w:sz w:val="24"/>
          <w:szCs w:val="24"/>
        </w:rPr>
      </w:pPr>
      <w:r w:rsidRPr="009104F9">
        <w:rPr>
          <w:rFonts w:ascii="Arial" w:hAnsi="Arial" w:cs="Arial"/>
          <w:sz w:val="24"/>
          <w:szCs w:val="24"/>
        </w:rPr>
        <w:t>Cuando la Constitución establece una jurisdicción constitucional especial y establece una serie de vías para enjuiciar la validez de cualquier norma secundaria, el o los órganos de control tienen facultades para conocer de:</w:t>
      </w:r>
    </w:p>
    <w:p w14:paraId="7251FC31" w14:textId="77777777" w:rsidR="00A54C68" w:rsidRPr="009104F9" w:rsidRDefault="00A54C68" w:rsidP="00A54C68">
      <w:pPr>
        <w:pStyle w:val="Sinespaciado"/>
        <w:numPr>
          <w:ilvl w:val="0"/>
          <w:numId w:val="16"/>
        </w:numPr>
        <w:spacing w:line="360" w:lineRule="auto"/>
        <w:jc w:val="both"/>
        <w:rPr>
          <w:rFonts w:ascii="Arial" w:hAnsi="Arial" w:cs="Arial"/>
          <w:sz w:val="24"/>
          <w:szCs w:val="24"/>
        </w:rPr>
      </w:pPr>
      <w:r w:rsidRPr="009104F9">
        <w:rPr>
          <w:rFonts w:ascii="Arial" w:hAnsi="Arial" w:cs="Arial"/>
          <w:sz w:val="24"/>
          <w:szCs w:val="24"/>
        </w:rPr>
        <w:t xml:space="preserve">Planteamientos contra </w:t>
      </w:r>
      <w:r w:rsidRPr="009104F9">
        <w:rPr>
          <w:rFonts w:ascii="Arial" w:hAnsi="Arial" w:cs="Arial"/>
          <w:b/>
          <w:sz w:val="24"/>
          <w:szCs w:val="24"/>
        </w:rPr>
        <w:t>disposiciones</w:t>
      </w:r>
      <w:r w:rsidRPr="009104F9">
        <w:rPr>
          <w:rFonts w:ascii="Arial" w:hAnsi="Arial" w:cs="Arial"/>
          <w:sz w:val="24"/>
          <w:szCs w:val="24"/>
        </w:rPr>
        <w:t xml:space="preserve"> contenidas en la norma combatida.</w:t>
      </w:r>
    </w:p>
    <w:p w14:paraId="4E44D28B" w14:textId="77777777" w:rsidR="00A54C68" w:rsidRPr="009104F9" w:rsidRDefault="00A54C68" w:rsidP="00A54C68">
      <w:pPr>
        <w:pStyle w:val="Sinespaciado"/>
        <w:numPr>
          <w:ilvl w:val="0"/>
          <w:numId w:val="16"/>
        </w:numPr>
        <w:spacing w:line="360" w:lineRule="auto"/>
        <w:jc w:val="both"/>
        <w:rPr>
          <w:rFonts w:ascii="Arial" w:hAnsi="Arial" w:cs="Arial"/>
          <w:sz w:val="24"/>
          <w:szCs w:val="24"/>
        </w:rPr>
      </w:pPr>
      <w:r w:rsidRPr="009104F9">
        <w:rPr>
          <w:rFonts w:ascii="Arial" w:hAnsi="Arial" w:cs="Arial"/>
          <w:sz w:val="24"/>
          <w:szCs w:val="24"/>
        </w:rPr>
        <w:t xml:space="preserve">Planteamientos por la </w:t>
      </w:r>
      <w:r w:rsidRPr="009104F9">
        <w:rPr>
          <w:rFonts w:ascii="Arial" w:hAnsi="Arial" w:cs="Arial"/>
          <w:b/>
          <w:sz w:val="24"/>
          <w:szCs w:val="24"/>
        </w:rPr>
        <w:t xml:space="preserve">omisión </w:t>
      </w:r>
      <w:r w:rsidRPr="009104F9">
        <w:rPr>
          <w:rFonts w:ascii="Arial" w:hAnsi="Arial" w:cs="Arial"/>
          <w:sz w:val="24"/>
          <w:szCs w:val="24"/>
        </w:rPr>
        <w:t>absoluta o parcial de alguna norma que debiendo regular cierta materia por mandato de la Constitución no lo hace o lo realiza de manera deficiente; o,</w:t>
      </w:r>
    </w:p>
    <w:p w14:paraId="414E0A51" w14:textId="77777777" w:rsidR="00A54C68" w:rsidRPr="009104F9" w:rsidRDefault="00A54C68" w:rsidP="00A54C68">
      <w:pPr>
        <w:pStyle w:val="Sinespaciado"/>
        <w:numPr>
          <w:ilvl w:val="0"/>
          <w:numId w:val="16"/>
        </w:numPr>
        <w:spacing w:line="360" w:lineRule="auto"/>
        <w:jc w:val="both"/>
        <w:rPr>
          <w:rFonts w:ascii="Arial" w:hAnsi="Arial" w:cs="Arial"/>
          <w:sz w:val="24"/>
          <w:szCs w:val="24"/>
        </w:rPr>
      </w:pPr>
      <w:r w:rsidRPr="009104F9">
        <w:rPr>
          <w:rFonts w:ascii="Arial" w:hAnsi="Arial" w:cs="Arial"/>
          <w:sz w:val="24"/>
          <w:szCs w:val="24"/>
        </w:rPr>
        <w:t xml:space="preserve">Planteamientos por </w:t>
      </w:r>
      <w:r w:rsidRPr="009104F9">
        <w:rPr>
          <w:rFonts w:ascii="Arial" w:hAnsi="Arial" w:cs="Arial"/>
          <w:b/>
          <w:sz w:val="24"/>
          <w:szCs w:val="24"/>
        </w:rPr>
        <w:t>derogación</w:t>
      </w:r>
      <w:r w:rsidRPr="009104F9">
        <w:rPr>
          <w:rFonts w:ascii="Arial" w:hAnsi="Arial" w:cs="Arial"/>
          <w:sz w:val="24"/>
          <w:szCs w:val="24"/>
        </w:rPr>
        <w:t xml:space="preserve"> de normas que materializaban algún derecho o principio constitucional o convencional y debido a la modificación respectiva dejaron de hacerlo.</w:t>
      </w:r>
    </w:p>
    <w:p w14:paraId="69EEADE0" w14:textId="662BBFA4" w:rsidR="00A54C68" w:rsidRPr="009104F9" w:rsidRDefault="00A54C68" w:rsidP="00A54C68">
      <w:pPr>
        <w:pStyle w:val="Sinespaciado"/>
        <w:spacing w:line="360" w:lineRule="auto"/>
        <w:jc w:val="both"/>
        <w:rPr>
          <w:rFonts w:ascii="Arial" w:hAnsi="Arial" w:cs="Arial"/>
          <w:sz w:val="24"/>
          <w:szCs w:val="24"/>
        </w:rPr>
      </w:pPr>
      <w:r w:rsidRPr="009104F9">
        <w:rPr>
          <w:rFonts w:ascii="Arial" w:hAnsi="Arial" w:cs="Arial"/>
          <w:sz w:val="24"/>
          <w:szCs w:val="24"/>
        </w:rPr>
        <w:t xml:space="preserve">En el caso, es jurídicamente procedente controlar jurisdiccionalmente la derogación de la figura de </w:t>
      </w:r>
      <w:r w:rsidRPr="009104F9">
        <w:rPr>
          <w:rFonts w:ascii="Arial" w:hAnsi="Arial" w:cs="Arial"/>
          <w:i/>
          <w:sz w:val="24"/>
          <w:szCs w:val="24"/>
        </w:rPr>
        <w:t>diputación migrante</w:t>
      </w:r>
      <w:r w:rsidRPr="009104F9">
        <w:rPr>
          <w:rFonts w:ascii="Arial" w:hAnsi="Arial" w:cs="Arial"/>
          <w:sz w:val="24"/>
          <w:szCs w:val="24"/>
        </w:rPr>
        <w:t xml:space="preserve"> del Código Electoral de la </w:t>
      </w:r>
      <w:r w:rsidR="007C5108" w:rsidRPr="009104F9">
        <w:rPr>
          <w:rFonts w:ascii="Arial" w:hAnsi="Arial" w:cs="Arial"/>
          <w:sz w:val="24"/>
          <w:szCs w:val="24"/>
        </w:rPr>
        <w:t>Ciudad de México</w:t>
      </w:r>
      <w:r w:rsidRPr="009104F9">
        <w:rPr>
          <w:rFonts w:ascii="Arial" w:hAnsi="Arial" w:cs="Arial"/>
          <w:sz w:val="24"/>
          <w:szCs w:val="24"/>
        </w:rPr>
        <w:t xml:space="preserve">, en atención a que el juicio para la protección de los derechos político-electorales del ciudadano (en segunda instancia, el recurso de reconsideración) constituye un medio de control de constitucionalidad a través del cual se puede conocer, entre otros, de los actos legislativos que son, en primer lugar, las leyes, pero también de cualquiera de sus modalidades, pues así se lo autoriza la Constitución al </w:t>
      </w:r>
      <w:r w:rsidR="00633014" w:rsidRPr="009104F9">
        <w:rPr>
          <w:rFonts w:ascii="Arial" w:hAnsi="Arial" w:cs="Arial"/>
          <w:sz w:val="24"/>
          <w:szCs w:val="24"/>
        </w:rPr>
        <w:t>Tribunal Electoral</w:t>
      </w:r>
      <w:r w:rsidRPr="009104F9">
        <w:rPr>
          <w:rFonts w:ascii="Arial" w:hAnsi="Arial" w:cs="Arial"/>
          <w:sz w:val="24"/>
          <w:szCs w:val="24"/>
        </w:rPr>
        <w:t xml:space="preserve"> en el artículo 99, fracción V.</w:t>
      </w:r>
    </w:p>
    <w:p w14:paraId="561EC0D4" w14:textId="45DC2171" w:rsidR="00716335" w:rsidRDefault="007A1CDF" w:rsidP="005A0ECC">
      <w:pPr>
        <w:spacing w:before="240" w:after="240" w:line="360" w:lineRule="auto"/>
        <w:jc w:val="both"/>
        <w:rPr>
          <w:rFonts w:ascii="Arial" w:hAnsi="Arial" w:cs="Arial"/>
        </w:rPr>
      </w:pPr>
      <w:r w:rsidRPr="007A1CDF">
        <w:rPr>
          <w:rFonts w:ascii="Arial" w:hAnsi="Arial" w:cs="Arial"/>
        </w:rPr>
        <w:t xml:space="preserve">En suma, </w:t>
      </w:r>
      <w:r w:rsidR="003B2E1C">
        <w:rPr>
          <w:rFonts w:ascii="Arial" w:hAnsi="Arial" w:cs="Arial"/>
        </w:rPr>
        <w:t xml:space="preserve">este </w:t>
      </w:r>
      <w:r w:rsidR="008C0D8D">
        <w:rPr>
          <w:rFonts w:ascii="Arial" w:hAnsi="Arial" w:cs="Arial"/>
        </w:rPr>
        <w:t>T</w:t>
      </w:r>
      <w:r w:rsidR="003B2E1C">
        <w:rPr>
          <w:rFonts w:ascii="Arial" w:hAnsi="Arial" w:cs="Arial"/>
        </w:rPr>
        <w:t>ribunal concluye que</w:t>
      </w:r>
      <w:r w:rsidR="00DD6F1E">
        <w:rPr>
          <w:rFonts w:ascii="Arial" w:hAnsi="Arial" w:cs="Arial"/>
        </w:rPr>
        <w:t>,</w:t>
      </w:r>
      <w:r w:rsidR="003B2E1C">
        <w:rPr>
          <w:rFonts w:ascii="Arial" w:hAnsi="Arial" w:cs="Arial"/>
        </w:rPr>
        <w:t xml:space="preserve"> al ser </w:t>
      </w:r>
      <w:r w:rsidR="006B1674">
        <w:rPr>
          <w:rFonts w:ascii="Arial" w:hAnsi="Arial" w:cs="Arial"/>
        </w:rPr>
        <w:t xml:space="preserve">la derogación </w:t>
      </w:r>
      <w:r w:rsidR="003B2E1C">
        <w:rPr>
          <w:rFonts w:ascii="Arial" w:hAnsi="Arial" w:cs="Arial"/>
        </w:rPr>
        <w:t xml:space="preserve">la técnica usual de eliminación de normas jurídicas, así como cualquier otro acto jurídico, </w:t>
      </w:r>
      <w:r w:rsidRPr="007A1CDF">
        <w:rPr>
          <w:rFonts w:ascii="Arial" w:hAnsi="Arial" w:cs="Arial"/>
        </w:rPr>
        <w:t>está sujeta a control constitucional</w:t>
      </w:r>
      <w:r w:rsidR="003B2E1C">
        <w:rPr>
          <w:rFonts w:ascii="Arial" w:hAnsi="Arial" w:cs="Arial"/>
        </w:rPr>
        <w:t>. E</w:t>
      </w:r>
      <w:r w:rsidRPr="007A1CDF">
        <w:rPr>
          <w:rFonts w:ascii="Arial" w:hAnsi="Arial" w:cs="Arial"/>
        </w:rPr>
        <w:t xml:space="preserve">s decir, que es necesario y legítimo que los órganos jurisdiccionales puedan determinar si los actos derogatorios son o no válidos. </w:t>
      </w:r>
    </w:p>
    <w:p w14:paraId="74D85FFA" w14:textId="77777777" w:rsidR="00AE1A19" w:rsidRDefault="00AE1A19" w:rsidP="005A0ECC">
      <w:pPr>
        <w:spacing w:before="240" w:after="240" w:line="360" w:lineRule="auto"/>
        <w:jc w:val="both"/>
        <w:rPr>
          <w:rFonts w:ascii="Arial" w:hAnsi="Arial" w:cs="Arial"/>
        </w:rPr>
      </w:pPr>
      <w:r>
        <w:rPr>
          <w:rFonts w:ascii="Arial" w:hAnsi="Arial" w:cs="Arial"/>
        </w:rPr>
        <w:t>Por ello, esta Sala Superior concluye que está en posibilidad de analizar la validez constitucional del decreto legislativo que derogó la figura de la diputación migrante.</w:t>
      </w:r>
    </w:p>
    <w:p w14:paraId="2BE6E74B" w14:textId="77777777" w:rsidR="00AE1A19" w:rsidRPr="009B4DDD" w:rsidRDefault="00AE1A19" w:rsidP="005A0ECC">
      <w:pPr>
        <w:spacing w:before="240" w:after="240" w:line="360" w:lineRule="auto"/>
        <w:jc w:val="both"/>
        <w:rPr>
          <w:rFonts w:ascii="Arial" w:hAnsi="Arial" w:cs="Arial"/>
        </w:rPr>
      </w:pPr>
      <w:r>
        <w:rPr>
          <w:rFonts w:ascii="Arial" w:hAnsi="Arial" w:cs="Arial"/>
        </w:rPr>
        <w:t xml:space="preserve">Superado este primer punto, a </w:t>
      </w:r>
      <w:r w:rsidR="004129A3">
        <w:rPr>
          <w:rFonts w:ascii="Arial" w:hAnsi="Arial" w:cs="Arial"/>
        </w:rPr>
        <w:t>continuación,</w:t>
      </w:r>
      <w:r>
        <w:rPr>
          <w:rFonts w:ascii="Arial" w:hAnsi="Arial" w:cs="Arial"/>
        </w:rPr>
        <w:t xml:space="preserve"> se determinará si el tipo de control constitucional que debe ser desplegado para revisar la validez del decreto que se impugna entra dentro de las facultades de esta Sala Superior. </w:t>
      </w:r>
    </w:p>
    <w:p w14:paraId="5443EA42" w14:textId="77777777" w:rsidR="005A0ECC" w:rsidRPr="006215A7" w:rsidRDefault="00513F43" w:rsidP="00991F83">
      <w:pPr>
        <w:pStyle w:val="Ttulo1"/>
        <w:numPr>
          <w:ilvl w:val="0"/>
          <w:numId w:val="12"/>
        </w:numPr>
        <w:spacing w:before="240" w:beforeAutospacing="0" w:after="240" w:afterAutospacing="0"/>
        <w:jc w:val="both"/>
        <w:rPr>
          <w:rFonts w:ascii="Arial Negrita" w:eastAsiaTheme="minorHAnsi" w:hAnsi="Arial Negrita" w:cs="Arial"/>
          <w:caps w:val="0"/>
          <w:szCs w:val="24"/>
        </w:rPr>
      </w:pPr>
      <w:r w:rsidRPr="006215A7">
        <w:rPr>
          <w:rFonts w:ascii="Arial Negrita" w:eastAsiaTheme="minorHAnsi" w:hAnsi="Arial Negrita" w:cs="Arial"/>
          <w:caps w:val="0"/>
          <w:szCs w:val="24"/>
        </w:rPr>
        <w:t xml:space="preserve"> </w:t>
      </w:r>
      <w:bookmarkStart w:id="24" w:name="_Toc48404881"/>
      <w:r w:rsidR="005A0ECC" w:rsidRPr="006215A7">
        <w:rPr>
          <w:rFonts w:ascii="Arial Negrita" w:eastAsiaTheme="minorHAnsi" w:hAnsi="Arial Negrita" w:cs="Arial"/>
          <w:caps w:val="0"/>
          <w:szCs w:val="24"/>
        </w:rPr>
        <w:t xml:space="preserve">La </w:t>
      </w:r>
      <w:r w:rsidR="00AE1A19" w:rsidRPr="006215A7">
        <w:rPr>
          <w:rFonts w:ascii="Arial Negrita" w:eastAsiaTheme="minorHAnsi" w:hAnsi="Arial Negrita" w:cs="Arial"/>
          <w:caps w:val="0"/>
          <w:szCs w:val="24"/>
        </w:rPr>
        <w:t>posibilidad de que esta Sala Superior revise la validez constitucional del decreto impugnado</w:t>
      </w:r>
      <w:bookmarkEnd w:id="24"/>
      <w:r w:rsidR="005A0ECC" w:rsidRPr="006215A7">
        <w:rPr>
          <w:rFonts w:ascii="Arial Negrita" w:eastAsiaTheme="minorHAnsi" w:hAnsi="Arial Negrita" w:cs="Arial"/>
          <w:caps w:val="0"/>
          <w:szCs w:val="24"/>
        </w:rPr>
        <w:t xml:space="preserve"> </w:t>
      </w:r>
    </w:p>
    <w:p w14:paraId="4C7EC0CA" w14:textId="77777777" w:rsidR="00AE1A19" w:rsidRPr="009B4DDD" w:rsidRDefault="00AE1A19" w:rsidP="00AE1A19">
      <w:pPr>
        <w:spacing w:before="240" w:after="240" w:line="360" w:lineRule="auto"/>
        <w:jc w:val="both"/>
        <w:rPr>
          <w:rFonts w:ascii="Arial" w:hAnsi="Arial" w:cs="Arial"/>
        </w:rPr>
      </w:pPr>
      <w:r>
        <w:rPr>
          <w:rFonts w:ascii="Arial" w:hAnsi="Arial" w:cs="Arial"/>
        </w:rPr>
        <w:t xml:space="preserve">Tal y como se expuso previamente, de acuerdo con el </w:t>
      </w:r>
      <w:r w:rsidRPr="009B4DDD">
        <w:rPr>
          <w:rFonts w:ascii="Arial" w:hAnsi="Arial" w:cs="Arial"/>
        </w:rPr>
        <w:t>artículo 99</w:t>
      </w:r>
      <w:r>
        <w:rPr>
          <w:rFonts w:ascii="Arial" w:hAnsi="Arial" w:cs="Arial"/>
        </w:rPr>
        <w:t xml:space="preserve"> y 105 </w:t>
      </w:r>
      <w:r w:rsidRPr="009B4DDD">
        <w:rPr>
          <w:rFonts w:ascii="Arial" w:hAnsi="Arial" w:cs="Arial"/>
        </w:rPr>
        <w:t xml:space="preserve">de la Constitución federal, </w:t>
      </w:r>
      <w:r>
        <w:rPr>
          <w:rFonts w:ascii="Arial" w:hAnsi="Arial" w:cs="Arial"/>
        </w:rPr>
        <w:t xml:space="preserve">se desprende que </w:t>
      </w:r>
      <w:r w:rsidRPr="009B4DDD">
        <w:rPr>
          <w:rFonts w:ascii="Arial" w:hAnsi="Arial" w:cs="Arial"/>
        </w:rPr>
        <w:t>el Tribunal Electoral del Poder Judicial de la Federación es la máxima autoridad jurisdiccional en la materi</w:t>
      </w:r>
      <w:r>
        <w:rPr>
          <w:rFonts w:ascii="Arial" w:hAnsi="Arial" w:cs="Arial"/>
        </w:rPr>
        <w:t xml:space="preserve">a, y que </w:t>
      </w:r>
      <w:r w:rsidRPr="009B4DDD">
        <w:rPr>
          <w:rFonts w:ascii="Arial" w:hAnsi="Arial" w:cs="Arial"/>
        </w:rPr>
        <w:t xml:space="preserve">las salas del Tribunal Electoral podrán resolver la no aplicación de leyes sobre la materia electoral contrarias a la Constitución o a los derechos humanos reconocidos en los tratados internacionales en los que México sea parte. </w:t>
      </w:r>
    </w:p>
    <w:p w14:paraId="35B6E4EB" w14:textId="77777777" w:rsidR="00AE1A19" w:rsidRDefault="00AE1A19" w:rsidP="005A0ECC">
      <w:pPr>
        <w:spacing w:before="240" w:after="240" w:line="360" w:lineRule="auto"/>
        <w:jc w:val="both"/>
        <w:rPr>
          <w:rFonts w:ascii="Arial" w:hAnsi="Arial" w:cs="Arial"/>
        </w:rPr>
      </w:pPr>
      <w:r w:rsidRPr="009B4DDD">
        <w:rPr>
          <w:rFonts w:ascii="Arial" w:hAnsi="Arial" w:cs="Arial"/>
        </w:rPr>
        <w:t>Es decir</w:t>
      </w:r>
      <w:r w:rsidR="00D01741">
        <w:rPr>
          <w:rFonts w:ascii="Arial" w:hAnsi="Arial" w:cs="Arial"/>
        </w:rPr>
        <w:t>,</w:t>
      </w:r>
      <w:r w:rsidRPr="009B4DDD">
        <w:rPr>
          <w:rFonts w:ascii="Arial" w:hAnsi="Arial" w:cs="Arial"/>
        </w:rPr>
        <w:t xml:space="preserve"> el Tribunal Electoral únicamente puede desplegar sus facultades de</w:t>
      </w:r>
      <w:r w:rsidR="008C0D8D">
        <w:rPr>
          <w:rFonts w:ascii="Arial" w:hAnsi="Arial" w:cs="Arial"/>
        </w:rPr>
        <w:t xml:space="preserve"> T</w:t>
      </w:r>
      <w:r w:rsidR="008A2006">
        <w:rPr>
          <w:rFonts w:ascii="Arial" w:hAnsi="Arial" w:cs="Arial"/>
        </w:rPr>
        <w:t>ribunal constitucional de cierre</w:t>
      </w:r>
      <w:r w:rsidRPr="009B4DDD">
        <w:rPr>
          <w:rFonts w:ascii="Arial" w:hAnsi="Arial" w:cs="Arial"/>
        </w:rPr>
        <w:t xml:space="preserve"> cuando la aplicación de una norma </w:t>
      </w:r>
      <w:r w:rsidRPr="009B4DDD">
        <w:rPr>
          <w:rFonts w:ascii="Arial" w:hAnsi="Arial" w:cs="Arial"/>
          <w:b/>
        </w:rPr>
        <w:t>produce un daño en la esfera jurídica de quien es titular del derecho</w:t>
      </w:r>
      <w:r w:rsidRPr="009B4DDD">
        <w:rPr>
          <w:rFonts w:ascii="Arial" w:hAnsi="Arial" w:cs="Arial"/>
        </w:rPr>
        <w:t xml:space="preserve">. Como consecuencia de esto, el efecto de esa decisión será, naturalmente, no aplicar la norma para el caso concreto. Es decir, </w:t>
      </w:r>
      <w:r w:rsidRPr="009B4DDD">
        <w:rPr>
          <w:rFonts w:ascii="Arial" w:hAnsi="Arial" w:cs="Arial"/>
          <w:b/>
        </w:rPr>
        <w:t>evitar el daño o la vulneración del derecho que está en juego</w:t>
      </w:r>
      <w:r w:rsidRPr="009B4DDD">
        <w:rPr>
          <w:rFonts w:ascii="Arial" w:hAnsi="Arial" w:cs="Arial"/>
        </w:rPr>
        <w:t>.</w:t>
      </w:r>
    </w:p>
    <w:p w14:paraId="4478D58D" w14:textId="77777777" w:rsidR="00A223C3" w:rsidRDefault="00A223C3" w:rsidP="005A0ECC">
      <w:pPr>
        <w:spacing w:before="240" w:after="240" w:line="360" w:lineRule="auto"/>
        <w:jc w:val="both"/>
        <w:rPr>
          <w:rFonts w:ascii="Arial" w:hAnsi="Arial" w:cs="Arial"/>
        </w:rPr>
      </w:pPr>
      <w:r>
        <w:rPr>
          <w:rFonts w:ascii="Arial" w:hAnsi="Arial" w:cs="Arial"/>
        </w:rPr>
        <w:t xml:space="preserve">Ahora bien, el caso que ahora se estudia trae aparejadas una serie de particularidades que tienen como consecuencia, por un lado, la imposibilidad de que se </w:t>
      </w:r>
      <w:r w:rsidR="00330F8A">
        <w:rPr>
          <w:rFonts w:ascii="Arial" w:hAnsi="Arial" w:cs="Arial"/>
        </w:rPr>
        <w:t>re</w:t>
      </w:r>
      <w:r w:rsidR="00D01741">
        <w:rPr>
          <w:rFonts w:ascii="Arial" w:hAnsi="Arial" w:cs="Arial"/>
        </w:rPr>
        <w:t>ú</w:t>
      </w:r>
      <w:r w:rsidR="00330F8A">
        <w:rPr>
          <w:rFonts w:ascii="Arial" w:hAnsi="Arial" w:cs="Arial"/>
        </w:rPr>
        <w:t>nan</w:t>
      </w:r>
      <w:r>
        <w:rPr>
          <w:rFonts w:ascii="Arial" w:hAnsi="Arial" w:cs="Arial"/>
        </w:rPr>
        <w:t xml:space="preserve"> todas las condiciones ordinarias para poder hacer un control de constitucionalidad concreto. </w:t>
      </w:r>
      <w:r w:rsidR="00A03588">
        <w:rPr>
          <w:rFonts w:ascii="Arial" w:hAnsi="Arial" w:cs="Arial"/>
        </w:rPr>
        <w:t>Esto es</w:t>
      </w:r>
      <w:r w:rsidR="002C02B2">
        <w:rPr>
          <w:rFonts w:ascii="Arial" w:hAnsi="Arial" w:cs="Arial"/>
        </w:rPr>
        <w:t>,</w:t>
      </w:r>
      <w:r w:rsidR="00A03588">
        <w:rPr>
          <w:rFonts w:ascii="Arial" w:hAnsi="Arial" w:cs="Arial"/>
        </w:rPr>
        <w:t xml:space="preserve"> que, contrario a lo que ordinariamente se exige para que este </w:t>
      </w:r>
      <w:r w:rsidR="008C0D8D">
        <w:rPr>
          <w:rFonts w:ascii="Arial" w:hAnsi="Arial" w:cs="Arial"/>
        </w:rPr>
        <w:t>T</w:t>
      </w:r>
      <w:r w:rsidR="00A03588">
        <w:rPr>
          <w:rFonts w:ascii="Arial" w:hAnsi="Arial" w:cs="Arial"/>
        </w:rPr>
        <w:t xml:space="preserve">ribunal pueda desplegar sus facultades </w:t>
      </w:r>
      <w:r w:rsidR="00B871E9">
        <w:rPr>
          <w:rFonts w:ascii="Arial" w:hAnsi="Arial" w:cs="Arial"/>
        </w:rPr>
        <w:t xml:space="preserve">de control de la regularidad constitucionalidad </w:t>
      </w:r>
      <w:r w:rsidR="00267A0D">
        <w:rPr>
          <w:rFonts w:ascii="Arial" w:hAnsi="Arial" w:cs="Arial"/>
        </w:rPr>
        <w:t>en el plano del control concreto</w:t>
      </w:r>
      <w:r w:rsidR="00A03588">
        <w:rPr>
          <w:rFonts w:ascii="Arial" w:hAnsi="Arial" w:cs="Arial"/>
        </w:rPr>
        <w:t>, es imposible</w:t>
      </w:r>
      <w:r w:rsidR="007D6C49">
        <w:rPr>
          <w:rFonts w:ascii="Arial" w:hAnsi="Arial" w:cs="Arial"/>
        </w:rPr>
        <w:t>, por principio,</w:t>
      </w:r>
      <w:r w:rsidR="00A03588">
        <w:rPr>
          <w:rFonts w:ascii="Arial" w:hAnsi="Arial" w:cs="Arial"/>
        </w:rPr>
        <w:t xml:space="preserve"> exigir o esperar un acto </w:t>
      </w:r>
      <w:r w:rsidR="007D6C49">
        <w:rPr>
          <w:rFonts w:ascii="Arial" w:hAnsi="Arial" w:cs="Arial"/>
        </w:rPr>
        <w:t xml:space="preserve">concreto </w:t>
      </w:r>
      <w:r w:rsidR="00A03588">
        <w:rPr>
          <w:rFonts w:ascii="Arial" w:hAnsi="Arial" w:cs="Arial"/>
        </w:rPr>
        <w:t>de aplicación</w:t>
      </w:r>
      <w:r w:rsidR="00175E62">
        <w:rPr>
          <w:rFonts w:ascii="Arial" w:hAnsi="Arial" w:cs="Arial"/>
        </w:rPr>
        <w:t xml:space="preserve">. Incluso, como se señalará más adelante, ya existe un acto de aplicación porque ya hay una afectación en la esfera jurídica del titular del derecho. </w:t>
      </w:r>
    </w:p>
    <w:p w14:paraId="6AA55551" w14:textId="77777777" w:rsidR="00175E62" w:rsidRDefault="00175E62" w:rsidP="005A0ECC">
      <w:pPr>
        <w:spacing w:before="240" w:after="240" w:line="360" w:lineRule="auto"/>
        <w:jc w:val="both"/>
        <w:rPr>
          <w:rFonts w:ascii="Arial" w:hAnsi="Arial" w:cs="Arial"/>
        </w:rPr>
      </w:pPr>
      <w:r>
        <w:rPr>
          <w:rFonts w:ascii="Arial" w:hAnsi="Arial" w:cs="Arial"/>
        </w:rPr>
        <w:t>Por otro lado, y precisamente dada la naturaleza del derecho</w:t>
      </w:r>
      <w:r w:rsidR="00904D93">
        <w:rPr>
          <w:rFonts w:ascii="Arial" w:hAnsi="Arial" w:cs="Arial"/>
        </w:rPr>
        <w:t xml:space="preserve"> de grupo de que se trata (</w:t>
      </w:r>
      <w:r w:rsidR="00A971EA">
        <w:rPr>
          <w:rFonts w:ascii="Arial" w:hAnsi="Arial" w:cs="Arial"/>
        </w:rPr>
        <w:t>de la ciudadanía originaria de la Ciudad de México residente en el extranjero)</w:t>
      </w:r>
      <w:r>
        <w:rPr>
          <w:rFonts w:ascii="Arial" w:hAnsi="Arial" w:cs="Arial"/>
        </w:rPr>
        <w:t xml:space="preserve">, los efectos que se producirían de la revisión constitucional no son los que ordinariamente se producen cuando se lleva a cabo un control constitucional concreto. </w:t>
      </w:r>
    </w:p>
    <w:p w14:paraId="63C6EF1F" w14:textId="77777777" w:rsidR="00A223C3" w:rsidRDefault="00A05FBB" w:rsidP="005A0ECC">
      <w:pPr>
        <w:spacing w:before="240" w:after="240" w:line="360" w:lineRule="auto"/>
        <w:jc w:val="both"/>
        <w:rPr>
          <w:rFonts w:ascii="Arial" w:hAnsi="Arial" w:cs="Arial"/>
        </w:rPr>
      </w:pPr>
      <w:r>
        <w:rPr>
          <w:rFonts w:ascii="Arial" w:hAnsi="Arial" w:cs="Arial"/>
        </w:rPr>
        <w:t xml:space="preserve">Sin embargo, estos dos puntos no implican la imposibilidad </w:t>
      </w:r>
      <w:r w:rsidR="0075312D">
        <w:rPr>
          <w:rFonts w:ascii="Arial" w:hAnsi="Arial" w:cs="Arial"/>
        </w:rPr>
        <w:t>para</w:t>
      </w:r>
      <w:r>
        <w:rPr>
          <w:rFonts w:ascii="Arial" w:hAnsi="Arial" w:cs="Arial"/>
        </w:rPr>
        <w:t xml:space="preserve"> este </w:t>
      </w:r>
      <w:r w:rsidR="008C0D8D">
        <w:rPr>
          <w:rFonts w:ascii="Arial" w:hAnsi="Arial" w:cs="Arial"/>
        </w:rPr>
        <w:t>T</w:t>
      </w:r>
      <w:r>
        <w:rPr>
          <w:rFonts w:ascii="Arial" w:hAnsi="Arial" w:cs="Arial"/>
        </w:rPr>
        <w:t xml:space="preserve">ribunal </w:t>
      </w:r>
      <w:r w:rsidR="0075312D">
        <w:rPr>
          <w:rFonts w:ascii="Arial" w:hAnsi="Arial" w:cs="Arial"/>
        </w:rPr>
        <w:t>de</w:t>
      </w:r>
      <w:r>
        <w:rPr>
          <w:rFonts w:ascii="Arial" w:hAnsi="Arial" w:cs="Arial"/>
        </w:rPr>
        <w:t xml:space="preserve"> llevar a cabo un control constitucional del acto impugnado</w:t>
      </w:r>
      <w:r w:rsidR="00C57FB4">
        <w:rPr>
          <w:rFonts w:ascii="Arial" w:hAnsi="Arial" w:cs="Arial"/>
        </w:rPr>
        <w:t xml:space="preserve"> ya que se está frente a un acto que ya generó una afectación en la esfera jurídica de </w:t>
      </w:r>
      <w:r w:rsidR="001F6990">
        <w:rPr>
          <w:rFonts w:ascii="Arial" w:hAnsi="Arial" w:cs="Arial"/>
        </w:rPr>
        <w:t xml:space="preserve">la ciudadanía </w:t>
      </w:r>
      <w:r w:rsidR="006B1674">
        <w:rPr>
          <w:rFonts w:ascii="Arial" w:hAnsi="Arial" w:cs="Arial"/>
        </w:rPr>
        <w:t xml:space="preserve">que </w:t>
      </w:r>
      <w:r w:rsidR="00C57FB4">
        <w:rPr>
          <w:rFonts w:ascii="Arial" w:hAnsi="Arial" w:cs="Arial"/>
        </w:rPr>
        <w:t xml:space="preserve">es titular de </w:t>
      </w:r>
      <w:r w:rsidR="00520F9F">
        <w:rPr>
          <w:rFonts w:ascii="Arial" w:hAnsi="Arial" w:cs="Arial"/>
        </w:rPr>
        <w:t>un derecho humano a la participación política</w:t>
      </w:r>
      <w:r w:rsidR="00C57FB4">
        <w:rPr>
          <w:rFonts w:ascii="Arial" w:hAnsi="Arial" w:cs="Arial"/>
        </w:rPr>
        <w:t xml:space="preserve"> y, dado que es un derecho </w:t>
      </w:r>
      <w:r w:rsidR="002458D1">
        <w:rPr>
          <w:rFonts w:ascii="Arial" w:hAnsi="Arial" w:cs="Arial"/>
        </w:rPr>
        <w:t xml:space="preserve">de </w:t>
      </w:r>
      <w:r w:rsidR="00E23967">
        <w:rPr>
          <w:rFonts w:ascii="Arial" w:hAnsi="Arial" w:cs="Arial"/>
        </w:rPr>
        <w:t xml:space="preserve">un </w:t>
      </w:r>
      <w:r w:rsidR="002458D1">
        <w:rPr>
          <w:rFonts w:ascii="Arial" w:hAnsi="Arial" w:cs="Arial"/>
        </w:rPr>
        <w:t>grupo</w:t>
      </w:r>
      <w:r w:rsidR="00E23967">
        <w:rPr>
          <w:rFonts w:ascii="Arial" w:hAnsi="Arial" w:cs="Arial"/>
        </w:rPr>
        <w:t xml:space="preserve"> subrepresentado</w:t>
      </w:r>
      <w:r w:rsidR="00C57FB4">
        <w:rPr>
          <w:rFonts w:ascii="Arial" w:hAnsi="Arial" w:cs="Arial"/>
        </w:rPr>
        <w:t>,</w:t>
      </w:r>
      <w:r w:rsidR="00D01741">
        <w:rPr>
          <w:rFonts w:ascii="Arial" w:hAnsi="Arial" w:cs="Arial"/>
        </w:rPr>
        <w:t xml:space="preserve"> </w:t>
      </w:r>
      <w:r w:rsidR="0024150D">
        <w:rPr>
          <w:rFonts w:ascii="Arial" w:hAnsi="Arial" w:cs="Arial"/>
        </w:rPr>
        <w:t xml:space="preserve">el sistema </w:t>
      </w:r>
      <w:r w:rsidR="00025942">
        <w:rPr>
          <w:rFonts w:ascii="Arial" w:hAnsi="Arial" w:cs="Arial"/>
        </w:rPr>
        <w:t xml:space="preserve">reparador </w:t>
      </w:r>
      <w:r w:rsidR="0024150D">
        <w:rPr>
          <w:rFonts w:ascii="Arial" w:hAnsi="Arial" w:cs="Arial"/>
        </w:rPr>
        <w:t xml:space="preserve">de control </w:t>
      </w:r>
      <w:r w:rsidR="00025942">
        <w:rPr>
          <w:rFonts w:ascii="Arial" w:hAnsi="Arial" w:cs="Arial"/>
        </w:rPr>
        <w:t xml:space="preserve">constitucional que tiene encomendado este </w:t>
      </w:r>
      <w:r w:rsidR="008C0D8D">
        <w:rPr>
          <w:rFonts w:ascii="Arial" w:hAnsi="Arial" w:cs="Arial"/>
        </w:rPr>
        <w:t>T</w:t>
      </w:r>
      <w:r w:rsidR="00025942">
        <w:rPr>
          <w:rFonts w:ascii="Arial" w:hAnsi="Arial" w:cs="Arial"/>
        </w:rPr>
        <w:t xml:space="preserve">ribunal tendrá efectos </w:t>
      </w:r>
      <w:r w:rsidR="009549D4">
        <w:rPr>
          <w:rFonts w:ascii="Arial" w:hAnsi="Arial" w:cs="Arial"/>
        </w:rPr>
        <w:t>sobre la ciudadanía afectada</w:t>
      </w:r>
      <w:r w:rsidR="00C57FB4">
        <w:rPr>
          <w:rFonts w:ascii="Arial" w:hAnsi="Arial" w:cs="Arial"/>
        </w:rPr>
        <w:t xml:space="preserve">. </w:t>
      </w:r>
    </w:p>
    <w:p w14:paraId="61D06B46" w14:textId="77777777" w:rsidR="003231B3" w:rsidRPr="00616BF0" w:rsidRDefault="003231B3" w:rsidP="005A0ECC">
      <w:pPr>
        <w:spacing w:before="240" w:after="240" w:line="360" w:lineRule="auto"/>
        <w:jc w:val="both"/>
        <w:rPr>
          <w:rFonts w:ascii="Arial" w:hAnsi="Arial" w:cs="Arial"/>
        </w:rPr>
      </w:pPr>
      <w:r>
        <w:rPr>
          <w:rFonts w:ascii="Arial" w:hAnsi="Arial" w:cs="Arial"/>
        </w:rPr>
        <w:t xml:space="preserve">Es por esos motivos, como se </w:t>
      </w:r>
      <w:r w:rsidR="009549D4">
        <w:rPr>
          <w:rFonts w:ascii="Arial" w:hAnsi="Arial" w:cs="Arial"/>
        </w:rPr>
        <w:t>argument</w:t>
      </w:r>
      <w:r w:rsidR="006B1674">
        <w:rPr>
          <w:rFonts w:ascii="Arial" w:hAnsi="Arial" w:cs="Arial"/>
        </w:rPr>
        <w:t>a</w:t>
      </w:r>
      <w:r>
        <w:rPr>
          <w:rFonts w:ascii="Arial" w:hAnsi="Arial" w:cs="Arial"/>
        </w:rPr>
        <w:t>, que resulta i</w:t>
      </w:r>
      <w:r w:rsidRPr="00616BF0">
        <w:rPr>
          <w:rFonts w:ascii="Arial" w:hAnsi="Arial" w:cs="Arial"/>
          <w:b/>
        </w:rPr>
        <w:t xml:space="preserve">nfundado </w:t>
      </w:r>
      <w:r>
        <w:rPr>
          <w:rFonts w:ascii="Arial" w:hAnsi="Arial" w:cs="Arial"/>
        </w:rPr>
        <w:t xml:space="preserve">el agravio de MORENA </w:t>
      </w:r>
      <w:r w:rsidR="00110F2B">
        <w:rPr>
          <w:rFonts w:ascii="Arial" w:hAnsi="Arial" w:cs="Arial"/>
        </w:rPr>
        <w:t>relativo a</w:t>
      </w:r>
      <w:r>
        <w:rPr>
          <w:rFonts w:ascii="Arial" w:hAnsi="Arial" w:cs="Arial"/>
        </w:rPr>
        <w:t xml:space="preserve"> que 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 xml:space="preserve">egional llevó a cabo un control de constitucionalidad abstracto. </w:t>
      </w:r>
    </w:p>
    <w:p w14:paraId="13B055AB" w14:textId="77777777" w:rsidR="005A0ECC" w:rsidRPr="006215A7" w:rsidRDefault="003231B3" w:rsidP="00991F83">
      <w:pPr>
        <w:pStyle w:val="Ttulo1"/>
        <w:numPr>
          <w:ilvl w:val="2"/>
          <w:numId w:val="13"/>
        </w:numPr>
        <w:spacing w:before="240" w:beforeAutospacing="0" w:after="240" w:afterAutospacing="0"/>
        <w:jc w:val="both"/>
        <w:rPr>
          <w:rFonts w:ascii="Arial Negrita" w:eastAsiaTheme="minorHAnsi" w:hAnsi="Arial Negrita" w:cs="Arial"/>
          <w:caps w:val="0"/>
          <w:szCs w:val="24"/>
        </w:rPr>
      </w:pPr>
      <w:bookmarkStart w:id="25" w:name="_Toc48404882"/>
      <w:r w:rsidRPr="006215A7">
        <w:rPr>
          <w:rFonts w:ascii="Arial Negrita" w:eastAsiaTheme="minorHAnsi" w:hAnsi="Arial Negrita" w:cs="Arial"/>
          <w:caps w:val="0"/>
          <w:szCs w:val="24"/>
        </w:rPr>
        <w:t>Consideraciones respecto del</w:t>
      </w:r>
      <w:r w:rsidR="00C57FB4" w:rsidRPr="006215A7">
        <w:rPr>
          <w:rFonts w:ascii="Arial Negrita" w:eastAsiaTheme="minorHAnsi" w:hAnsi="Arial Negrita" w:cs="Arial"/>
          <w:caps w:val="0"/>
          <w:szCs w:val="24"/>
        </w:rPr>
        <w:t xml:space="preserve"> </w:t>
      </w:r>
      <w:r w:rsidR="005A0ECC" w:rsidRPr="006215A7">
        <w:rPr>
          <w:rFonts w:ascii="Arial Negrita" w:eastAsiaTheme="minorHAnsi" w:hAnsi="Arial Negrita" w:cs="Arial"/>
          <w:caps w:val="0"/>
          <w:szCs w:val="24"/>
        </w:rPr>
        <w:t>acto de aplicación</w:t>
      </w:r>
      <w:bookmarkEnd w:id="25"/>
    </w:p>
    <w:p w14:paraId="6ED3308C" w14:textId="77777777" w:rsidR="003231B3" w:rsidRPr="00616BF0" w:rsidRDefault="003231B3" w:rsidP="003231B3">
      <w:pPr>
        <w:spacing w:before="240" w:after="240" w:line="360" w:lineRule="auto"/>
        <w:jc w:val="both"/>
        <w:rPr>
          <w:rFonts w:ascii="Arial" w:hAnsi="Arial" w:cs="Arial"/>
        </w:rPr>
      </w:pPr>
      <w:r w:rsidRPr="00616BF0">
        <w:rPr>
          <w:rFonts w:ascii="Arial" w:hAnsi="Arial" w:cs="Arial"/>
        </w:rPr>
        <w:t xml:space="preserve">En materia de justicia constitucional, usualmente se han desarrollado dos tipos de control constitucional: el abstracto y el concreto. El control abstracto implica la facultad que tiene un </w:t>
      </w:r>
      <w:r w:rsidR="008C0D8D">
        <w:rPr>
          <w:rFonts w:ascii="Arial" w:hAnsi="Arial" w:cs="Arial"/>
        </w:rPr>
        <w:t>T</w:t>
      </w:r>
      <w:r w:rsidRPr="00616BF0">
        <w:rPr>
          <w:rFonts w:ascii="Arial" w:hAnsi="Arial" w:cs="Arial"/>
        </w:rPr>
        <w:t>ribunal constitucional de analizar una norma y que, al encontrarla inconstitucional, pueda invalidarla y, con ello, los efectos de esta decisión serán generales</w:t>
      </w:r>
      <w:r w:rsidR="00124E49">
        <w:rPr>
          <w:rFonts w:ascii="Arial" w:hAnsi="Arial" w:cs="Arial"/>
        </w:rPr>
        <w:t xml:space="preserve"> (</w:t>
      </w:r>
      <w:r w:rsidR="00124E49" w:rsidRPr="00D01741">
        <w:rPr>
          <w:rFonts w:ascii="Arial" w:hAnsi="Arial" w:cs="Arial"/>
          <w:i/>
          <w:iCs/>
        </w:rPr>
        <w:t>erga omnes</w:t>
      </w:r>
      <w:r w:rsidR="00124E49">
        <w:rPr>
          <w:rFonts w:ascii="Arial" w:hAnsi="Arial" w:cs="Arial"/>
        </w:rPr>
        <w:t>)</w:t>
      </w:r>
      <w:r w:rsidRPr="00616BF0">
        <w:rPr>
          <w:rStyle w:val="Refdenotaalpie"/>
          <w:rFonts w:ascii="Arial" w:hAnsi="Arial" w:cs="Arial"/>
        </w:rPr>
        <w:footnoteReference w:id="38"/>
      </w:r>
      <w:r w:rsidRPr="00616BF0">
        <w:rPr>
          <w:rFonts w:ascii="Arial" w:hAnsi="Arial" w:cs="Arial"/>
        </w:rPr>
        <w:t xml:space="preserve">. </w:t>
      </w:r>
    </w:p>
    <w:p w14:paraId="36FA6A3D" w14:textId="77777777" w:rsidR="003231B3" w:rsidRPr="00616BF0" w:rsidRDefault="003231B3" w:rsidP="003231B3">
      <w:pPr>
        <w:spacing w:before="240" w:after="240" w:line="360" w:lineRule="auto"/>
        <w:jc w:val="both"/>
        <w:rPr>
          <w:rFonts w:ascii="Arial" w:hAnsi="Arial" w:cs="Arial"/>
        </w:rPr>
      </w:pPr>
      <w:r w:rsidRPr="00616BF0">
        <w:rPr>
          <w:rFonts w:ascii="Arial" w:hAnsi="Arial" w:cs="Arial"/>
        </w:rPr>
        <w:t xml:space="preserve">Por su parte, un control concreto es aquel que realiza un </w:t>
      </w:r>
      <w:r w:rsidR="008C0D8D">
        <w:rPr>
          <w:rFonts w:ascii="Arial" w:hAnsi="Arial" w:cs="Arial"/>
        </w:rPr>
        <w:t>T</w:t>
      </w:r>
      <w:r w:rsidRPr="00616BF0">
        <w:rPr>
          <w:rFonts w:ascii="Arial" w:hAnsi="Arial" w:cs="Arial"/>
        </w:rPr>
        <w:t xml:space="preserve">ribunal constitucional una vez que existe un acto de aplicación </w:t>
      </w:r>
      <w:r w:rsidR="004C429F">
        <w:rPr>
          <w:rFonts w:ascii="Arial" w:hAnsi="Arial" w:cs="Arial"/>
        </w:rPr>
        <w:t xml:space="preserve">de la ley o </w:t>
      </w:r>
      <w:r w:rsidRPr="00616BF0">
        <w:rPr>
          <w:rFonts w:ascii="Arial" w:hAnsi="Arial" w:cs="Arial"/>
        </w:rPr>
        <w:t xml:space="preserve">del acto legislativo. En ese supuesto, el juez constitucional analizará la aplicación de ese acto en el caso concreto y, a partir de ahí, determinará la constitucionalidad o no. En caso de considerar que la norma es inconstitucional, ésta se inaplicará para el caso concreto. </w:t>
      </w:r>
    </w:p>
    <w:p w14:paraId="3FCA77E8" w14:textId="77777777" w:rsidR="003231B3" w:rsidRPr="00616BF0" w:rsidRDefault="004C429F" w:rsidP="003231B3">
      <w:pPr>
        <w:spacing w:beforeAutospacing="1" w:afterAutospacing="1" w:line="360" w:lineRule="auto"/>
        <w:jc w:val="both"/>
        <w:rPr>
          <w:rFonts w:ascii="Arial" w:hAnsi="Arial" w:cs="Arial"/>
        </w:rPr>
      </w:pPr>
      <w:r>
        <w:rPr>
          <w:rFonts w:ascii="Arial" w:hAnsi="Arial" w:cs="Arial"/>
        </w:rPr>
        <w:t>Esto es,</w:t>
      </w:r>
      <w:r w:rsidR="003231B3" w:rsidRPr="00616BF0">
        <w:rPr>
          <w:rFonts w:ascii="Arial" w:hAnsi="Arial" w:cs="Arial"/>
        </w:rPr>
        <w:t xml:space="preserve"> </w:t>
      </w:r>
      <w:r w:rsidR="003231B3" w:rsidRPr="00616BF0">
        <w:rPr>
          <w:rFonts w:ascii="Arial" w:hAnsi="Arial" w:cs="Arial"/>
          <w:lang w:val="es-MX"/>
        </w:rPr>
        <w:t>el control abstracto no requiere de un acto de aplicación, e impide que se produzca un conflicto normativo en el caso de aplicación de las normas, por lo tanto, no resuelve un conflicto en relación con un caso particular, sino que evita que se verifique al eliminar la norma inconstitucional</w:t>
      </w:r>
      <w:r w:rsidR="003231B3" w:rsidRPr="00616BF0">
        <w:rPr>
          <w:rStyle w:val="Refdenotaalpie"/>
          <w:rFonts w:ascii="Arial" w:hAnsi="Arial" w:cs="Arial"/>
          <w:lang w:val="es-MX"/>
        </w:rPr>
        <w:footnoteReference w:id="39"/>
      </w:r>
      <w:r w:rsidR="003231B3" w:rsidRPr="00616BF0">
        <w:rPr>
          <w:rFonts w:ascii="Arial" w:hAnsi="Arial" w:cs="Arial"/>
          <w:lang w:val="es-MX"/>
        </w:rPr>
        <w:t>.</w:t>
      </w:r>
    </w:p>
    <w:p w14:paraId="5566DFA3" w14:textId="32E74206" w:rsidR="00E74CE1" w:rsidRPr="00616BF0" w:rsidRDefault="003231B3" w:rsidP="003231B3">
      <w:pPr>
        <w:spacing w:beforeAutospacing="1" w:afterAutospacing="1" w:line="360" w:lineRule="auto"/>
        <w:jc w:val="both"/>
        <w:rPr>
          <w:rFonts w:ascii="Arial" w:hAnsi="Arial" w:cs="Arial"/>
        </w:rPr>
      </w:pPr>
      <w:r w:rsidRPr="00616BF0">
        <w:rPr>
          <w:rFonts w:ascii="Arial" w:hAnsi="Arial" w:cs="Arial"/>
          <w:lang w:val="es-MX"/>
        </w:rPr>
        <w:t xml:space="preserve">Por su parte, en el ejercicio de un control concreto es </w:t>
      </w:r>
      <w:r w:rsidR="00616BF0">
        <w:rPr>
          <w:rFonts w:ascii="Arial" w:hAnsi="Arial" w:cs="Arial"/>
          <w:lang w:val="es-MX"/>
        </w:rPr>
        <w:t xml:space="preserve">necesario </w:t>
      </w:r>
      <w:r w:rsidRPr="00616BF0">
        <w:rPr>
          <w:rFonts w:ascii="Arial" w:hAnsi="Arial" w:cs="Arial"/>
          <w:lang w:val="es-MX"/>
        </w:rPr>
        <w:t>encontrar</w:t>
      </w:r>
      <w:r w:rsidR="00797C84">
        <w:rPr>
          <w:rFonts w:ascii="Arial" w:hAnsi="Arial" w:cs="Arial"/>
          <w:lang w:val="es-MX"/>
        </w:rPr>
        <w:t>se</w:t>
      </w:r>
      <w:r w:rsidRPr="00616BF0">
        <w:rPr>
          <w:rFonts w:ascii="Arial" w:hAnsi="Arial" w:cs="Arial"/>
          <w:lang w:val="es-MX"/>
        </w:rPr>
        <w:t xml:space="preserve"> en el supuesto de aplicación</w:t>
      </w:r>
      <w:r w:rsidR="001F15F1">
        <w:rPr>
          <w:rFonts w:ascii="Arial" w:hAnsi="Arial" w:cs="Arial"/>
          <w:lang w:val="es-MX"/>
        </w:rPr>
        <w:t>,</w:t>
      </w:r>
      <w:r w:rsidRPr="00616BF0">
        <w:rPr>
          <w:rFonts w:ascii="Arial" w:hAnsi="Arial" w:cs="Arial"/>
          <w:lang w:val="es-MX"/>
        </w:rPr>
        <w:t xml:space="preserve"> conforme al criterio de “individualización incondicionada” establecido en la jurisprudencia de la SCJN –tanto en </w:t>
      </w:r>
      <w:r w:rsidR="006B1674">
        <w:rPr>
          <w:rFonts w:ascii="Arial" w:hAnsi="Arial" w:cs="Arial"/>
          <w:lang w:val="es-MX"/>
        </w:rPr>
        <w:t xml:space="preserve">el </w:t>
      </w:r>
      <w:r w:rsidRPr="00616BF0">
        <w:rPr>
          <w:rFonts w:ascii="Arial" w:hAnsi="Arial" w:cs="Arial"/>
          <w:lang w:val="es-MX"/>
        </w:rPr>
        <w:t xml:space="preserve">juicio de amparo como en </w:t>
      </w:r>
      <w:r w:rsidR="006B1674">
        <w:rPr>
          <w:rFonts w:ascii="Arial" w:hAnsi="Arial" w:cs="Arial"/>
          <w:lang w:val="es-MX"/>
        </w:rPr>
        <w:t xml:space="preserve">las </w:t>
      </w:r>
      <w:r w:rsidRPr="00616BF0">
        <w:rPr>
          <w:rFonts w:ascii="Arial" w:hAnsi="Arial" w:cs="Arial"/>
          <w:lang w:val="es-MX"/>
        </w:rPr>
        <w:t>controversias constitucionales–</w:t>
      </w:r>
      <w:r w:rsidR="006B1674">
        <w:rPr>
          <w:rFonts w:ascii="Arial" w:hAnsi="Arial" w:cs="Arial"/>
          <w:lang w:val="es-MX"/>
        </w:rPr>
        <w:t xml:space="preserve"> </w:t>
      </w:r>
      <w:r w:rsidRPr="00616BF0">
        <w:rPr>
          <w:rFonts w:ascii="Arial" w:hAnsi="Arial" w:cs="Arial"/>
          <w:lang w:val="es-MX"/>
        </w:rPr>
        <w:t>que exige un acto concreto de aplicación</w:t>
      </w:r>
      <w:r w:rsidRPr="00616BF0">
        <w:rPr>
          <w:rStyle w:val="Refdenotaalpie"/>
          <w:rFonts w:ascii="Arial" w:hAnsi="Arial" w:cs="Arial"/>
          <w:lang w:val="es-MX"/>
        </w:rPr>
        <w:footnoteReference w:id="40"/>
      </w:r>
      <w:r w:rsidRPr="00616BF0">
        <w:rPr>
          <w:rFonts w:ascii="Arial" w:hAnsi="Arial" w:cs="Arial"/>
          <w:lang w:val="es-MX"/>
        </w:rPr>
        <w:t>.</w:t>
      </w:r>
    </w:p>
    <w:p w14:paraId="669E60AE" w14:textId="77777777" w:rsidR="00A9798E" w:rsidRPr="00616BF0" w:rsidRDefault="003231B3" w:rsidP="003231B3">
      <w:pPr>
        <w:spacing w:beforeAutospacing="1" w:afterAutospacing="1" w:line="360" w:lineRule="auto"/>
        <w:jc w:val="both"/>
        <w:rPr>
          <w:rFonts w:ascii="Arial" w:hAnsi="Arial" w:cs="Arial"/>
        </w:rPr>
      </w:pPr>
      <w:r w:rsidRPr="00616BF0">
        <w:rPr>
          <w:rFonts w:ascii="Arial" w:hAnsi="Arial" w:cs="Arial"/>
        </w:rPr>
        <w:t>De esta forma, la necesidad de que exista un acto de aplicación para que pueda ejercerse el control de constitucionalidad concreto busca una finalidad muy específica. Esta es, que solo por medio del acto de aplicación es posible determinar si existe una vulneración en la esfera de derechos de una persona y, por tanto, desplegar los efectos de este control. Es decir, su inaplicación</w:t>
      </w:r>
      <w:r w:rsidR="00A9798E" w:rsidRPr="00616BF0">
        <w:rPr>
          <w:rFonts w:ascii="Arial" w:hAnsi="Arial" w:cs="Arial"/>
        </w:rPr>
        <w:t xml:space="preserve"> al caso concreto. </w:t>
      </w:r>
    </w:p>
    <w:p w14:paraId="64EFE5B3" w14:textId="77777777" w:rsidR="00A9798E" w:rsidRPr="00616BF0" w:rsidRDefault="00A9798E" w:rsidP="003231B3">
      <w:pPr>
        <w:spacing w:beforeAutospacing="1" w:afterAutospacing="1" w:line="360" w:lineRule="auto"/>
        <w:jc w:val="both"/>
        <w:rPr>
          <w:rFonts w:ascii="Arial" w:hAnsi="Arial" w:cs="Arial"/>
        </w:rPr>
      </w:pPr>
      <w:r w:rsidRPr="00616BF0">
        <w:rPr>
          <w:rFonts w:ascii="Arial" w:hAnsi="Arial" w:cs="Arial"/>
        </w:rPr>
        <w:t xml:space="preserve">De ahí que la existencia de un acto de aplicación no es un </w:t>
      </w:r>
      <w:r w:rsidRPr="00616BF0">
        <w:rPr>
          <w:rFonts w:ascii="Arial" w:hAnsi="Arial" w:cs="Arial"/>
          <w:b/>
        </w:rPr>
        <w:t>requisito formal</w:t>
      </w:r>
      <w:r w:rsidRPr="00616BF0">
        <w:rPr>
          <w:rFonts w:ascii="Arial" w:hAnsi="Arial" w:cs="Arial"/>
        </w:rPr>
        <w:t xml:space="preserve"> para que se pueda ejercer el control de constitucionalidad concreto. Es, más bien, la materialización de una vulneración a un derecho y, por lo tanto, lo que hará posible la revisión constitucional. </w:t>
      </w:r>
    </w:p>
    <w:p w14:paraId="624BF2D8" w14:textId="77777777" w:rsidR="00A9798E" w:rsidRPr="00616BF0" w:rsidRDefault="00A9798E" w:rsidP="003231B3">
      <w:pPr>
        <w:spacing w:beforeAutospacing="1" w:afterAutospacing="1" w:line="360" w:lineRule="auto"/>
        <w:jc w:val="both"/>
        <w:rPr>
          <w:rFonts w:ascii="Arial" w:hAnsi="Arial" w:cs="Arial"/>
        </w:rPr>
      </w:pPr>
      <w:r w:rsidRPr="00616BF0">
        <w:rPr>
          <w:rFonts w:ascii="Arial" w:hAnsi="Arial" w:cs="Arial"/>
        </w:rPr>
        <w:t xml:space="preserve">En el </w:t>
      </w:r>
      <w:r w:rsidR="00E77E48">
        <w:rPr>
          <w:rFonts w:ascii="Arial" w:hAnsi="Arial" w:cs="Arial"/>
        </w:rPr>
        <w:t xml:space="preserve">presente </w:t>
      </w:r>
      <w:r w:rsidRPr="00616BF0">
        <w:rPr>
          <w:rFonts w:ascii="Arial" w:hAnsi="Arial" w:cs="Arial"/>
        </w:rPr>
        <w:t>caso</w:t>
      </w:r>
      <w:r w:rsidR="00E77E48">
        <w:rPr>
          <w:rFonts w:ascii="Arial" w:hAnsi="Arial" w:cs="Arial"/>
        </w:rPr>
        <w:t>,</w:t>
      </w:r>
      <w:r w:rsidRPr="00616BF0">
        <w:rPr>
          <w:rFonts w:ascii="Arial" w:hAnsi="Arial" w:cs="Arial"/>
        </w:rPr>
        <w:t xml:space="preserve"> esta Sala Superior considera que no es necesario e, incluso, no es posible esperar la generación de un acto de aplicación</w:t>
      </w:r>
      <w:r w:rsidR="003A5FCC">
        <w:rPr>
          <w:rFonts w:ascii="Arial" w:hAnsi="Arial" w:cs="Arial"/>
        </w:rPr>
        <w:t xml:space="preserve"> adicional</w:t>
      </w:r>
      <w:r w:rsidR="006B1674">
        <w:rPr>
          <w:rFonts w:ascii="Arial" w:hAnsi="Arial" w:cs="Arial"/>
        </w:rPr>
        <w:t>,</w:t>
      </w:r>
      <w:r w:rsidRPr="00616BF0">
        <w:rPr>
          <w:rFonts w:ascii="Arial" w:hAnsi="Arial" w:cs="Arial"/>
        </w:rPr>
        <w:t xml:space="preserve"> porque la simple situación de haber suprimido la figura de la diputación migrante </w:t>
      </w:r>
      <w:r w:rsidRPr="00616BF0">
        <w:rPr>
          <w:rFonts w:ascii="Arial" w:hAnsi="Arial" w:cs="Arial"/>
          <w:b/>
        </w:rPr>
        <w:t>ya genera un</w:t>
      </w:r>
      <w:r w:rsidR="003A5FCC">
        <w:rPr>
          <w:rFonts w:ascii="Arial" w:hAnsi="Arial" w:cs="Arial"/>
          <w:b/>
        </w:rPr>
        <w:t xml:space="preserve"> acto de aplicación susceptible de</w:t>
      </w:r>
      <w:r w:rsidRPr="00616BF0">
        <w:rPr>
          <w:rFonts w:ascii="Arial" w:hAnsi="Arial" w:cs="Arial"/>
          <w:b/>
        </w:rPr>
        <w:t xml:space="preserve"> afectación </w:t>
      </w:r>
      <w:r w:rsidR="007E76EC">
        <w:rPr>
          <w:rFonts w:ascii="Arial" w:hAnsi="Arial" w:cs="Arial"/>
          <w:b/>
        </w:rPr>
        <w:t xml:space="preserve">actual, directa e inmediata </w:t>
      </w:r>
      <w:r w:rsidRPr="00616BF0">
        <w:rPr>
          <w:rFonts w:ascii="Arial" w:hAnsi="Arial" w:cs="Arial"/>
          <w:b/>
        </w:rPr>
        <w:t>a la esfera de derechos del colectivo</w:t>
      </w:r>
      <w:r w:rsidR="009F254E">
        <w:rPr>
          <w:rFonts w:ascii="Arial" w:hAnsi="Arial" w:cs="Arial"/>
          <w:b/>
        </w:rPr>
        <w:t xml:space="preserve"> o de la ciudadanía</w:t>
      </w:r>
      <w:r w:rsidR="00D53FE8">
        <w:rPr>
          <w:rFonts w:ascii="Arial" w:hAnsi="Arial" w:cs="Arial"/>
          <w:b/>
        </w:rPr>
        <w:t xml:space="preserve"> originaria de la Ciudad de México, que es una ciudadanía subrepresentada</w:t>
      </w:r>
      <w:r w:rsidRPr="00616BF0">
        <w:rPr>
          <w:rFonts w:ascii="Arial" w:hAnsi="Arial" w:cs="Arial"/>
        </w:rPr>
        <w:t>. Es decir</w:t>
      </w:r>
      <w:r w:rsidR="00E20262">
        <w:rPr>
          <w:rFonts w:ascii="Arial" w:hAnsi="Arial" w:cs="Arial"/>
        </w:rPr>
        <w:t>,</w:t>
      </w:r>
      <w:r w:rsidRPr="00616BF0">
        <w:rPr>
          <w:rFonts w:ascii="Arial" w:hAnsi="Arial" w:cs="Arial"/>
        </w:rPr>
        <w:t xml:space="preserve"> para esta Sala Superior, </w:t>
      </w:r>
      <w:r w:rsidR="00DB4540">
        <w:rPr>
          <w:rFonts w:ascii="Arial" w:hAnsi="Arial" w:cs="Arial"/>
        </w:rPr>
        <w:t xml:space="preserve">puede considerarse que </w:t>
      </w:r>
      <w:r w:rsidRPr="00616BF0">
        <w:rPr>
          <w:rFonts w:ascii="Arial" w:hAnsi="Arial" w:cs="Arial"/>
        </w:rPr>
        <w:t xml:space="preserve">la derogación misma de la figura de diputación migrante </w:t>
      </w:r>
      <w:r w:rsidRPr="00616BF0">
        <w:rPr>
          <w:rFonts w:ascii="Arial" w:hAnsi="Arial" w:cs="Arial"/>
          <w:b/>
        </w:rPr>
        <w:t>hace las veces del acto de aplicación</w:t>
      </w:r>
      <w:r w:rsidR="006B1674">
        <w:rPr>
          <w:rFonts w:ascii="Arial" w:hAnsi="Arial" w:cs="Arial"/>
          <w:b/>
        </w:rPr>
        <w:t>,</w:t>
      </w:r>
      <w:r w:rsidRPr="00616BF0">
        <w:rPr>
          <w:rFonts w:ascii="Arial" w:hAnsi="Arial" w:cs="Arial"/>
        </w:rPr>
        <w:t xml:space="preserve"> porque es en ese momento en el que se genera la vulneración de </w:t>
      </w:r>
      <w:r w:rsidR="008E2F51">
        <w:rPr>
          <w:rFonts w:ascii="Arial" w:hAnsi="Arial" w:cs="Arial"/>
        </w:rPr>
        <w:t xml:space="preserve">los </w:t>
      </w:r>
      <w:r w:rsidRPr="00616BF0">
        <w:rPr>
          <w:rFonts w:ascii="Arial" w:hAnsi="Arial" w:cs="Arial"/>
        </w:rPr>
        <w:t xml:space="preserve">derechos </w:t>
      </w:r>
      <w:r w:rsidR="008E2F51">
        <w:rPr>
          <w:rFonts w:ascii="Arial" w:hAnsi="Arial" w:cs="Arial"/>
        </w:rPr>
        <w:t xml:space="preserve">de participación política </w:t>
      </w:r>
      <w:r w:rsidR="00995AF8">
        <w:rPr>
          <w:rFonts w:ascii="Arial" w:hAnsi="Arial" w:cs="Arial"/>
        </w:rPr>
        <w:t>de ese grupo de ciudadanas y ciudadanos subrepresentados</w:t>
      </w:r>
      <w:r w:rsidR="00FE39CF">
        <w:rPr>
          <w:rFonts w:ascii="Arial" w:hAnsi="Arial" w:cs="Arial"/>
        </w:rPr>
        <w:t>.</w:t>
      </w:r>
      <w:r w:rsidR="00D01741">
        <w:rPr>
          <w:rFonts w:ascii="Arial" w:hAnsi="Arial" w:cs="Arial"/>
        </w:rPr>
        <w:t xml:space="preserve"> </w:t>
      </w:r>
      <w:r w:rsidR="00EC28FC">
        <w:rPr>
          <w:rFonts w:ascii="Arial" w:hAnsi="Arial" w:cs="Arial"/>
        </w:rPr>
        <w:t>E</w:t>
      </w:r>
      <w:r w:rsidR="00272C5C">
        <w:rPr>
          <w:rFonts w:ascii="Arial" w:hAnsi="Arial" w:cs="Arial"/>
        </w:rPr>
        <w:t xml:space="preserve">l control de la regularidad </w:t>
      </w:r>
      <w:r w:rsidR="00631863">
        <w:rPr>
          <w:rFonts w:ascii="Arial" w:hAnsi="Arial" w:cs="Arial"/>
        </w:rPr>
        <w:t xml:space="preserve">constitucional </w:t>
      </w:r>
      <w:r w:rsidR="00272C5C">
        <w:rPr>
          <w:rFonts w:ascii="Arial" w:hAnsi="Arial" w:cs="Arial"/>
        </w:rPr>
        <w:t>de ese acto derogatorio</w:t>
      </w:r>
      <w:r w:rsidR="00631863">
        <w:rPr>
          <w:rFonts w:ascii="Arial" w:hAnsi="Arial" w:cs="Arial"/>
        </w:rPr>
        <w:t xml:space="preserve"> </w:t>
      </w:r>
      <w:r w:rsidR="00425C4F">
        <w:rPr>
          <w:rFonts w:ascii="Arial" w:hAnsi="Arial" w:cs="Arial"/>
        </w:rPr>
        <w:t>constituye un remedio jurídico para evitar esa vu</w:t>
      </w:r>
      <w:r w:rsidR="00D94ED6">
        <w:rPr>
          <w:rFonts w:ascii="Arial" w:hAnsi="Arial" w:cs="Arial"/>
        </w:rPr>
        <w:t>lneración de</w:t>
      </w:r>
      <w:r w:rsidR="00327C1F">
        <w:rPr>
          <w:rFonts w:ascii="Arial" w:hAnsi="Arial" w:cs="Arial"/>
        </w:rPr>
        <w:t>l derecho humano fundamental al sufragio tanto activo como pasivo.</w:t>
      </w:r>
      <w:r w:rsidR="00272C5C">
        <w:rPr>
          <w:rFonts w:ascii="Arial" w:hAnsi="Arial" w:cs="Arial"/>
        </w:rPr>
        <w:t xml:space="preserve"> </w:t>
      </w:r>
      <w:r w:rsidRPr="00616BF0">
        <w:rPr>
          <w:rFonts w:ascii="Arial" w:hAnsi="Arial" w:cs="Arial"/>
        </w:rPr>
        <w:t xml:space="preserve"> </w:t>
      </w:r>
    </w:p>
    <w:p w14:paraId="16B03B1D" w14:textId="77777777" w:rsidR="005A0ECC" w:rsidRPr="00616BF0" w:rsidRDefault="00695B03" w:rsidP="005A0ECC">
      <w:pPr>
        <w:spacing w:before="240" w:after="240" w:line="360" w:lineRule="auto"/>
        <w:jc w:val="both"/>
        <w:rPr>
          <w:rFonts w:ascii="Arial" w:hAnsi="Arial" w:cs="Arial"/>
        </w:rPr>
      </w:pPr>
      <w:r>
        <w:rPr>
          <w:rFonts w:ascii="Arial" w:hAnsi="Arial" w:cs="Arial"/>
        </w:rPr>
        <w:t>A</w:t>
      </w:r>
      <w:r w:rsidR="00A9798E" w:rsidRPr="00616BF0">
        <w:rPr>
          <w:rFonts w:ascii="Arial" w:hAnsi="Arial" w:cs="Arial"/>
        </w:rPr>
        <w:t xml:space="preserve">ntes de que el </w:t>
      </w:r>
      <w:r>
        <w:rPr>
          <w:rFonts w:ascii="Arial" w:hAnsi="Arial" w:cs="Arial"/>
        </w:rPr>
        <w:t xml:space="preserve">Congreso </w:t>
      </w:r>
      <w:r w:rsidR="00A9798E" w:rsidRPr="00616BF0">
        <w:rPr>
          <w:rFonts w:ascii="Arial" w:hAnsi="Arial" w:cs="Arial"/>
        </w:rPr>
        <w:t>de la Ciudad de México suprimiera ese derecho,</w:t>
      </w:r>
      <w:r w:rsidR="005A0ECC" w:rsidRPr="00616BF0">
        <w:rPr>
          <w:rFonts w:ascii="Arial" w:hAnsi="Arial" w:cs="Arial"/>
        </w:rPr>
        <w:t xml:space="preserve"> los integrantes de la diáspora se encontraban ante una realidad jurídica</w:t>
      </w:r>
      <w:r w:rsidR="00D01741">
        <w:rPr>
          <w:rFonts w:ascii="Arial" w:hAnsi="Arial" w:cs="Arial"/>
        </w:rPr>
        <w:t xml:space="preserve"> </w:t>
      </w:r>
      <w:r w:rsidR="005A0ECC" w:rsidRPr="00616BF0">
        <w:rPr>
          <w:rFonts w:ascii="Arial" w:hAnsi="Arial" w:cs="Arial"/>
        </w:rPr>
        <w:t xml:space="preserve">que </w:t>
      </w:r>
      <w:r w:rsidR="006F3C7D">
        <w:rPr>
          <w:rFonts w:ascii="Arial" w:hAnsi="Arial" w:cs="Arial"/>
        </w:rPr>
        <w:t xml:space="preserve">reconocía </w:t>
      </w:r>
      <w:r w:rsidR="0062266F">
        <w:rPr>
          <w:rFonts w:ascii="Arial" w:hAnsi="Arial" w:cs="Arial"/>
        </w:rPr>
        <w:t xml:space="preserve">el derecho a votar y ser votado en relación </w:t>
      </w:r>
      <w:r w:rsidR="00673488">
        <w:rPr>
          <w:rFonts w:ascii="Arial" w:hAnsi="Arial" w:cs="Arial"/>
        </w:rPr>
        <w:t xml:space="preserve">con </w:t>
      </w:r>
      <w:r w:rsidR="005A0ECC" w:rsidRPr="00616BF0">
        <w:rPr>
          <w:rFonts w:ascii="Arial" w:hAnsi="Arial" w:cs="Arial"/>
        </w:rPr>
        <w:t xml:space="preserve">una diputación en el </w:t>
      </w:r>
      <w:r w:rsidR="00EC28FC">
        <w:rPr>
          <w:rFonts w:ascii="Arial" w:hAnsi="Arial" w:cs="Arial"/>
        </w:rPr>
        <w:t>C</w:t>
      </w:r>
      <w:r w:rsidR="005A0ECC" w:rsidRPr="00616BF0">
        <w:rPr>
          <w:rFonts w:ascii="Arial" w:hAnsi="Arial" w:cs="Arial"/>
        </w:rPr>
        <w:t>ongreso de la Ciudad de México</w:t>
      </w:r>
      <w:r w:rsidR="00D01741">
        <w:rPr>
          <w:rFonts w:ascii="Arial" w:hAnsi="Arial" w:cs="Arial"/>
        </w:rPr>
        <w:t>. Esta realidad jurídica se vio modificada al momento en el que se suprimió la figura y, por tanto, se dejó de reconocer ese derecho.</w:t>
      </w:r>
      <w:r w:rsidR="005A0ECC" w:rsidRPr="00616BF0">
        <w:rPr>
          <w:rFonts w:ascii="Arial" w:hAnsi="Arial" w:cs="Arial"/>
        </w:rPr>
        <w:t xml:space="preserve"> </w:t>
      </w:r>
    </w:p>
    <w:p w14:paraId="01D87791" w14:textId="77777777" w:rsidR="005A0ECC" w:rsidRPr="00616BF0" w:rsidRDefault="00A9798E" w:rsidP="005A0ECC">
      <w:pPr>
        <w:spacing w:before="240" w:after="240" w:line="360" w:lineRule="auto"/>
        <w:jc w:val="both"/>
        <w:rPr>
          <w:rFonts w:ascii="Arial" w:hAnsi="Arial" w:cs="Arial"/>
        </w:rPr>
      </w:pPr>
      <w:r w:rsidRPr="00616BF0">
        <w:rPr>
          <w:rFonts w:ascii="Arial" w:hAnsi="Arial" w:cs="Arial"/>
        </w:rPr>
        <w:t>Es decir que</w:t>
      </w:r>
      <w:r w:rsidR="005A0ECC" w:rsidRPr="00616BF0">
        <w:rPr>
          <w:rFonts w:ascii="Arial" w:hAnsi="Arial" w:cs="Arial"/>
        </w:rPr>
        <w:t xml:space="preserve"> </w:t>
      </w:r>
      <w:r w:rsidR="005A0ECC" w:rsidRPr="00616BF0">
        <w:rPr>
          <w:rFonts w:ascii="Arial" w:hAnsi="Arial" w:cs="Arial"/>
          <w:b/>
        </w:rPr>
        <w:t>la derogación en sí misma afecta la esfera de derechos</w:t>
      </w:r>
      <w:r w:rsidR="005A0ECC" w:rsidRPr="00616BF0">
        <w:rPr>
          <w:rFonts w:ascii="Arial" w:hAnsi="Arial" w:cs="Arial"/>
        </w:rPr>
        <w:t xml:space="preserve"> de la diáspora mexicana, porque la supresión de esa figura ya implica una merma en el conjunto de derechos que </w:t>
      </w:r>
      <w:r w:rsidR="00263282">
        <w:rPr>
          <w:rFonts w:ascii="Arial" w:hAnsi="Arial" w:cs="Arial"/>
        </w:rPr>
        <w:t xml:space="preserve">el ordenamiento de </w:t>
      </w:r>
      <w:r w:rsidR="005A0ECC" w:rsidRPr="00616BF0">
        <w:rPr>
          <w:rFonts w:ascii="Arial" w:hAnsi="Arial" w:cs="Arial"/>
        </w:rPr>
        <w:t xml:space="preserve">la Ciudad de México </w:t>
      </w:r>
      <w:r w:rsidR="00664BDB">
        <w:rPr>
          <w:rFonts w:ascii="Arial" w:hAnsi="Arial" w:cs="Arial"/>
        </w:rPr>
        <w:t xml:space="preserve">les ha reconocido. </w:t>
      </w:r>
    </w:p>
    <w:p w14:paraId="686FB9B5" w14:textId="77777777" w:rsidR="005A0ECC" w:rsidRPr="00616BF0" w:rsidRDefault="005A0ECC" w:rsidP="005A0ECC">
      <w:pPr>
        <w:spacing w:before="240" w:after="240" w:line="360" w:lineRule="auto"/>
        <w:jc w:val="both"/>
        <w:rPr>
          <w:rFonts w:ascii="Arial" w:hAnsi="Arial" w:cs="Arial"/>
        </w:rPr>
      </w:pPr>
      <w:r w:rsidRPr="00616BF0">
        <w:rPr>
          <w:rFonts w:ascii="Arial" w:hAnsi="Arial" w:cs="Arial"/>
        </w:rPr>
        <w:t>Esto implica que</w:t>
      </w:r>
      <w:r w:rsidR="00EC28FC">
        <w:rPr>
          <w:rFonts w:ascii="Arial" w:hAnsi="Arial" w:cs="Arial"/>
        </w:rPr>
        <w:t>,</w:t>
      </w:r>
      <w:r w:rsidRPr="00616BF0">
        <w:rPr>
          <w:rFonts w:ascii="Arial" w:hAnsi="Arial" w:cs="Arial"/>
        </w:rPr>
        <w:t xml:space="preserve"> </w:t>
      </w:r>
      <w:r w:rsidR="00746947">
        <w:rPr>
          <w:rFonts w:ascii="Arial" w:hAnsi="Arial" w:cs="Arial"/>
        </w:rPr>
        <w:t>en el caso</w:t>
      </w:r>
      <w:r w:rsidR="00EC28FC">
        <w:rPr>
          <w:rFonts w:ascii="Arial" w:hAnsi="Arial" w:cs="Arial"/>
        </w:rPr>
        <w:t>,</w:t>
      </w:r>
      <w:r w:rsidR="00746947">
        <w:rPr>
          <w:rFonts w:ascii="Arial" w:hAnsi="Arial" w:cs="Arial"/>
        </w:rPr>
        <w:t xml:space="preserve"> </w:t>
      </w:r>
      <w:r w:rsidRPr="00616BF0">
        <w:rPr>
          <w:rFonts w:ascii="Arial" w:hAnsi="Arial" w:cs="Arial"/>
        </w:rPr>
        <w:t xml:space="preserve">no </w:t>
      </w:r>
      <w:r w:rsidR="00777A88">
        <w:rPr>
          <w:rFonts w:ascii="Arial" w:hAnsi="Arial" w:cs="Arial"/>
        </w:rPr>
        <w:t>se está</w:t>
      </w:r>
      <w:r w:rsidRPr="00616BF0">
        <w:rPr>
          <w:rFonts w:ascii="Arial" w:hAnsi="Arial" w:cs="Arial"/>
        </w:rPr>
        <w:t xml:space="preserve"> frente a </w:t>
      </w:r>
      <w:r w:rsidR="00777A88">
        <w:rPr>
          <w:rFonts w:ascii="Arial" w:hAnsi="Arial" w:cs="Arial"/>
        </w:rPr>
        <w:t>un planteamiento</w:t>
      </w:r>
      <w:r w:rsidRPr="00616BF0">
        <w:rPr>
          <w:rFonts w:ascii="Arial" w:hAnsi="Arial" w:cs="Arial"/>
        </w:rPr>
        <w:t xml:space="preserve"> de control de constitucionalidad ordinario, en el que es posible exigir un acto de aplicación de una disposición legislativa a efectos de evitar que se produzca el daño en la esfera de los derechos de una persona</w:t>
      </w:r>
      <w:r w:rsidR="006159E5">
        <w:rPr>
          <w:rFonts w:ascii="Arial" w:hAnsi="Arial" w:cs="Arial"/>
        </w:rPr>
        <w:t>, sino</w:t>
      </w:r>
      <w:r w:rsidRPr="00616BF0">
        <w:rPr>
          <w:rFonts w:ascii="Arial" w:hAnsi="Arial" w:cs="Arial"/>
        </w:rPr>
        <w:t xml:space="preserve"> frente a una situación no ordinaria por medio de la cual quien es titular de un derecho se está viendo afectado porque el legislador suprimió ese derecho. Por ello, y dado que ese derecho </w:t>
      </w:r>
      <w:r w:rsidR="00224460">
        <w:rPr>
          <w:rFonts w:ascii="Arial" w:hAnsi="Arial" w:cs="Arial"/>
        </w:rPr>
        <w:t>se le dejó de reconocer</w:t>
      </w:r>
      <w:r w:rsidRPr="00616BF0">
        <w:rPr>
          <w:rFonts w:ascii="Arial" w:hAnsi="Arial" w:cs="Arial"/>
        </w:rPr>
        <w:t xml:space="preserve">, </w:t>
      </w:r>
      <w:r w:rsidR="00C27F13">
        <w:rPr>
          <w:rFonts w:ascii="Arial" w:hAnsi="Arial" w:cs="Arial"/>
        </w:rPr>
        <w:t xml:space="preserve">el acto derogatorio </w:t>
      </w:r>
      <w:r w:rsidR="000457E9">
        <w:rPr>
          <w:rFonts w:ascii="Arial" w:hAnsi="Arial" w:cs="Arial"/>
        </w:rPr>
        <w:t xml:space="preserve">puede </w:t>
      </w:r>
      <w:r w:rsidR="00493D2A">
        <w:rPr>
          <w:rFonts w:ascii="Arial" w:hAnsi="Arial" w:cs="Arial"/>
        </w:rPr>
        <w:t>equipararse a un acto de aplicación en sentido amplio</w:t>
      </w:r>
      <w:r w:rsidR="00091740">
        <w:rPr>
          <w:rFonts w:ascii="Arial" w:hAnsi="Arial" w:cs="Arial"/>
        </w:rPr>
        <w:t>.</w:t>
      </w:r>
      <w:r w:rsidRPr="00616BF0">
        <w:rPr>
          <w:rFonts w:ascii="Arial" w:hAnsi="Arial" w:cs="Arial"/>
        </w:rPr>
        <w:t xml:space="preserve"> </w:t>
      </w:r>
    </w:p>
    <w:p w14:paraId="21345243" w14:textId="77777777" w:rsidR="005A0ECC" w:rsidRPr="00616BF0" w:rsidRDefault="005A0ECC" w:rsidP="005A0ECC">
      <w:pPr>
        <w:spacing w:before="240" w:after="240" w:line="360" w:lineRule="auto"/>
        <w:jc w:val="both"/>
        <w:rPr>
          <w:rFonts w:ascii="Arial" w:hAnsi="Arial" w:cs="Arial"/>
        </w:rPr>
      </w:pPr>
      <w:r w:rsidRPr="00616BF0">
        <w:rPr>
          <w:rFonts w:ascii="Arial" w:hAnsi="Arial" w:cs="Arial"/>
        </w:rPr>
        <w:t xml:space="preserve">De lo anterior, esta Sala Superior considera que el acto de aplicación </w:t>
      </w:r>
      <w:r w:rsidR="00562F5E">
        <w:rPr>
          <w:rFonts w:ascii="Arial" w:hAnsi="Arial" w:cs="Arial"/>
        </w:rPr>
        <w:t xml:space="preserve">en un sentido amplio </w:t>
      </w:r>
      <w:r w:rsidRPr="00616BF0">
        <w:rPr>
          <w:rFonts w:ascii="Arial" w:hAnsi="Arial" w:cs="Arial"/>
        </w:rPr>
        <w:t xml:space="preserve">se da al momento en el que se aprobó la reforma legislativa </w:t>
      </w:r>
      <w:r w:rsidR="00D71E8F">
        <w:rPr>
          <w:rFonts w:ascii="Arial" w:hAnsi="Arial" w:cs="Arial"/>
        </w:rPr>
        <w:t xml:space="preserve">que derogó el derecho en cuestión </w:t>
      </w:r>
      <w:r w:rsidRPr="00616BF0">
        <w:rPr>
          <w:rFonts w:ascii="Arial" w:hAnsi="Arial" w:cs="Arial"/>
        </w:rPr>
        <w:t xml:space="preserve">y que, por lo tanto, </w:t>
      </w:r>
      <w:r w:rsidR="00A9798E" w:rsidRPr="00616BF0">
        <w:rPr>
          <w:rFonts w:ascii="Arial" w:hAnsi="Arial" w:cs="Arial"/>
        </w:rPr>
        <w:t>no es factible pensar que se puede generar un acto de aplicación</w:t>
      </w:r>
      <w:r w:rsidR="00D13397">
        <w:rPr>
          <w:rFonts w:ascii="Arial" w:hAnsi="Arial" w:cs="Arial"/>
        </w:rPr>
        <w:t xml:space="preserve"> en sentido estricto</w:t>
      </w:r>
      <w:r w:rsidR="00A9798E" w:rsidRPr="00616BF0">
        <w:rPr>
          <w:rFonts w:ascii="Arial" w:hAnsi="Arial" w:cs="Arial"/>
        </w:rPr>
        <w:t xml:space="preserve">. Esto sería, en sí mismo, un falso dilema.  </w:t>
      </w:r>
    </w:p>
    <w:p w14:paraId="6F44A855" w14:textId="77777777" w:rsidR="005A0ECC" w:rsidRPr="00616BF0" w:rsidRDefault="00EC28FC" w:rsidP="005A0ECC">
      <w:pPr>
        <w:spacing w:before="240" w:after="240" w:line="360" w:lineRule="auto"/>
        <w:jc w:val="both"/>
        <w:rPr>
          <w:rFonts w:ascii="Arial" w:hAnsi="Arial" w:cs="Arial"/>
          <w:b/>
        </w:rPr>
      </w:pPr>
      <w:r>
        <w:rPr>
          <w:rFonts w:ascii="Arial" w:hAnsi="Arial" w:cs="Arial"/>
        </w:rPr>
        <w:t>Además de</w:t>
      </w:r>
      <w:r w:rsidR="00A9798E" w:rsidRPr="00616BF0">
        <w:rPr>
          <w:rFonts w:ascii="Arial" w:hAnsi="Arial" w:cs="Arial"/>
        </w:rPr>
        <w:t xml:space="preserve"> lo anterior y dada la naturaleza del derecho que se está suprimiendo, esta Sala Superior considera que tampoco es viable</w:t>
      </w:r>
      <w:r w:rsidR="005A0ECC" w:rsidRPr="00616BF0">
        <w:rPr>
          <w:rFonts w:ascii="Arial" w:hAnsi="Arial" w:cs="Arial"/>
        </w:rPr>
        <w:t xml:space="preserve"> esperar un acto de aplicación que afecte de manera directa la esfera jurídica de una persona</w:t>
      </w:r>
      <w:r w:rsidR="00A9798E" w:rsidRPr="00616BF0">
        <w:rPr>
          <w:rFonts w:ascii="Arial" w:hAnsi="Arial" w:cs="Arial"/>
        </w:rPr>
        <w:t xml:space="preserve"> </w:t>
      </w:r>
      <w:r>
        <w:rPr>
          <w:rFonts w:ascii="Arial" w:hAnsi="Arial" w:cs="Arial"/>
        </w:rPr>
        <w:t>–</w:t>
      </w:r>
      <w:r w:rsidR="00A9798E" w:rsidRPr="00616BF0">
        <w:rPr>
          <w:rFonts w:ascii="Arial" w:hAnsi="Arial" w:cs="Arial"/>
        </w:rPr>
        <w:t>por ejemplo, la de los actores</w:t>
      </w:r>
      <w:r>
        <w:rPr>
          <w:rFonts w:ascii="Arial" w:hAnsi="Arial" w:cs="Arial"/>
        </w:rPr>
        <w:t>–</w:t>
      </w:r>
      <w:r w:rsidR="005A0ECC" w:rsidRPr="00616BF0">
        <w:rPr>
          <w:rFonts w:ascii="Arial" w:hAnsi="Arial" w:cs="Arial"/>
        </w:rPr>
        <w:t xml:space="preserve"> porque estaríamos </w:t>
      </w:r>
      <w:r w:rsidR="005A0ECC" w:rsidRPr="00616BF0">
        <w:rPr>
          <w:rFonts w:ascii="Arial" w:hAnsi="Arial" w:cs="Arial"/>
          <w:b/>
        </w:rPr>
        <w:t>desvirtuando la naturaleza colectiva de</w:t>
      </w:r>
      <w:r w:rsidR="002A1A6F">
        <w:rPr>
          <w:rFonts w:ascii="Arial" w:hAnsi="Arial" w:cs="Arial"/>
          <w:b/>
        </w:rPr>
        <w:t>l derecho humano a</w:t>
      </w:r>
      <w:r w:rsidR="005A0ECC" w:rsidRPr="00616BF0">
        <w:rPr>
          <w:rFonts w:ascii="Arial" w:hAnsi="Arial" w:cs="Arial"/>
          <w:b/>
        </w:rPr>
        <w:t xml:space="preserve"> la diputación migrante</w:t>
      </w:r>
      <w:r w:rsidR="00A9798E" w:rsidRPr="00616BF0">
        <w:rPr>
          <w:rFonts w:ascii="Arial" w:hAnsi="Arial" w:cs="Arial"/>
          <w:b/>
        </w:rPr>
        <w:t xml:space="preserve">. </w:t>
      </w:r>
    </w:p>
    <w:p w14:paraId="37FAB679" w14:textId="77777777" w:rsidR="004541D2" w:rsidRPr="00616BF0" w:rsidRDefault="004D35DF" w:rsidP="005A0ECC">
      <w:pPr>
        <w:spacing w:before="240" w:after="240" w:line="360" w:lineRule="auto"/>
        <w:jc w:val="both"/>
        <w:rPr>
          <w:rFonts w:ascii="Arial" w:hAnsi="Arial" w:cs="Arial"/>
        </w:rPr>
      </w:pPr>
      <w:r w:rsidRPr="00616BF0">
        <w:rPr>
          <w:rFonts w:ascii="Arial" w:hAnsi="Arial" w:cs="Arial"/>
        </w:rPr>
        <w:t xml:space="preserve">Precisamente dada la naturaleza del acto que se está impugnando, así como de la naturaleza del derecho que está en juego, es que esta Sala Superior enfatiza en la necesidad de </w:t>
      </w:r>
      <w:r w:rsidR="004541D2" w:rsidRPr="00616BF0">
        <w:rPr>
          <w:rFonts w:ascii="Arial" w:hAnsi="Arial" w:cs="Arial"/>
        </w:rPr>
        <w:t>entender</w:t>
      </w:r>
      <w:r w:rsidR="00C42CD0">
        <w:rPr>
          <w:rFonts w:ascii="Arial" w:hAnsi="Arial" w:cs="Arial"/>
        </w:rPr>
        <w:t>, en todo caso,</w:t>
      </w:r>
      <w:r w:rsidR="004541D2" w:rsidRPr="00616BF0">
        <w:rPr>
          <w:rFonts w:ascii="Arial" w:hAnsi="Arial" w:cs="Arial"/>
        </w:rPr>
        <w:t xml:space="preserve"> </w:t>
      </w:r>
      <w:r w:rsidR="00C42CD0">
        <w:rPr>
          <w:rFonts w:ascii="Arial" w:hAnsi="Arial" w:cs="Arial"/>
        </w:rPr>
        <w:t>e</w:t>
      </w:r>
      <w:r w:rsidR="004541D2" w:rsidRPr="00616BF0">
        <w:rPr>
          <w:rFonts w:ascii="Arial" w:hAnsi="Arial" w:cs="Arial"/>
        </w:rPr>
        <w:t xml:space="preserve">l acto de aplicación </w:t>
      </w:r>
      <w:r w:rsidR="000047BB">
        <w:rPr>
          <w:rFonts w:ascii="Arial" w:hAnsi="Arial" w:cs="Arial"/>
        </w:rPr>
        <w:t xml:space="preserve">en </w:t>
      </w:r>
      <w:r w:rsidR="00640C09">
        <w:rPr>
          <w:rFonts w:ascii="Arial" w:hAnsi="Arial" w:cs="Arial"/>
        </w:rPr>
        <w:t xml:space="preserve">un </w:t>
      </w:r>
      <w:r w:rsidR="000047BB">
        <w:rPr>
          <w:rFonts w:ascii="Arial" w:hAnsi="Arial" w:cs="Arial"/>
        </w:rPr>
        <w:t xml:space="preserve">sentido más amplio, </w:t>
      </w:r>
      <w:r w:rsidR="004541D2" w:rsidRPr="00616BF0">
        <w:rPr>
          <w:rFonts w:ascii="Arial" w:hAnsi="Arial" w:cs="Arial"/>
        </w:rPr>
        <w:t>de</w:t>
      </w:r>
      <w:r w:rsidR="000047BB">
        <w:rPr>
          <w:rFonts w:ascii="Arial" w:hAnsi="Arial" w:cs="Arial"/>
        </w:rPr>
        <w:t>sde</w:t>
      </w:r>
      <w:r w:rsidR="004541D2" w:rsidRPr="00616BF0">
        <w:rPr>
          <w:rFonts w:ascii="Arial" w:hAnsi="Arial" w:cs="Arial"/>
        </w:rPr>
        <w:t xml:space="preserve"> una </w:t>
      </w:r>
      <w:r w:rsidR="000047BB">
        <w:rPr>
          <w:rFonts w:ascii="Arial" w:hAnsi="Arial" w:cs="Arial"/>
        </w:rPr>
        <w:t>perspectiva</w:t>
      </w:r>
      <w:r w:rsidR="004541D2" w:rsidRPr="00616BF0">
        <w:rPr>
          <w:rFonts w:ascii="Arial" w:hAnsi="Arial" w:cs="Arial"/>
        </w:rPr>
        <w:t xml:space="preserve"> más flexible. De lo contrario, </w:t>
      </w:r>
      <w:r w:rsidR="00640C09">
        <w:rPr>
          <w:rFonts w:ascii="Arial" w:hAnsi="Arial" w:cs="Arial"/>
        </w:rPr>
        <w:t xml:space="preserve">se estaría </w:t>
      </w:r>
      <w:r w:rsidR="004541D2" w:rsidRPr="00616BF0">
        <w:rPr>
          <w:rFonts w:ascii="Arial" w:hAnsi="Arial" w:cs="Arial"/>
        </w:rPr>
        <w:t xml:space="preserve">juzgando desde una perspectiva </w:t>
      </w:r>
      <w:r w:rsidR="00B1293F">
        <w:rPr>
          <w:rFonts w:ascii="Arial" w:hAnsi="Arial" w:cs="Arial"/>
        </w:rPr>
        <w:t>limitada y superficial</w:t>
      </w:r>
      <w:r w:rsidR="004541D2" w:rsidRPr="00616BF0">
        <w:rPr>
          <w:rFonts w:ascii="Arial" w:hAnsi="Arial" w:cs="Arial"/>
        </w:rPr>
        <w:t xml:space="preserve"> cuando es una realidad que </w:t>
      </w:r>
      <w:r w:rsidR="00871779">
        <w:rPr>
          <w:rFonts w:ascii="Arial" w:hAnsi="Arial" w:cs="Arial"/>
        </w:rPr>
        <w:t>el orden jurídico mexicano</w:t>
      </w:r>
      <w:r w:rsidR="004541D2" w:rsidRPr="00616BF0">
        <w:rPr>
          <w:rFonts w:ascii="Arial" w:hAnsi="Arial" w:cs="Arial"/>
        </w:rPr>
        <w:t xml:space="preserve"> incluye derechos de grupos</w:t>
      </w:r>
      <w:r w:rsidR="00F647A2">
        <w:rPr>
          <w:rFonts w:ascii="Arial" w:hAnsi="Arial" w:cs="Arial"/>
        </w:rPr>
        <w:t xml:space="preserve"> y</w:t>
      </w:r>
      <w:r w:rsidR="00685EB0">
        <w:rPr>
          <w:rFonts w:ascii="Arial" w:hAnsi="Arial" w:cs="Arial"/>
        </w:rPr>
        <w:t>,</w:t>
      </w:r>
      <w:r w:rsidR="00F647A2">
        <w:rPr>
          <w:rFonts w:ascii="Arial" w:hAnsi="Arial" w:cs="Arial"/>
        </w:rPr>
        <w:t xml:space="preserve"> </w:t>
      </w:r>
      <w:r w:rsidR="00293012">
        <w:rPr>
          <w:rFonts w:ascii="Arial" w:hAnsi="Arial" w:cs="Arial"/>
        </w:rPr>
        <w:t xml:space="preserve">en </w:t>
      </w:r>
      <w:r w:rsidR="00614723">
        <w:rPr>
          <w:rFonts w:ascii="Arial" w:hAnsi="Arial" w:cs="Arial"/>
        </w:rPr>
        <w:t>ú</w:t>
      </w:r>
      <w:r w:rsidR="00B16BA5">
        <w:rPr>
          <w:rFonts w:ascii="Arial" w:hAnsi="Arial" w:cs="Arial"/>
        </w:rPr>
        <w:t xml:space="preserve">ltimo análisis, </w:t>
      </w:r>
      <w:r w:rsidR="00293012">
        <w:rPr>
          <w:rFonts w:ascii="Arial" w:hAnsi="Arial" w:cs="Arial"/>
        </w:rPr>
        <w:t xml:space="preserve">lo que </w:t>
      </w:r>
      <w:r w:rsidR="00B16BA5">
        <w:rPr>
          <w:rFonts w:ascii="Arial" w:hAnsi="Arial" w:cs="Arial"/>
        </w:rPr>
        <w:t xml:space="preserve">está en cuestión </w:t>
      </w:r>
      <w:r w:rsidR="00277F88">
        <w:rPr>
          <w:rFonts w:ascii="Arial" w:hAnsi="Arial" w:cs="Arial"/>
        </w:rPr>
        <w:t xml:space="preserve">es un acto derogatorio </w:t>
      </w:r>
      <w:r w:rsidR="00396077">
        <w:rPr>
          <w:rFonts w:ascii="Arial" w:hAnsi="Arial" w:cs="Arial"/>
        </w:rPr>
        <w:t xml:space="preserve">que </w:t>
      </w:r>
      <w:r w:rsidR="002E5DED">
        <w:rPr>
          <w:rFonts w:ascii="Arial" w:hAnsi="Arial" w:cs="Arial"/>
        </w:rPr>
        <w:t>trajo como consecuencia la cancelación de</w:t>
      </w:r>
      <w:r w:rsidR="00396077">
        <w:rPr>
          <w:rFonts w:ascii="Arial" w:hAnsi="Arial" w:cs="Arial"/>
        </w:rPr>
        <w:t xml:space="preserve"> </w:t>
      </w:r>
      <w:r w:rsidR="00363CF3">
        <w:rPr>
          <w:rFonts w:ascii="Arial" w:hAnsi="Arial" w:cs="Arial"/>
        </w:rPr>
        <w:t>un derecho de participación política de un grupo de ciudadan</w:t>
      </w:r>
      <w:r w:rsidR="00396077">
        <w:rPr>
          <w:rFonts w:ascii="Arial" w:hAnsi="Arial" w:cs="Arial"/>
        </w:rPr>
        <w:t>a</w:t>
      </w:r>
      <w:r w:rsidR="00363CF3">
        <w:rPr>
          <w:rFonts w:ascii="Arial" w:hAnsi="Arial" w:cs="Arial"/>
        </w:rPr>
        <w:t xml:space="preserve">s y ciudadanos </w:t>
      </w:r>
      <w:r w:rsidR="001F7C56">
        <w:rPr>
          <w:rFonts w:ascii="Arial" w:hAnsi="Arial" w:cs="Arial"/>
        </w:rPr>
        <w:t>y</w:t>
      </w:r>
      <w:r w:rsidR="00004B1A">
        <w:rPr>
          <w:rFonts w:ascii="Arial" w:hAnsi="Arial" w:cs="Arial"/>
        </w:rPr>
        <w:t>,</w:t>
      </w:r>
      <w:r w:rsidR="001F7C56">
        <w:rPr>
          <w:rFonts w:ascii="Arial" w:hAnsi="Arial" w:cs="Arial"/>
        </w:rPr>
        <w:t xml:space="preserve"> al ser eliminada</w:t>
      </w:r>
      <w:r w:rsidR="00004B1A">
        <w:rPr>
          <w:rFonts w:ascii="Arial" w:hAnsi="Arial" w:cs="Arial"/>
        </w:rPr>
        <w:t>s</w:t>
      </w:r>
      <w:r w:rsidR="001F7C56">
        <w:rPr>
          <w:rFonts w:ascii="Arial" w:hAnsi="Arial" w:cs="Arial"/>
        </w:rPr>
        <w:t xml:space="preserve"> la</w:t>
      </w:r>
      <w:r w:rsidR="00004B1A">
        <w:rPr>
          <w:rFonts w:ascii="Arial" w:hAnsi="Arial" w:cs="Arial"/>
        </w:rPr>
        <w:t>s</w:t>
      </w:r>
      <w:r w:rsidR="001F7C56">
        <w:rPr>
          <w:rFonts w:ascii="Arial" w:hAnsi="Arial" w:cs="Arial"/>
        </w:rPr>
        <w:t xml:space="preserve"> norma</w:t>
      </w:r>
      <w:r w:rsidR="00004B1A">
        <w:rPr>
          <w:rFonts w:ascii="Arial" w:hAnsi="Arial" w:cs="Arial"/>
        </w:rPr>
        <w:t>s</w:t>
      </w:r>
      <w:r w:rsidR="001F7C56">
        <w:rPr>
          <w:rFonts w:ascii="Arial" w:hAnsi="Arial" w:cs="Arial"/>
        </w:rPr>
        <w:t xml:space="preserve"> </w:t>
      </w:r>
      <w:r w:rsidR="00004B1A">
        <w:rPr>
          <w:rFonts w:ascii="Arial" w:hAnsi="Arial" w:cs="Arial"/>
        </w:rPr>
        <w:t>que regulaban ese derecho</w:t>
      </w:r>
      <w:r w:rsidR="00EA5A1F">
        <w:rPr>
          <w:rFonts w:ascii="Arial" w:hAnsi="Arial" w:cs="Arial"/>
        </w:rPr>
        <w:t xml:space="preserve"> no es exigible un acto concreto de aplicación</w:t>
      </w:r>
      <w:r w:rsidR="00F60F68">
        <w:rPr>
          <w:rFonts w:ascii="Arial" w:hAnsi="Arial" w:cs="Arial"/>
        </w:rPr>
        <w:t xml:space="preserve"> en un sentido estr</w:t>
      </w:r>
      <w:r w:rsidR="00EF6BD7">
        <w:rPr>
          <w:rFonts w:ascii="Arial" w:hAnsi="Arial" w:cs="Arial"/>
        </w:rPr>
        <w:t>icto</w:t>
      </w:r>
      <w:r w:rsidR="004541D2" w:rsidRPr="00616BF0">
        <w:rPr>
          <w:rFonts w:ascii="Arial" w:hAnsi="Arial" w:cs="Arial"/>
        </w:rPr>
        <w:t>.</w:t>
      </w:r>
      <w:r w:rsidR="00CB5BFA">
        <w:rPr>
          <w:rFonts w:ascii="Arial" w:hAnsi="Arial" w:cs="Arial"/>
        </w:rPr>
        <w:t xml:space="preserve"> Exigirlo sería un</w:t>
      </w:r>
      <w:r w:rsidR="000042DD">
        <w:rPr>
          <w:rFonts w:ascii="Arial" w:hAnsi="Arial" w:cs="Arial"/>
        </w:rPr>
        <w:t xml:space="preserve"> requerimiento </w:t>
      </w:r>
      <w:r w:rsidR="005A4691">
        <w:rPr>
          <w:rFonts w:ascii="Arial" w:hAnsi="Arial" w:cs="Arial"/>
        </w:rPr>
        <w:t xml:space="preserve">jurídicamente </w:t>
      </w:r>
      <w:r w:rsidR="00A81422">
        <w:rPr>
          <w:rFonts w:ascii="Arial" w:hAnsi="Arial" w:cs="Arial"/>
        </w:rPr>
        <w:t>absurdo.</w:t>
      </w:r>
      <w:r w:rsidR="004541D2" w:rsidRPr="00616BF0">
        <w:rPr>
          <w:rFonts w:ascii="Arial" w:hAnsi="Arial" w:cs="Arial"/>
        </w:rPr>
        <w:t xml:space="preserve"> </w:t>
      </w:r>
    </w:p>
    <w:p w14:paraId="28370185" w14:textId="77777777" w:rsidR="005A0ECC" w:rsidRPr="006215A7" w:rsidRDefault="005A0ECC" w:rsidP="00991F83">
      <w:pPr>
        <w:pStyle w:val="Ttulo1"/>
        <w:numPr>
          <w:ilvl w:val="2"/>
          <w:numId w:val="13"/>
        </w:numPr>
        <w:spacing w:before="240" w:beforeAutospacing="0" w:after="240" w:afterAutospacing="0"/>
        <w:jc w:val="both"/>
        <w:rPr>
          <w:rFonts w:ascii="Arial Negrita" w:eastAsiaTheme="minorHAnsi" w:hAnsi="Arial Negrita" w:cs="Arial"/>
          <w:caps w:val="0"/>
          <w:szCs w:val="24"/>
        </w:rPr>
      </w:pPr>
      <w:bookmarkStart w:id="26" w:name="_Toc48404883"/>
      <w:r w:rsidRPr="006215A7">
        <w:rPr>
          <w:rFonts w:ascii="Arial Negrita" w:eastAsiaTheme="minorHAnsi" w:hAnsi="Arial Negrita" w:cs="Arial"/>
          <w:caps w:val="0"/>
          <w:szCs w:val="24"/>
        </w:rPr>
        <w:t>Efectos delimitados</w:t>
      </w:r>
      <w:bookmarkEnd w:id="26"/>
      <w:r w:rsidRPr="006215A7">
        <w:rPr>
          <w:rFonts w:ascii="Arial Negrita" w:eastAsiaTheme="minorHAnsi" w:hAnsi="Arial Negrita" w:cs="Arial"/>
          <w:caps w:val="0"/>
          <w:szCs w:val="24"/>
        </w:rPr>
        <w:t xml:space="preserve"> </w:t>
      </w:r>
    </w:p>
    <w:p w14:paraId="614222AE" w14:textId="77777777" w:rsidR="005A0ECC" w:rsidRDefault="005A0ECC" w:rsidP="005A0ECC">
      <w:pPr>
        <w:spacing w:before="240" w:after="240" w:line="360" w:lineRule="auto"/>
        <w:jc w:val="both"/>
        <w:rPr>
          <w:rFonts w:ascii="Arial" w:hAnsi="Arial" w:cs="Arial"/>
        </w:rPr>
      </w:pPr>
      <w:r>
        <w:rPr>
          <w:rFonts w:ascii="Arial" w:hAnsi="Arial" w:cs="Arial"/>
        </w:rPr>
        <w:t xml:space="preserve">Por otro lado, también resulta </w:t>
      </w:r>
      <w:r w:rsidRPr="00ED2536">
        <w:rPr>
          <w:rFonts w:ascii="Arial" w:hAnsi="Arial" w:cs="Arial"/>
          <w:b/>
        </w:rPr>
        <w:t>infundado</w:t>
      </w:r>
      <w:r>
        <w:rPr>
          <w:rFonts w:ascii="Arial" w:hAnsi="Arial" w:cs="Arial"/>
        </w:rPr>
        <w:t xml:space="preserve"> el agravio de la parte actora relativo a que la decisión adoptada por la Sala Regional tiene efectos generales y, por lo tanto, llevó a cabo un control constitucional abstracto. </w:t>
      </w:r>
    </w:p>
    <w:p w14:paraId="41396579" w14:textId="77777777" w:rsidR="005A0ECC" w:rsidRDefault="005A0ECC" w:rsidP="005A0ECC">
      <w:pPr>
        <w:spacing w:before="240" w:after="240" w:line="360" w:lineRule="auto"/>
        <w:jc w:val="both"/>
        <w:rPr>
          <w:rFonts w:ascii="Arial" w:hAnsi="Arial" w:cs="Arial"/>
        </w:rPr>
      </w:pPr>
      <w:r>
        <w:rPr>
          <w:rFonts w:ascii="Arial" w:hAnsi="Arial" w:cs="Arial"/>
        </w:rPr>
        <w:t xml:space="preserve">Como ya se precisó antes, para llevar a cabo el análisis de este caso es necesario considerar la naturaleza del derecho, así como sus </w:t>
      </w:r>
      <w:r w:rsidR="00EB18B7">
        <w:rPr>
          <w:rFonts w:ascii="Arial" w:hAnsi="Arial" w:cs="Arial"/>
        </w:rPr>
        <w:t>titulares</w:t>
      </w:r>
      <w:r>
        <w:rPr>
          <w:rFonts w:ascii="Arial" w:hAnsi="Arial" w:cs="Arial"/>
        </w:rPr>
        <w:t xml:space="preserve">. En el caso, ya se mencionó que estamos frente a un derecho especial de grupo cuya destinataria es la diáspora mexicana. </w:t>
      </w:r>
    </w:p>
    <w:p w14:paraId="51F69AE3" w14:textId="77777777" w:rsidR="005A0ECC" w:rsidRDefault="005A0ECC" w:rsidP="005A0ECC">
      <w:pPr>
        <w:spacing w:before="240" w:after="240" w:line="360" w:lineRule="auto"/>
        <w:jc w:val="both"/>
        <w:rPr>
          <w:rFonts w:ascii="Arial" w:hAnsi="Arial" w:cs="Arial"/>
        </w:rPr>
      </w:pPr>
      <w:r>
        <w:rPr>
          <w:rFonts w:ascii="Arial" w:hAnsi="Arial" w:cs="Arial"/>
        </w:rPr>
        <w:t xml:space="preserve">Es decir, el efecto que tendrá la decisión respecto de la constitucionalidad del acto legislativo que suprimió la figura de la diputación migrante será un efecto dirigido únicamente al titular, es decir, al colectivo al que está destinado. </w:t>
      </w:r>
    </w:p>
    <w:p w14:paraId="7CA0DEB0" w14:textId="77777777" w:rsidR="005A0ECC" w:rsidRDefault="005A0ECC" w:rsidP="005A0ECC">
      <w:pPr>
        <w:spacing w:before="240" w:after="240" w:line="360" w:lineRule="auto"/>
        <w:jc w:val="both"/>
        <w:rPr>
          <w:rFonts w:ascii="Arial" w:hAnsi="Arial" w:cs="Arial"/>
        </w:rPr>
      </w:pPr>
      <w:r>
        <w:rPr>
          <w:rFonts w:ascii="Arial" w:hAnsi="Arial" w:cs="Arial"/>
        </w:rPr>
        <w:t xml:space="preserve">La particularidad del caso que ahora se analiza obliga a flexibilizar la noción que esta Sala Superior tiene respecto de su facultad como </w:t>
      </w:r>
      <w:r w:rsidR="008C0D8D">
        <w:rPr>
          <w:rFonts w:ascii="Arial" w:hAnsi="Arial" w:cs="Arial"/>
        </w:rPr>
        <w:t>T</w:t>
      </w:r>
      <w:r>
        <w:rPr>
          <w:rFonts w:ascii="Arial" w:hAnsi="Arial" w:cs="Arial"/>
        </w:rPr>
        <w:t xml:space="preserve">ribunal constitucional. En concreto, nos lleva a abrir el entendimiento que tenemos respecto del tipo de acto que se impugna y el tipo de efectos que se pueden generar. </w:t>
      </w:r>
    </w:p>
    <w:p w14:paraId="428BF92D" w14:textId="77777777" w:rsidR="005A0ECC" w:rsidRDefault="005A0ECC" w:rsidP="005A0ECC">
      <w:pPr>
        <w:spacing w:before="240" w:after="240" w:line="360" w:lineRule="auto"/>
        <w:jc w:val="both"/>
        <w:rPr>
          <w:rFonts w:ascii="Arial" w:hAnsi="Arial" w:cs="Arial"/>
        </w:rPr>
      </w:pPr>
      <w:r>
        <w:rPr>
          <w:rFonts w:ascii="Arial" w:hAnsi="Arial" w:cs="Arial"/>
        </w:rPr>
        <w:t xml:space="preserve">En el caso concreto, ya se señaló que no es posible esperar un acto de aplicación que afecte de manera directa la esfera jurídica de una persona porque estaríamos </w:t>
      </w:r>
      <w:r w:rsidRPr="00561A61">
        <w:rPr>
          <w:rFonts w:ascii="Arial" w:hAnsi="Arial" w:cs="Arial"/>
          <w:b/>
        </w:rPr>
        <w:t>desvirtuando la naturaleza colectiva de la diputación migrante</w:t>
      </w:r>
      <w:r>
        <w:rPr>
          <w:rFonts w:ascii="Arial" w:hAnsi="Arial" w:cs="Arial"/>
        </w:rPr>
        <w:t>. Por ese mismo motivo, tampoco podemos esperar que el efecto del control de constitucionalidad que llevemos a cabo produzca efectos únicamente dentro de la esfera de derechos de una persona</w:t>
      </w:r>
      <w:r w:rsidR="00C03B89">
        <w:rPr>
          <w:rFonts w:ascii="Arial" w:hAnsi="Arial" w:cs="Arial"/>
        </w:rPr>
        <w:t xml:space="preserve"> en lo individual</w:t>
      </w:r>
      <w:r>
        <w:rPr>
          <w:rFonts w:ascii="Arial" w:hAnsi="Arial" w:cs="Arial"/>
        </w:rPr>
        <w:t xml:space="preserve">. </w:t>
      </w:r>
    </w:p>
    <w:p w14:paraId="0EE31B47" w14:textId="77777777" w:rsidR="00616BF0" w:rsidRDefault="00616BF0" w:rsidP="005A0ECC">
      <w:pPr>
        <w:spacing w:before="240" w:after="240" w:line="360" w:lineRule="auto"/>
        <w:jc w:val="both"/>
        <w:rPr>
          <w:rFonts w:ascii="Arial" w:hAnsi="Arial" w:cs="Arial"/>
        </w:rPr>
      </w:pPr>
      <w:r>
        <w:rPr>
          <w:rFonts w:ascii="Arial" w:hAnsi="Arial" w:cs="Arial"/>
        </w:rPr>
        <w:t xml:space="preserve">Esto no implica que el control de constitucionalidad que se está haciendo sea abstracto, porque </w:t>
      </w:r>
      <w:r w:rsidRPr="00616BF0">
        <w:rPr>
          <w:rFonts w:ascii="Arial" w:hAnsi="Arial" w:cs="Arial"/>
          <w:b/>
        </w:rPr>
        <w:t>los efectos están dirigidos solamente al titular del derecho</w:t>
      </w:r>
      <w:r>
        <w:rPr>
          <w:rFonts w:ascii="Arial" w:hAnsi="Arial" w:cs="Arial"/>
        </w:rPr>
        <w:t xml:space="preserve">, esto es, a la diáspora. De ahí que no le asiste la razón a MORENA cuando alega que dados los efectos que tiene la decisión de 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 xml:space="preserve">egional, se está frente a un control de constitucionalidad abstracto. </w:t>
      </w:r>
    </w:p>
    <w:p w14:paraId="399A23CC" w14:textId="77777777" w:rsidR="000D2506" w:rsidRDefault="000D2506" w:rsidP="000D2506">
      <w:pPr>
        <w:spacing w:before="240" w:after="240" w:line="360" w:lineRule="auto"/>
        <w:jc w:val="both"/>
        <w:rPr>
          <w:rFonts w:ascii="Arial" w:hAnsi="Arial" w:cs="Arial"/>
        </w:rPr>
      </w:pPr>
      <w:r>
        <w:rPr>
          <w:rFonts w:ascii="Arial" w:hAnsi="Arial" w:cs="Arial"/>
        </w:rPr>
        <w:t xml:space="preserve">Todo lo anterior lleva a esta Sala Superior a razonar que la distinción entre el tipo de control constitucional que se puede realizar, esto es, abstracto o concreto, tiene sentido cuando un acto legislativo puede diferenciarse en dos niveles. </w:t>
      </w:r>
    </w:p>
    <w:p w14:paraId="695C1B01" w14:textId="77777777" w:rsidR="000D2506" w:rsidRDefault="00B37760" w:rsidP="000D2506">
      <w:pPr>
        <w:spacing w:before="240" w:after="240" w:line="360" w:lineRule="auto"/>
        <w:jc w:val="both"/>
        <w:rPr>
          <w:rFonts w:ascii="Arial" w:hAnsi="Arial" w:cs="Arial"/>
        </w:rPr>
      </w:pPr>
      <w:r>
        <w:rPr>
          <w:rFonts w:ascii="Arial" w:hAnsi="Arial" w:cs="Arial"/>
        </w:rPr>
        <w:t>Por un lado,</w:t>
      </w:r>
      <w:r w:rsidR="00967BB5">
        <w:rPr>
          <w:rFonts w:ascii="Arial" w:hAnsi="Arial" w:cs="Arial"/>
        </w:rPr>
        <w:t xml:space="preserve"> puede ser un acto legislativo que afecta la esfera jurídica de toda la ciudadanía y que puede ser cuestionado en cuanto a su constitucionalidad, en términos generales. </w:t>
      </w:r>
      <w:r>
        <w:rPr>
          <w:rFonts w:ascii="Arial" w:hAnsi="Arial" w:cs="Arial"/>
        </w:rPr>
        <w:t xml:space="preserve">Es decir, puede ser un acto legislativo que en sí mismo es contrario al bloque </w:t>
      </w:r>
      <w:r w:rsidR="00257EAD">
        <w:rPr>
          <w:rFonts w:ascii="Arial" w:hAnsi="Arial" w:cs="Arial"/>
        </w:rPr>
        <w:t>de constitucionalidad</w:t>
      </w:r>
      <w:r>
        <w:rPr>
          <w:rFonts w:ascii="Arial" w:hAnsi="Arial" w:cs="Arial"/>
        </w:rPr>
        <w:t xml:space="preserve"> y, por tanto, puede ser declarado inconstitucional y, como consecuencia, expulsado del sistema. </w:t>
      </w:r>
    </w:p>
    <w:p w14:paraId="0D84E3A9" w14:textId="58CFBC25" w:rsidR="00B37760" w:rsidRDefault="00B37760" w:rsidP="000D2506">
      <w:pPr>
        <w:spacing w:before="240" w:after="240" w:line="360" w:lineRule="auto"/>
        <w:jc w:val="both"/>
        <w:rPr>
          <w:rFonts w:ascii="Arial" w:hAnsi="Arial" w:cs="Arial"/>
        </w:rPr>
      </w:pPr>
      <w:r>
        <w:rPr>
          <w:rFonts w:ascii="Arial" w:hAnsi="Arial" w:cs="Arial"/>
        </w:rPr>
        <w:t xml:space="preserve">Por otro lado, ese mismo acto legislativo que en términos generales es compatible con el bloque </w:t>
      </w:r>
      <w:r w:rsidR="007F1A61">
        <w:rPr>
          <w:rFonts w:ascii="Arial" w:hAnsi="Arial" w:cs="Arial"/>
        </w:rPr>
        <w:t>de derechos</w:t>
      </w:r>
      <w:r w:rsidR="00EC28FC">
        <w:rPr>
          <w:rFonts w:ascii="Arial" w:hAnsi="Arial" w:cs="Arial"/>
        </w:rPr>
        <w:t>,</w:t>
      </w:r>
      <w:r>
        <w:rPr>
          <w:rFonts w:ascii="Arial" w:hAnsi="Arial" w:cs="Arial"/>
        </w:rPr>
        <w:t xml:space="preserve"> podría ser cuestionado por una persona que considera que, en el caso concreto, ese acto puede ser inconstitucional. </w:t>
      </w:r>
    </w:p>
    <w:p w14:paraId="3E1E8C42" w14:textId="77777777" w:rsidR="000D2506" w:rsidRDefault="00B37760" w:rsidP="005A0ECC">
      <w:pPr>
        <w:spacing w:before="240" w:after="240" w:line="360" w:lineRule="auto"/>
        <w:jc w:val="both"/>
        <w:rPr>
          <w:rFonts w:ascii="Arial" w:hAnsi="Arial" w:cs="Arial"/>
        </w:rPr>
      </w:pPr>
      <w:r>
        <w:rPr>
          <w:rFonts w:ascii="Arial" w:hAnsi="Arial" w:cs="Arial"/>
        </w:rPr>
        <w:t xml:space="preserve">Sin embargo, las particularidades del caso que ahora se analiza no permiten hacer esta distinción. Al tratarse de la supresión de una norma que reconocía un derecho </w:t>
      </w:r>
      <w:r w:rsidR="00627961">
        <w:rPr>
          <w:rFonts w:ascii="Arial" w:hAnsi="Arial" w:cs="Arial"/>
        </w:rPr>
        <w:t xml:space="preserve">de participación </w:t>
      </w:r>
      <w:r w:rsidR="002C5BFF">
        <w:rPr>
          <w:rFonts w:ascii="Arial" w:hAnsi="Arial" w:cs="Arial"/>
        </w:rPr>
        <w:t xml:space="preserve">y representación </w:t>
      </w:r>
      <w:r w:rsidR="00627961">
        <w:rPr>
          <w:rFonts w:ascii="Arial" w:hAnsi="Arial" w:cs="Arial"/>
        </w:rPr>
        <w:t>política de un colectivo</w:t>
      </w:r>
      <w:r w:rsidR="00EC28FC">
        <w:rPr>
          <w:rFonts w:ascii="Arial" w:hAnsi="Arial" w:cs="Arial"/>
        </w:rPr>
        <w:t>,</w:t>
      </w:r>
      <w:r>
        <w:rPr>
          <w:rFonts w:ascii="Arial" w:hAnsi="Arial" w:cs="Arial"/>
        </w:rPr>
        <w:t xml:space="preserve"> en sí misma</w:t>
      </w:r>
      <w:r w:rsidR="00EC28FC">
        <w:rPr>
          <w:rFonts w:ascii="Arial" w:hAnsi="Arial" w:cs="Arial"/>
        </w:rPr>
        <w:t>,</w:t>
      </w:r>
      <w:r>
        <w:rPr>
          <w:rFonts w:ascii="Arial" w:hAnsi="Arial" w:cs="Arial"/>
        </w:rPr>
        <w:t xml:space="preserve"> genera una afectación en la esfera jurídica del colectivo</w:t>
      </w:r>
      <w:r w:rsidR="006179C4">
        <w:rPr>
          <w:rFonts w:ascii="Arial" w:hAnsi="Arial" w:cs="Arial"/>
        </w:rPr>
        <w:t>.</w:t>
      </w:r>
      <w:r w:rsidRPr="006179C4">
        <w:rPr>
          <w:rFonts w:ascii="Arial" w:hAnsi="Arial" w:cs="Arial"/>
          <w:strike/>
        </w:rPr>
        <w:t xml:space="preserve"> </w:t>
      </w:r>
    </w:p>
    <w:p w14:paraId="34F78CDB" w14:textId="77777777" w:rsidR="00616BF0" w:rsidRDefault="00BA6BE3" w:rsidP="005A0ECC">
      <w:pPr>
        <w:spacing w:before="240" w:after="240" w:line="360" w:lineRule="auto"/>
        <w:jc w:val="both"/>
        <w:rPr>
          <w:rFonts w:ascii="Arial" w:hAnsi="Arial" w:cs="Arial"/>
        </w:rPr>
      </w:pPr>
      <w:r>
        <w:rPr>
          <w:rFonts w:ascii="Arial" w:hAnsi="Arial" w:cs="Arial"/>
        </w:rPr>
        <w:t>Al respecto,</w:t>
      </w:r>
      <w:r w:rsidR="00616BF0">
        <w:rPr>
          <w:rFonts w:ascii="Arial" w:hAnsi="Arial" w:cs="Arial"/>
        </w:rPr>
        <w:t xml:space="preserve"> este Tribunal observa que el reclamo que los actores hicieron ante la </w:t>
      </w:r>
      <w:r w:rsidR="00A70A63">
        <w:rPr>
          <w:rFonts w:ascii="Arial" w:hAnsi="Arial" w:cs="Arial"/>
        </w:rPr>
        <w:t>S</w:t>
      </w:r>
      <w:r w:rsidR="00616BF0">
        <w:rPr>
          <w:rFonts w:ascii="Arial" w:hAnsi="Arial" w:cs="Arial"/>
        </w:rPr>
        <w:t xml:space="preserve">ala </w:t>
      </w:r>
      <w:r w:rsidR="00A70A63">
        <w:rPr>
          <w:rFonts w:ascii="Arial" w:hAnsi="Arial" w:cs="Arial"/>
        </w:rPr>
        <w:t>R</w:t>
      </w:r>
      <w:r w:rsidR="00616BF0">
        <w:rPr>
          <w:rFonts w:ascii="Arial" w:hAnsi="Arial" w:cs="Arial"/>
        </w:rPr>
        <w:t>egional no podría haber sido resuelt</w:t>
      </w:r>
      <w:r w:rsidR="00647D70">
        <w:rPr>
          <w:rFonts w:ascii="Arial" w:hAnsi="Arial" w:cs="Arial"/>
        </w:rPr>
        <w:t>o</w:t>
      </w:r>
      <w:r w:rsidR="00616BF0">
        <w:rPr>
          <w:rFonts w:ascii="Arial" w:hAnsi="Arial" w:cs="Arial"/>
        </w:rPr>
        <w:t xml:space="preserve"> por otro </w:t>
      </w:r>
      <w:r w:rsidR="008C0D8D">
        <w:rPr>
          <w:rFonts w:ascii="Arial" w:hAnsi="Arial" w:cs="Arial"/>
        </w:rPr>
        <w:t>T</w:t>
      </w:r>
      <w:r w:rsidR="00616BF0">
        <w:rPr>
          <w:rFonts w:ascii="Arial" w:hAnsi="Arial" w:cs="Arial"/>
        </w:rPr>
        <w:t xml:space="preserve">ribunal constitucional, concretamente, por la Suprema Corte de Justicia de la Nación. </w:t>
      </w:r>
    </w:p>
    <w:p w14:paraId="17E36EF9" w14:textId="77777777" w:rsidR="002717AA" w:rsidRDefault="002717AA" w:rsidP="005A0ECC">
      <w:pPr>
        <w:spacing w:before="240" w:after="240" w:line="360" w:lineRule="auto"/>
        <w:jc w:val="both"/>
        <w:rPr>
          <w:rFonts w:ascii="Arial" w:hAnsi="Arial" w:cs="Arial"/>
        </w:rPr>
      </w:pPr>
      <w:r>
        <w:rPr>
          <w:rFonts w:ascii="Arial" w:hAnsi="Arial" w:cs="Arial"/>
        </w:rPr>
        <w:t>E</w:t>
      </w:r>
      <w:r w:rsidR="00616BF0">
        <w:rPr>
          <w:rFonts w:ascii="Arial" w:hAnsi="Arial" w:cs="Arial"/>
        </w:rPr>
        <w:t xml:space="preserve">l artículo 105 de la Constitución </w:t>
      </w:r>
      <w:r w:rsidR="00EC28FC">
        <w:rPr>
          <w:rFonts w:ascii="Arial" w:hAnsi="Arial" w:cs="Arial"/>
        </w:rPr>
        <w:t>g</w:t>
      </w:r>
      <w:r w:rsidR="00616BF0">
        <w:rPr>
          <w:rFonts w:ascii="Arial" w:hAnsi="Arial" w:cs="Arial"/>
        </w:rPr>
        <w:t>eneral</w:t>
      </w:r>
      <w:r>
        <w:rPr>
          <w:rFonts w:ascii="Arial" w:hAnsi="Arial" w:cs="Arial"/>
        </w:rPr>
        <w:t xml:space="preserve"> establece</w:t>
      </w:r>
      <w:r w:rsidR="00EC28FC">
        <w:rPr>
          <w:rFonts w:ascii="Arial" w:hAnsi="Arial" w:cs="Arial"/>
        </w:rPr>
        <w:t xml:space="preserve"> </w:t>
      </w:r>
      <w:r>
        <w:rPr>
          <w:rFonts w:ascii="Arial" w:hAnsi="Arial" w:cs="Arial"/>
        </w:rPr>
        <w:t xml:space="preserve">quienes </w:t>
      </w:r>
      <w:r w:rsidR="0037797B">
        <w:rPr>
          <w:rFonts w:ascii="Arial" w:hAnsi="Arial" w:cs="Arial"/>
        </w:rPr>
        <w:t>se encuentran legitimados para promover</w:t>
      </w:r>
      <w:r>
        <w:rPr>
          <w:rFonts w:ascii="Arial" w:hAnsi="Arial" w:cs="Arial"/>
        </w:rPr>
        <w:t xml:space="preserve"> acciones de inconstitucionalidad, sin que en esos supuestos entren los actores que acudieron a 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egional</w:t>
      </w:r>
      <w:r w:rsidR="00336DC8">
        <w:rPr>
          <w:rFonts w:ascii="Arial" w:hAnsi="Arial" w:cs="Arial"/>
        </w:rPr>
        <w:t>.</w:t>
      </w:r>
    </w:p>
    <w:p w14:paraId="0B250FE4" w14:textId="77777777" w:rsidR="002717AA" w:rsidRDefault="002717AA" w:rsidP="005A0ECC">
      <w:pPr>
        <w:spacing w:before="240" w:after="240" w:line="360" w:lineRule="auto"/>
        <w:jc w:val="both"/>
        <w:rPr>
          <w:rFonts w:ascii="Arial" w:hAnsi="Arial" w:cs="Arial"/>
        </w:rPr>
      </w:pPr>
      <w:r>
        <w:rPr>
          <w:rFonts w:ascii="Arial" w:hAnsi="Arial" w:cs="Arial"/>
        </w:rPr>
        <w:t>De ahí que, de considerar que le asiste la razón a MORENA en cuanto a que el reclamo de los actores debió conocerse por medio de una acción de inconstitucionalidad, implicaría una denegación de justicia a los actores. Su reclamo y sus peticiones no podrían ser revisados</w:t>
      </w:r>
      <w:r w:rsidR="00D963DD">
        <w:rPr>
          <w:rFonts w:ascii="Arial" w:hAnsi="Arial" w:cs="Arial"/>
        </w:rPr>
        <w:t>,</w:t>
      </w:r>
      <w:r>
        <w:rPr>
          <w:rFonts w:ascii="Arial" w:hAnsi="Arial" w:cs="Arial"/>
        </w:rPr>
        <w:t xml:space="preserve"> </w:t>
      </w:r>
      <w:r w:rsidR="00D963DD">
        <w:rPr>
          <w:rFonts w:ascii="Arial" w:hAnsi="Arial" w:cs="Arial"/>
        </w:rPr>
        <w:t>con el riesgo de incurrir en una resp</w:t>
      </w:r>
      <w:r w:rsidR="00B8490A">
        <w:rPr>
          <w:rFonts w:ascii="Arial" w:hAnsi="Arial" w:cs="Arial"/>
        </w:rPr>
        <w:t>onsabilidad internacional por la falta de un recurso efectivo</w:t>
      </w:r>
      <w:r>
        <w:rPr>
          <w:rFonts w:ascii="Arial" w:hAnsi="Arial" w:cs="Arial"/>
        </w:rPr>
        <w:t xml:space="preserve">. </w:t>
      </w:r>
    </w:p>
    <w:p w14:paraId="27DF519B" w14:textId="77777777" w:rsidR="005A0ECC" w:rsidRDefault="005A0ECC" w:rsidP="005A0ECC">
      <w:pPr>
        <w:spacing w:before="240" w:after="240" w:line="360" w:lineRule="auto"/>
        <w:jc w:val="both"/>
        <w:rPr>
          <w:rFonts w:ascii="Arial" w:hAnsi="Arial" w:cs="Arial"/>
        </w:rPr>
      </w:pPr>
      <w:r>
        <w:rPr>
          <w:rFonts w:ascii="Arial" w:hAnsi="Arial" w:cs="Arial"/>
        </w:rPr>
        <w:t xml:space="preserve">Por todo lo anterior, esta Sala Superior concluye que fue correcto que la Sala Regional analizara la constitucionalidad del acto legislativo </w:t>
      </w:r>
      <w:r w:rsidR="00A6549B">
        <w:rPr>
          <w:rFonts w:ascii="Arial" w:hAnsi="Arial" w:cs="Arial"/>
        </w:rPr>
        <w:t xml:space="preserve">derogatorio </w:t>
      </w:r>
      <w:r>
        <w:rPr>
          <w:rFonts w:ascii="Arial" w:hAnsi="Arial" w:cs="Arial"/>
        </w:rPr>
        <w:t xml:space="preserve">porque: </w:t>
      </w:r>
    </w:p>
    <w:p w14:paraId="3D4A6E7E" w14:textId="77777777" w:rsidR="00AE1A19" w:rsidRDefault="005A0ECC" w:rsidP="00991F83">
      <w:pPr>
        <w:pStyle w:val="Prrafodelista"/>
        <w:numPr>
          <w:ilvl w:val="0"/>
          <w:numId w:val="8"/>
        </w:numPr>
        <w:spacing w:before="240" w:after="240" w:line="360" w:lineRule="auto"/>
        <w:jc w:val="both"/>
        <w:rPr>
          <w:rFonts w:ascii="Arial" w:hAnsi="Arial" w:cs="Arial"/>
        </w:rPr>
      </w:pPr>
      <w:r>
        <w:rPr>
          <w:rFonts w:ascii="Arial" w:hAnsi="Arial" w:cs="Arial"/>
        </w:rPr>
        <w:t>El acto legislativo en sí mismo produce una merma en el conjunto de derechos reconocidos a un colectivo;</w:t>
      </w:r>
    </w:p>
    <w:p w14:paraId="6B7DA0AD" w14:textId="77777777" w:rsidR="00AE1A19" w:rsidRDefault="005A0ECC" w:rsidP="00991F83">
      <w:pPr>
        <w:pStyle w:val="Prrafodelista"/>
        <w:numPr>
          <w:ilvl w:val="0"/>
          <w:numId w:val="8"/>
        </w:numPr>
        <w:spacing w:before="240" w:after="240" w:line="360" w:lineRule="auto"/>
        <w:jc w:val="both"/>
        <w:rPr>
          <w:rFonts w:ascii="Arial" w:hAnsi="Arial" w:cs="Arial"/>
        </w:rPr>
      </w:pPr>
      <w:r w:rsidRPr="00AE1A19">
        <w:rPr>
          <w:rFonts w:ascii="Arial" w:hAnsi="Arial" w:cs="Arial"/>
        </w:rPr>
        <w:t xml:space="preserve">La revisión que llevó a cabo la Sala Regional estaba destinada a evitar un daño inminente en la esfera jurídica del colectivo; </w:t>
      </w:r>
    </w:p>
    <w:p w14:paraId="4D8A02EF" w14:textId="77777777" w:rsidR="004541D2" w:rsidRPr="00AE1A19" w:rsidRDefault="005A0ECC" w:rsidP="00991F83">
      <w:pPr>
        <w:pStyle w:val="Prrafodelista"/>
        <w:numPr>
          <w:ilvl w:val="0"/>
          <w:numId w:val="8"/>
        </w:numPr>
        <w:spacing w:before="240" w:after="240" w:line="360" w:lineRule="auto"/>
        <w:jc w:val="both"/>
        <w:rPr>
          <w:rFonts w:ascii="Arial" w:hAnsi="Arial" w:cs="Arial"/>
        </w:rPr>
      </w:pPr>
      <w:r w:rsidRPr="00AE1A19">
        <w:rPr>
          <w:rFonts w:ascii="Arial" w:hAnsi="Arial" w:cs="Arial"/>
        </w:rPr>
        <w:t xml:space="preserve">El efecto que tuvo la decisión de la Sala Regional afecta únicamente a la esfera de derechos reconocidos al colectivo. </w:t>
      </w:r>
    </w:p>
    <w:p w14:paraId="429F6EDB" w14:textId="77777777" w:rsidR="00071D5D" w:rsidRPr="00071D5D" w:rsidRDefault="00071D5D" w:rsidP="00071D5D">
      <w:pPr>
        <w:spacing w:before="240" w:after="240" w:line="360" w:lineRule="auto"/>
        <w:jc w:val="both"/>
        <w:rPr>
          <w:rFonts w:ascii="Arial" w:hAnsi="Arial" w:cs="Arial"/>
        </w:rPr>
      </w:pPr>
      <w:r>
        <w:rPr>
          <w:rFonts w:ascii="Arial" w:hAnsi="Arial" w:cs="Arial"/>
        </w:rPr>
        <w:t xml:space="preserve">Finalmente, existen otros motivos que confirman esta decisión y que están basados en los propios precedentes de esta Sala Superior. </w:t>
      </w:r>
    </w:p>
    <w:p w14:paraId="796C8DD7" w14:textId="77777777" w:rsidR="00513F43" w:rsidRPr="003625C2" w:rsidRDefault="00513F43" w:rsidP="00991F83">
      <w:pPr>
        <w:pStyle w:val="Ttulo1"/>
        <w:numPr>
          <w:ilvl w:val="2"/>
          <w:numId w:val="13"/>
        </w:numPr>
        <w:spacing w:before="240" w:beforeAutospacing="0" w:after="240" w:afterAutospacing="0"/>
        <w:ind w:left="0" w:hanging="11"/>
        <w:jc w:val="both"/>
        <w:rPr>
          <w:rFonts w:ascii="Arial Negrita" w:eastAsiaTheme="minorHAnsi" w:hAnsi="Arial Negrita" w:cs="Arial"/>
          <w:caps w:val="0"/>
          <w:szCs w:val="24"/>
        </w:rPr>
      </w:pPr>
      <w:bookmarkStart w:id="27" w:name="_Toc48404884"/>
      <w:r w:rsidRPr="003625C2">
        <w:rPr>
          <w:rFonts w:ascii="Arial Negrita" w:eastAsiaTheme="minorHAnsi" w:hAnsi="Arial Negrita" w:cs="Arial"/>
          <w:caps w:val="0"/>
          <w:szCs w:val="24"/>
        </w:rPr>
        <w:t>Los avances interpretativos de la Sala Superior respecto de su</w:t>
      </w:r>
      <w:r w:rsidR="00A6549B" w:rsidRPr="003625C2">
        <w:rPr>
          <w:rFonts w:ascii="Arial Negrita" w:eastAsiaTheme="minorHAnsi" w:hAnsi="Arial Negrita" w:cs="Arial"/>
          <w:caps w:val="0"/>
          <w:szCs w:val="24"/>
        </w:rPr>
        <w:t xml:space="preserve">s facultades de control de la regularidad </w:t>
      </w:r>
      <w:r w:rsidR="004A0A07" w:rsidRPr="003625C2">
        <w:rPr>
          <w:rFonts w:ascii="Arial Negrita" w:eastAsiaTheme="minorHAnsi" w:hAnsi="Arial Negrita" w:cs="Arial"/>
          <w:caps w:val="0"/>
          <w:szCs w:val="24"/>
        </w:rPr>
        <w:t xml:space="preserve">en la materia de derechos a la participación </w:t>
      </w:r>
      <w:r w:rsidR="006678FA" w:rsidRPr="003625C2">
        <w:rPr>
          <w:rFonts w:ascii="Arial Negrita" w:eastAsiaTheme="minorHAnsi" w:hAnsi="Arial Negrita" w:cs="Arial"/>
          <w:caps w:val="0"/>
          <w:szCs w:val="24"/>
        </w:rPr>
        <w:t xml:space="preserve">y representación </w:t>
      </w:r>
      <w:r w:rsidR="004A0A07" w:rsidRPr="003625C2">
        <w:rPr>
          <w:rFonts w:ascii="Arial Negrita" w:eastAsiaTheme="minorHAnsi" w:hAnsi="Arial Negrita" w:cs="Arial"/>
          <w:caps w:val="0"/>
          <w:szCs w:val="24"/>
        </w:rPr>
        <w:t>política</w:t>
      </w:r>
      <w:bookmarkEnd w:id="27"/>
    </w:p>
    <w:p w14:paraId="548A597B" w14:textId="77777777" w:rsidR="00DE0168" w:rsidRPr="00AE1A19" w:rsidRDefault="00513F43" w:rsidP="00513F43">
      <w:pPr>
        <w:spacing w:after="100" w:afterAutospacing="1" w:line="360" w:lineRule="auto"/>
        <w:ind w:right="-91"/>
        <w:jc w:val="both"/>
        <w:rPr>
          <w:rFonts w:ascii="Arial" w:hAnsi="Arial" w:cs="Arial"/>
          <w:color w:val="000000"/>
          <w:lang w:eastAsia="es-MX"/>
        </w:rPr>
      </w:pPr>
      <w:r w:rsidRPr="00AE1A19">
        <w:rPr>
          <w:rFonts w:ascii="Arial" w:hAnsi="Arial" w:cs="Arial"/>
          <w:color w:val="000000"/>
          <w:lang w:eastAsia="es-MX"/>
        </w:rPr>
        <w:t>Finalmente, cabe destacar que</w:t>
      </w:r>
      <w:r w:rsidR="008532CE" w:rsidRPr="00AE1A19">
        <w:rPr>
          <w:rFonts w:ascii="Arial" w:hAnsi="Arial" w:cs="Arial"/>
          <w:color w:val="000000"/>
          <w:lang w:eastAsia="es-MX"/>
        </w:rPr>
        <w:t xml:space="preserve"> en diversas ocasiones esta Sala Superior ya ha expandido el tipo de control constitucional que realiza, sin que ello implique una extralimitación a </w:t>
      </w:r>
      <w:r w:rsidR="00DE0168" w:rsidRPr="00AE1A19">
        <w:rPr>
          <w:rFonts w:ascii="Arial" w:hAnsi="Arial" w:cs="Arial"/>
          <w:color w:val="000000"/>
          <w:lang w:eastAsia="es-MX"/>
        </w:rPr>
        <w:t xml:space="preserve">sus facultades constitucionales. </w:t>
      </w:r>
    </w:p>
    <w:p w14:paraId="5A979E92" w14:textId="085FB437" w:rsidR="00513F43" w:rsidRDefault="00513F43" w:rsidP="00513F43">
      <w:pPr>
        <w:spacing w:before="240" w:after="240" w:line="360" w:lineRule="auto"/>
        <w:jc w:val="both"/>
        <w:rPr>
          <w:rFonts w:ascii="Arial" w:hAnsi="Arial" w:cs="Arial"/>
          <w:shd w:val="clear" w:color="auto" w:fill="FFFFFF"/>
        </w:rPr>
      </w:pPr>
      <w:r>
        <w:rPr>
          <w:rFonts w:ascii="Arial" w:hAnsi="Arial" w:cs="Arial"/>
          <w:shd w:val="clear" w:color="auto" w:fill="FFFFFF"/>
        </w:rPr>
        <w:t>Si bien</w:t>
      </w:r>
      <w:r w:rsidR="001969CC">
        <w:rPr>
          <w:rFonts w:ascii="Arial" w:hAnsi="Arial" w:cs="Arial"/>
          <w:shd w:val="clear" w:color="auto" w:fill="FFFFFF"/>
        </w:rPr>
        <w:t>,</w:t>
      </w:r>
      <w:r>
        <w:rPr>
          <w:rFonts w:ascii="Arial" w:hAnsi="Arial" w:cs="Arial"/>
          <w:shd w:val="clear" w:color="auto" w:fill="FFFFFF"/>
        </w:rPr>
        <w:t xml:space="preserve"> como se señaló previamente, el control constitucional que ejerce la Sala Superior es, en principio, concreto en el cual su efecto aplica únicamente para el caso concreto</w:t>
      </w:r>
      <w:r w:rsidR="001C54E5">
        <w:rPr>
          <w:rFonts w:ascii="Arial" w:hAnsi="Arial" w:cs="Arial"/>
          <w:shd w:val="clear" w:color="auto" w:fill="FFFFFF"/>
        </w:rPr>
        <w:t>,</w:t>
      </w:r>
      <w:r>
        <w:rPr>
          <w:rFonts w:ascii="Arial" w:hAnsi="Arial" w:cs="Arial"/>
          <w:shd w:val="clear" w:color="auto" w:fill="FFFFFF"/>
        </w:rPr>
        <w:t xml:space="preserve"> en diversas ocasiones</w:t>
      </w:r>
      <w:r w:rsidR="001C54E5">
        <w:rPr>
          <w:rFonts w:ascii="Arial" w:hAnsi="Arial" w:cs="Arial"/>
          <w:shd w:val="clear" w:color="auto" w:fill="FFFFFF"/>
        </w:rPr>
        <w:t>,</w:t>
      </w:r>
      <w:r>
        <w:rPr>
          <w:rFonts w:ascii="Arial" w:hAnsi="Arial" w:cs="Arial"/>
          <w:shd w:val="clear" w:color="auto" w:fill="FFFFFF"/>
        </w:rPr>
        <w:t xml:space="preserve"> </w:t>
      </w:r>
      <w:r w:rsidRPr="00031616">
        <w:rPr>
          <w:rFonts w:ascii="Arial" w:hAnsi="Arial" w:cs="Arial"/>
          <w:shd w:val="clear" w:color="auto" w:fill="FFFFFF"/>
        </w:rPr>
        <w:t xml:space="preserve">esta limitante ha sido interpretada a la luz de los derechos consagrados en el artículo 17 constitucional (una justicia pronta, completa e imparcial). </w:t>
      </w:r>
    </w:p>
    <w:p w14:paraId="05AB2D8B" w14:textId="77777777" w:rsidR="00513F43" w:rsidRPr="00031616" w:rsidRDefault="00513F43" w:rsidP="00513F43">
      <w:pPr>
        <w:spacing w:before="240" w:after="240" w:line="360" w:lineRule="auto"/>
        <w:jc w:val="both"/>
        <w:rPr>
          <w:rFonts w:ascii="Arial" w:hAnsi="Arial" w:cs="Arial"/>
          <w:shd w:val="clear" w:color="auto" w:fill="FFFFFF"/>
        </w:rPr>
      </w:pPr>
      <w:r w:rsidRPr="00031616">
        <w:rPr>
          <w:rFonts w:ascii="Arial" w:hAnsi="Arial" w:cs="Arial"/>
          <w:shd w:val="clear" w:color="auto" w:fill="FFFFFF"/>
        </w:rPr>
        <w:t>En este sentido, la Sala Superior ha realizado importantes avances interpretativos para lograr que las resoluciones del TEPJF cumplan con su objetivo constitucional de resolver de manera definitiva los conflictos que se le presenten.</w:t>
      </w:r>
    </w:p>
    <w:p w14:paraId="12FEF38F" w14:textId="77777777" w:rsidR="00513F43" w:rsidRDefault="00513F43" w:rsidP="00513F43">
      <w:pPr>
        <w:spacing w:before="240" w:after="240" w:line="360" w:lineRule="auto"/>
        <w:jc w:val="both"/>
        <w:rPr>
          <w:rFonts w:ascii="Arial" w:hAnsi="Arial" w:cs="Arial"/>
          <w:shd w:val="clear" w:color="auto" w:fill="FFFFFF"/>
        </w:rPr>
      </w:pPr>
      <w:r>
        <w:rPr>
          <w:rFonts w:ascii="Arial" w:hAnsi="Arial" w:cs="Arial"/>
          <w:shd w:val="clear" w:color="auto" w:fill="FFFFFF"/>
        </w:rPr>
        <w:t>Algunos de estos</w:t>
      </w:r>
      <w:r w:rsidRPr="00031616">
        <w:rPr>
          <w:rFonts w:ascii="Arial" w:hAnsi="Arial" w:cs="Arial"/>
          <w:shd w:val="clear" w:color="auto" w:fill="FFFFFF"/>
        </w:rPr>
        <w:t xml:space="preserve"> avances </w:t>
      </w:r>
      <w:r>
        <w:rPr>
          <w:rFonts w:ascii="Arial" w:hAnsi="Arial" w:cs="Arial"/>
          <w:shd w:val="clear" w:color="auto" w:fill="FFFFFF"/>
        </w:rPr>
        <w:t>son los siguientes</w:t>
      </w:r>
      <w:r w:rsidRPr="00031616">
        <w:rPr>
          <w:rFonts w:ascii="Arial" w:hAnsi="Arial" w:cs="Arial"/>
          <w:shd w:val="clear" w:color="auto" w:fill="FFFFFF"/>
        </w:rPr>
        <w:t xml:space="preserve">: </w:t>
      </w:r>
      <w:r w:rsidR="00AE1A19" w:rsidRPr="00AE1A19">
        <w:rPr>
          <w:rFonts w:ascii="Arial" w:hAnsi="Arial" w:cs="Arial"/>
          <w:b/>
          <w:i/>
          <w:shd w:val="clear" w:color="auto" w:fill="FFFFFF"/>
        </w:rPr>
        <w:t>i)</w:t>
      </w:r>
      <w:r w:rsidRPr="00031616">
        <w:rPr>
          <w:rFonts w:ascii="Arial" w:hAnsi="Arial" w:cs="Arial"/>
          <w:shd w:val="clear" w:color="auto" w:fill="FFFFFF"/>
        </w:rPr>
        <w:t xml:space="preserve"> la Sala Superior puede preservar la regularidad constitucional más allá de </w:t>
      </w:r>
      <w:r w:rsidR="007C13BA">
        <w:rPr>
          <w:rFonts w:ascii="Arial" w:hAnsi="Arial" w:cs="Arial"/>
          <w:shd w:val="clear" w:color="auto" w:fill="FFFFFF"/>
        </w:rPr>
        <w:t xml:space="preserve">los </w:t>
      </w:r>
      <w:r w:rsidRPr="00031616">
        <w:rPr>
          <w:rFonts w:ascii="Arial" w:hAnsi="Arial" w:cs="Arial"/>
          <w:shd w:val="clear" w:color="auto" w:fill="FFFFFF"/>
        </w:rPr>
        <w:t>actos de aplicación</w:t>
      </w:r>
      <w:r>
        <w:rPr>
          <w:rFonts w:ascii="Arial" w:hAnsi="Arial" w:cs="Arial"/>
          <w:shd w:val="clear" w:color="auto" w:fill="FFFFFF"/>
        </w:rPr>
        <w:t>, como cuando se aleguen omisiones legislativas en materia electoral</w:t>
      </w:r>
      <w:r w:rsidRPr="00031616">
        <w:rPr>
          <w:rFonts w:ascii="Arial" w:hAnsi="Arial" w:cs="Arial"/>
          <w:shd w:val="clear" w:color="auto" w:fill="FFFFFF"/>
        </w:rPr>
        <w:t xml:space="preserve">; </w:t>
      </w:r>
      <w:r w:rsidR="00AE1A19" w:rsidRPr="00AE1A19">
        <w:rPr>
          <w:rFonts w:ascii="Arial" w:hAnsi="Arial" w:cs="Arial"/>
          <w:b/>
          <w:i/>
          <w:shd w:val="clear" w:color="auto" w:fill="FFFFFF"/>
        </w:rPr>
        <w:t>ii)</w:t>
      </w:r>
      <w:r w:rsidRPr="00031616">
        <w:rPr>
          <w:rFonts w:ascii="Arial" w:hAnsi="Arial" w:cs="Arial"/>
          <w:shd w:val="clear" w:color="auto" w:fill="FFFFFF"/>
        </w:rPr>
        <w:t xml:space="preserve"> los actos de aplicación son interpretados de manera extensiva</w:t>
      </w:r>
      <w:r>
        <w:rPr>
          <w:rFonts w:ascii="Arial" w:hAnsi="Arial" w:cs="Arial"/>
          <w:shd w:val="clear" w:color="auto" w:fill="FFFFFF"/>
        </w:rPr>
        <w:t>, como en aquellos casos que exista una aplicación inminente</w:t>
      </w:r>
      <w:r w:rsidR="00770106">
        <w:rPr>
          <w:rFonts w:ascii="Arial" w:hAnsi="Arial" w:cs="Arial"/>
          <w:shd w:val="clear" w:color="auto" w:fill="FFFFFF"/>
        </w:rPr>
        <w:t>,</w:t>
      </w:r>
      <w:r w:rsidRPr="00031616">
        <w:rPr>
          <w:rFonts w:ascii="Arial" w:hAnsi="Arial" w:cs="Arial"/>
          <w:shd w:val="clear" w:color="auto" w:fill="FFFFFF"/>
        </w:rPr>
        <w:t xml:space="preserve"> y</w:t>
      </w:r>
      <w:r w:rsidR="00AE1A19">
        <w:rPr>
          <w:rFonts w:ascii="Arial" w:hAnsi="Arial" w:cs="Arial"/>
          <w:shd w:val="clear" w:color="auto" w:fill="FFFFFF"/>
        </w:rPr>
        <w:t xml:space="preserve"> </w:t>
      </w:r>
      <w:r w:rsidR="00AE1A19" w:rsidRPr="00AE1A19">
        <w:rPr>
          <w:rFonts w:ascii="Arial" w:hAnsi="Arial" w:cs="Arial"/>
          <w:b/>
          <w:i/>
          <w:shd w:val="clear" w:color="auto" w:fill="FFFFFF"/>
        </w:rPr>
        <w:t>iii)</w:t>
      </w:r>
      <w:r w:rsidRPr="00031616">
        <w:rPr>
          <w:rFonts w:ascii="Arial" w:hAnsi="Arial" w:cs="Arial"/>
          <w:shd w:val="clear" w:color="auto" w:fill="FFFFFF"/>
        </w:rPr>
        <w:t xml:space="preserve"> las resoluciones del TEPJF deben priorizar la solución de problemas </w:t>
      </w:r>
      <w:r w:rsidR="006A5AA7">
        <w:rPr>
          <w:rFonts w:ascii="Arial" w:hAnsi="Arial" w:cs="Arial"/>
          <w:shd w:val="clear" w:color="auto" w:fill="FFFFFF"/>
        </w:rPr>
        <w:t>estructurales</w:t>
      </w:r>
      <w:r>
        <w:rPr>
          <w:rFonts w:ascii="Arial" w:hAnsi="Arial" w:cs="Arial"/>
          <w:shd w:val="clear" w:color="auto" w:fill="FFFFFF"/>
        </w:rPr>
        <w:t>, como en los casos en los que, por su propio contexto, han tenido efectos generales</w:t>
      </w:r>
      <w:r w:rsidRPr="00031616">
        <w:rPr>
          <w:rFonts w:ascii="Arial" w:hAnsi="Arial" w:cs="Arial"/>
          <w:shd w:val="clear" w:color="auto" w:fill="FFFFFF"/>
        </w:rPr>
        <w:t>.</w:t>
      </w:r>
    </w:p>
    <w:p w14:paraId="59D2620E" w14:textId="77777777" w:rsidR="00513F43" w:rsidRPr="003625C2" w:rsidRDefault="00513F43" w:rsidP="00991F83">
      <w:pPr>
        <w:pStyle w:val="Ttulo1"/>
        <w:numPr>
          <w:ilvl w:val="0"/>
          <w:numId w:val="14"/>
        </w:numPr>
        <w:spacing w:before="240" w:beforeAutospacing="0" w:after="240" w:afterAutospacing="0"/>
        <w:jc w:val="both"/>
        <w:rPr>
          <w:rFonts w:ascii="Arial Negrita" w:eastAsiaTheme="minorHAnsi" w:hAnsi="Arial Negrita" w:cs="Arial"/>
          <w:caps w:val="0"/>
          <w:szCs w:val="24"/>
        </w:rPr>
      </w:pPr>
      <w:bookmarkStart w:id="28" w:name="_Toc48404885"/>
      <w:r w:rsidRPr="003625C2">
        <w:rPr>
          <w:rFonts w:ascii="Arial Negrita" w:eastAsiaTheme="minorHAnsi" w:hAnsi="Arial Negrita" w:cs="Arial"/>
          <w:caps w:val="0"/>
          <w:szCs w:val="24"/>
        </w:rPr>
        <w:t>Omisiones legislativas</w:t>
      </w:r>
      <w:bookmarkEnd w:id="28"/>
    </w:p>
    <w:p w14:paraId="77089A42" w14:textId="77777777" w:rsidR="00513F43" w:rsidRPr="00031616" w:rsidRDefault="00513F43" w:rsidP="00513F43">
      <w:pPr>
        <w:spacing w:before="240" w:after="240" w:line="360" w:lineRule="auto"/>
        <w:jc w:val="both"/>
        <w:rPr>
          <w:rFonts w:ascii="Arial" w:hAnsi="Arial" w:cs="Arial"/>
          <w:shd w:val="clear" w:color="auto" w:fill="FFFFFF"/>
        </w:rPr>
      </w:pPr>
      <w:r w:rsidRPr="00031616">
        <w:rPr>
          <w:rFonts w:ascii="Arial" w:hAnsi="Arial" w:cs="Arial"/>
          <w:shd w:val="clear" w:color="auto" w:fill="FFFFFF"/>
        </w:rPr>
        <w:t xml:space="preserve">Respecto del primer punto, </w:t>
      </w:r>
      <w:r>
        <w:rPr>
          <w:rFonts w:ascii="Arial" w:hAnsi="Arial" w:cs="Arial"/>
          <w:shd w:val="clear" w:color="auto" w:fill="FFFFFF"/>
        </w:rPr>
        <w:t>est</w:t>
      </w:r>
      <w:r w:rsidRPr="00031616">
        <w:rPr>
          <w:rFonts w:ascii="Arial" w:hAnsi="Arial" w:cs="Arial"/>
          <w:shd w:val="clear" w:color="auto" w:fill="FFFFFF"/>
        </w:rPr>
        <w:t xml:space="preserve">a Sala Superior ha razonado que las omisiones en las que incurra el </w:t>
      </w:r>
      <w:r w:rsidR="007C13BA">
        <w:rPr>
          <w:rFonts w:ascii="Arial" w:hAnsi="Arial" w:cs="Arial"/>
          <w:shd w:val="clear" w:color="auto" w:fill="FFFFFF"/>
        </w:rPr>
        <w:t>P</w:t>
      </w:r>
      <w:r w:rsidRPr="00031616">
        <w:rPr>
          <w:rFonts w:ascii="Arial" w:hAnsi="Arial" w:cs="Arial"/>
          <w:shd w:val="clear" w:color="auto" w:fill="FFFFFF"/>
        </w:rPr>
        <w:t xml:space="preserve">oder </w:t>
      </w:r>
      <w:r w:rsidR="007C13BA">
        <w:rPr>
          <w:rFonts w:ascii="Arial" w:hAnsi="Arial" w:cs="Arial"/>
          <w:shd w:val="clear" w:color="auto" w:fill="FFFFFF"/>
        </w:rPr>
        <w:t>L</w:t>
      </w:r>
      <w:r w:rsidRPr="00031616">
        <w:rPr>
          <w:rFonts w:ascii="Arial" w:hAnsi="Arial" w:cs="Arial"/>
          <w:shd w:val="clear" w:color="auto" w:fill="FFFFFF"/>
        </w:rPr>
        <w:t>egislativo pueden ser analizad</w:t>
      </w:r>
      <w:r w:rsidR="007C13BA">
        <w:rPr>
          <w:rFonts w:ascii="Arial" w:hAnsi="Arial" w:cs="Arial"/>
          <w:shd w:val="clear" w:color="auto" w:fill="FFFFFF"/>
        </w:rPr>
        <w:t>a</w:t>
      </w:r>
      <w:r w:rsidRPr="00031616">
        <w:rPr>
          <w:rFonts w:ascii="Arial" w:hAnsi="Arial" w:cs="Arial"/>
          <w:shd w:val="clear" w:color="auto" w:fill="FFFFFF"/>
        </w:rPr>
        <w:t>s por el TEPJF, ya que el adecuado ejercicio de un control de constitucionalidad y convencionalidad en materia electoral supone conocer los casos que pueda</w:t>
      </w:r>
      <w:r w:rsidR="007C13BA">
        <w:rPr>
          <w:rFonts w:ascii="Arial" w:hAnsi="Arial" w:cs="Arial"/>
          <w:shd w:val="clear" w:color="auto" w:fill="FFFFFF"/>
        </w:rPr>
        <w:t>n</w:t>
      </w:r>
      <w:r w:rsidRPr="00031616">
        <w:rPr>
          <w:rFonts w:ascii="Arial" w:hAnsi="Arial" w:cs="Arial"/>
          <w:shd w:val="clear" w:color="auto" w:fill="FFFFFF"/>
        </w:rPr>
        <w:t xml:space="preserve"> vulnerar los derechos político-electorales de la ciudadanía, a efecto de cumplir plenamente con las obligaciones estatales de protección, respeto y garantía de los derechos humanos, previstas en el párrafo tercero del artículo 1</w:t>
      </w:r>
      <w:r w:rsidR="007C13BA">
        <w:rPr>
          <w:rFonts w:ascii="Arial" w:hAnsi="Arial" w:cs="Arial"/>
          <w:shd w:val="clear" w:color="auto" w:fill="FFFFFF"/>
        </w:rPr>
        <w:t xml:space="preserve">. </w:t>
      </w:r>
      <w:r w:rsidRPr="00031616">
        <w:rPr>
          <w:rFonts w:ascii="Arial" w:hAnsi="Arial" w:cs="Arial"/>
          <w:shd w:val="clear" w:color="auto" w:fill="FFFFFF"/>
        </w:rPr>
        <w:t>° de la Constitución Política de los Estados Unidos Mexicanos</w:t>
      </w:r>
      <w:r w:rsidRPr="00031616">
        <w:rPr>
          <w:rStyle w:val="Refdenotaalpie"/>
          <w:rFonts w:ascii="Arial" w:hAnsi="Arial" w:cs="Arial"/>
          <w:shd w:val="clear" w:color="auto" w:fill="FFFFFF"/>
        </w:rPr>
        <w:footnoteReference w:id="41"/>
      </w:r>
      <w:r w:rsidRPr="00031616">
        <w:rPr>
          <w:rFonts w:ascii="Arial" w:hAnsi="Arial" w:cs="Arial"/>
          <w:shd w:val="clear" w:color="auto" w:fill="FFFFFF"/>
        </w:rPr>
        <w:t>.</w:t>
      </w:r>
    </w:p>
    <w:p w14:paraId="2012DAC0" w14:textId="77777777" w:rsidR="00513F43" w:rsidRPr="00031616" w:rsidRDefault="00513F43" w:rsidP="00513F43">
      <w:pPr>
        <w:spacing w:before="240" w:after="240" w:line="360" w:lineRule="auto"/>
        <w:jc w:val="both"/>
        <w:rPr>
          <w:rFonts w:ascii="Arial" w:hAnsi="Arial" w:cs="Arial"/>
          <w:shd w:val="clear" w:color="auto" w:fill="FFFFFF"/>
        </w:rPr>
      </w:pPr>
      <w:r>
        <w:rPr>
          <w:rFonts w:ascii="Arial" w:hAnsi="Arial" w:cs="Arial"/>
          <w:shd w:val="clear" w:color="auto" w:fill="FFFFFF"/>
        </w:rPr>
        <w:t>En ese sentido</w:t>
      </w:r>
      <w:r w:rsidRPr="00031616">
        <w:rPr>
          <w:rFonts w:ascii="Arial" w:hAnsi="Arial" w:cs="Arial"/>
          <w:shd w:val="clear" w:color="auto" w:fill="FFFFFF"/>
        </w:rPr>
        <w:t xml:space="preserve"> ha considerado que el deber de mantener la regularidad constitucional no se limita a reconocer a nivel legislativo un derecho, sino que también se requiere, para poder garantizar su pleno ejercicio, de un desarrollo legislativo en el que se establezcan los requisitos, condiciones y términos específicos</w:t>
      </w:r>
      <w:r w:rsidRPr="00031616">
        <w:rPr>
          <w:rStyle w:val="Refdenotaalpie"/>
          <w:rFonts w:ascii="Arial" w:hAnsi="Arial" w:cs="Arial"/>
          <w:shd w:val="clear" w:color="auto" w:fill="FFFFFF"/>
        </w:rPr>
        <w:footnoteReference w:id="42"/>
      </w:r>
      <w:r w:rsidRPr="00031616">
        <w:rPr>
          <w:rFonts w:ascii="Arial" w:hAnsi="Arial" w:cs="Arial"/>
          <w:shd w:val="clear" w:color="auto" w:fill="FFFFFF"/>
        </w:rPr>
        <w:t>.</w:t>
      </w:r>
    </w:p>
    <w:p w14:paraId="0E5ECC7F" w14:textId="77777777" w:rsidR="00513F43" w:rsidRDefault="00513F43" w:rsidP="00513F43">
      <w:pPr>
        <w:spacing w:before="240" w:after="240" w:line="360" w:lineRule="auto"/>
        <w:jc w:val="both"/>
        <w:rPr>
          <w:rFonts w:ascii="Arial" w:hAnsi="Arial" w:cs="Arial"/>
          <w:shd w:val="clear" w:color="auto" w:fill="FFFFFF"/>
        </w:rPr>
      </w:pPr>
      <w:r w:rsidRPr="00031616">
        <w:rPr>
          <w:rFonts w:ascii="Arial" w:hAnsi="Arial" w:cs="Arial"/>
          <w:shd w:val="clear" w:color="auto" w:fill="FFFFFF"/>
        </w:rPr>
        <w:t>En suma, la Sala Superior ha reconocido que en un Estado constitucional y democrático la Constitución no puede ser tomada como una mera declaración política, sino que constituye la norma fundamental y suprema a la que se debe ajustar todo ordenamiento jurídico, porque sus mandatos son primordiales e ineludibles para el adecuado funcionamiento del Estado</w:t>
      </w:r>
      <w:r w:rsidRPr="00031616">
        <w:rPr>
          <w:rStyle w:val="Refdenotaalpie"/>
          <w:rFonts w:ascii="Arial" w:hAnsi="Arial" w:cs="Arial"/>
          <w:shd w:val="clear" w:color="auto" w:fill="FFFFFF"/>
        </w:rPr>
        <w:footnoteReference w:id="43"/>
      </w:r>
      <w:r w:rsidRPr="00031616">
        <w:rPr>
          <w:rFonts w:ascii="Arial" w:hAnsi="Arial" w:cs="Arial"/>
          <w:shd w:val="clear" w:color="auto" w:fill="FFFFFF"/>
        </w:rPr>
        <w:t>, de ahí que se pueda justificar que se interpreten de manera amplia los supuestos en los que el TEPJF pueda conocer de un caso,</w:t>
      </w:r>
      <w:r w:rsidRPr="002E3255">
        <w:rPr>
          <w:rFonts w:ascii="Arial" w:hAnsi="Arial" w:cs="Arial"/>
          <w:shd w:val="clear" w:color="auto" w:fill="FFFFFF"/>
        </w:rPr>
        <w:t xml:space="preserve"> </w:t>
      </w:r>
      <w:r w:rsidRPr="002E3255">
        <w:rPr>
          <w:rFonts w:ascii="Arial" w:hAnsi="Arial" w:cs="Arial"/>
          <w:b/>
          <w:shd w:val="clear" w:color="auto" w:fill="FFFFFF"/>
        </w:rPr>
        <w:t>pues el no hacerlo implicaría que algunos actos pudieran quedar fuera de la regularidad constitucional.</w:t>
      </w:r>
      <w:r w:rsidRPr="002E3255">
        <w:rPr>
          <w:rFonts w:ascii="Arial" w:hAnsi="Arial" w:cs="Arial"/>
          <w:shd w:val="clear" w:color="auto" w:fill="FFFFFF"/>
        </w:rPr>
        <w:t xml:space="preserve"> </w:t>
      </w:r>
    </w:p>
    <w:p w14:paraId="65D7E852" w14:textId="77777777" w:rsidR="00513F43" w:rsidRPr="003625C2" w:rsidRDefault="00513F43" w:rsidP="00991F83">
      <w:pPr>
        <w:pStyle w:val="Ttulo1"/>
        <w:numPr>
          <w:ilvl w:val="0"/>
          <w:numId w:val="15"/>
        </w:numPr>
        <w:spacing w:before="240" w:beforeAutospacing="0" w:after="240" w:afterAutospacing="0"/>
        <w:jc w:val="both"/>
        <w:rPr>
          <w:rFonts w:ascii="Arial Negrita" w:eastAsiaTheme="minorHAnsi" w:hAnsi="Arial Negrita" w:cs="Arial"/>
          <w:caps w:val="0"/>
          <w:szCs w:val="24"/>
        </w:rPr>
      </w:pPr>
      <w:bookmarkStart w:id="29" w:name="_Toc48404886"/>
      <w:r w:rsidRPr="003625C2">
        <w:rPr>
          <w:rFonts w:ascii="Arial Negrita" w:eastAsiaTheme="minorHAnsi" w:hAnsi="Arial Negrita" w:cs="Arial"/>
          <w:caps w:val="0"/>
          <w:szCs w:val="24"/>
        </w:rPr>
        <w:t>Actos de inminente aplicación</w:t>
      </w:r>
      <w:bookmarkEnd w:id="29"/>
    </w:p>
    <w:p w14:paraId="26F876DF" w14:textId="77777777" w:rsidR="00071D5D" w:rsidRDefault="00513F43" w:rsidP="003625C2">
      <w:pPr>
        <w:spacing w:before="240" w:after="240" w:line="360" w:lineRule="auto"/>
        <w:jc w:val="both"/>
        <w:rPr>
          <w:rFonts w:ascii="Arial" w:hAnsi="Arial" w:cs="Arial"/>
        </w:rPr>
      </w:pPr>
      <w:r>
        <w:rPr>
          <w:rFonts w:ascii="Arial" w:hAnsi="Arial" w:cs="Arial"/>
        </w:rPr>
        <w:t>Esta</w:t>
      </w:r>
      <w:r w:rsidRPr="00031616">
        <w:rPr>
          <w:rFonts w:ascii="Arial" w:hAnsi="Arial" w:cs="Arial"/>
        </w:rPr>
        <w:t xml:space="preserve"> Sala Superior ha desarrollado una línea jurisprudencial en la que determina que se puede </w:t>
      </w:r>
      <w:r w:rsidRPr="00811B26">
        <w:rPr>
          <w:rFonts w:ascii="Arial" w:hAnsi="Arial" w:cs="Arial"/>
          <w:b/>
        </w:rPr>
        <w:t>omitir la identificación de un acto de aplicación concreto siempre y cuando se impugne una norma que, con su sola entrada en vigor, cree, modifique o extinga una situación concreta de derecho</w:t>
      </w:r>
      <w:r w:rsidRPr="00031616">
        <w:rPr>
          <w:rFonts w:ascii="Arial" w:hAnsi="Arial" w:cs="Arial"/>
        </w:rPr>
        <w:t>, o generan una nueva situación jurídica u obligación para personas determinadas por circunstancias concretas, definiéndolas de manera clara o permitiendo identificar a los sujetos destinatarios de la norma,</w:t>
      </w:r>
      <w:r>
        <w:rPr>
          <w:rFonts w:ascii="Arial" w:hAnsi="Arial" w:cs="Arial"/>
        </w:rPr>
        <w:t xml:space="preserve"> </w:t>
      </w:r>
      <w:r w:rsidRPr="00031616">
        <w:rPr>
          <w:rFonts w:ascii="Arial" w:hAnsi="Arial" w:cs="Arial"/>
        </w:rPr>
        <w:t>ya sea por las condiciones, circunstancias, o bien, por la particular posición en que se encuentran.</w:t>
      </w:r>
      <w:r w:rsidRPr="00031616">
        <w:rPr>
          <w:rStyle w:val="Refdenotaalpie"/>
          <w:rFonts w:ascii="Arial" w:hAnsi="Arial" w:cs="Arial"/>
        </w:rPr>
        <w:footnoteReference w:id="44"/>
      </w:r>
    </w:p>
    <w:p w14:paraId="24F4FDC3" w14:textId="77777777" w:rsidR="00654D74" w:rsidRPr="000567B5" w:rsidRDefault="00513F43" w:rsidP="003625C2">
      <w:pPr>
        <w:spacing w:before="240" w:after="240" w:line="360" w:lineRule="auto"/>
        <w:jc w:val="both"/>
        <w:rPr>
          <w:rFonts w:ascii="Arial" w:hAnsi="Arial" w:cs="Arial"/>
        </w:rPr>
      </w:pPr>
      <w:r w:rsidRPr="00031616">
        <w:rPr>
          <w:rFonts w:ascii="Arial" w:hAnsi="Arial" w:cs="Arial"/>
        </w:rPr>
        <w:t xml:space="preserve">Al respecto, </w:t>
      </w:r>
      <w:r w:rsidR="007C13BA">
        <w:rPr>
          <w:rFonts w:ascii="Arial" w:hAnsi="Arial" w:cs="Arial"/>
        </w:rPr>
        <w:t xml:space="preserve">en </w:t>
      </w:r>
      <w:r w:rsidRPr="00031616">
        <w:rPr>
          <w:rFonts w:ascii="Arial" w:hAnsi="Arial" w:cs="Arial"/>
        </w:rPr>
        <w:t xml:space="preserve">la sentencia SUP-JDC-4898/2011 </w:t>
      </w:r>
      <w:r>
        <w:rPr>
          <w:rFonts w:ascii="Arial" w:hAnsi="Arial" w:cs="Arial"/>
        </w:rPr>
        <w:t xml:space="preserve">se determinó </w:t>
      </w:r>
      <w:r w:rsidRPr="00031616">
        <w:rPr>
          <w:rFonts w:ascii="Arial" w:hAnsi="Arial" w:cs="Arial"/>
        </w:rPr>
        <w:t xml:space="preserve">que una ley electoral es susceptible de ser impugnada cuando se advierta o se deduzca su aplicación en perjuicio del actor, </w:t>
      </w:r>
      <w:r w:rsidRPr="00811B26">
        <w:rPr>
          <w:rFonts w:ascii="Arial" w:hAnsi="Arial" w:cs="Arial"/>
          <w:b/>
        </w:rPr>
        <w:t>como en el caso,</w:t>
      </w:r>
      <w:r w:rsidRPr="00031616">
        <w:rPr>
          <w:rFonts w:ascii="Arial" w:hAnsi="Arial" w:cs="Arial"/>
        </w:rPr>
        <w:t xml:space="preserve"> porque se individualiza la norma a un supuesto dado o específico actualizándose con su simple cumplimiento al materializarse las consecuencias jurídicas establecidas en la norma, por lo cual en dicho supuesto la Sala Superior sería </w:t>
      </w:r>
      <w:r w:rsidRPr="000567B5">
        <w:rPr>
          <w:rFonts w:ascii="Arial" w:hAnsi="Arial" w:cs="Arial"/>
        </w:rPr>
        <w:t>competente para conocer un asunto sin la necesidad de identificar un caso concreto de aplicación</w:t>
      </w:r>
      <w:r w:rsidRPr="000567B5">
        <w:rPr>
          <w:rStyle w:val="Refdenotaalpie"/>
          <w:rFonts w:ascii="Arial" w:hAnsi="Arial" w:cs="Arial"/>
        </w:rPr>
        <w:footnoteReference w:id="45"/>
      </w:r>
      <w:r w:rsidR="00654D74" w:rsidRPr="000567B5">
        <w:rPr>
          <w:rFonts w:ascii="Arial" w:hAnsi="Arial" w:cs="Arial"/>
        </w:rPr>
        <w:t>.</w:t>
      </w:r>
    </w:p>
    <w:p w14:paraId="65B7F6E2" w14:textId="77777777" w:rsidR="00513F43" w:rsidRPr="003625C2" w:rsidRDefault="004E0915" w:rsidP="00991F83">
      <w:pPr>
        <w:pStyle w:val="Ttulo1"/>
        <w:numPr>
          <w:ilvl w:val="0"/>
          <w:numId w:val="15"/>
        </w:numPr>
        <w:spacing w:before="240" w:beforeAutospacing="0" w:after="240" w:afterAutospacing="0"/>
        <w:jc w:val="both"/>
        <w:rPr>
          <w:rFonts w:ascii="Arial Negrita" w:eastAsiaTheme="minorHAnsi" w:hAnsi="Arial Negrita" w:cs="Arial"/>
          <w:caps w:val="0"/>
          <w:szCs w:val="24"/>
        </w:rPr>
      </w:pPr>
      <w:bookmarkStart w:id="30" w:name="_Toc48404887"/>
      <w:r w:rsidRPr="003625C2">
        <w:rPr>
          <w:rFonts w:ascii="Arial Negrita" w:eastAsiaTheme="minorHAnsi" w:hAnsi="Arial Negrita" w:cs="Arial"/>
          <w:caps w:val="0"/>
          <w:szCs w:val="24"/>
        </w:rPr>
        <w:t>Expansión de los efectos</w:t>
      </w:r>
      <w:bookmarkEnd w:id="30"/>
    </w:p>
    <w:p w14:paraId="5D871C28" w14:textId="77777777" w:rsidR="00513F43" w:rsidRPr="00031616" w:rsidRDefault="00513F43" w:rsidP="000567B5">
      <w:pPr>
        <w:spacing w:before="240" w:after="240" w:line="360" w:lineRule="auto"/>
        <w:jc w:val="both"/>
        <w:rPr>
          <w:rFonts w:ascii="Arial" w:hAnsi="Arial" w:cs="Arial"/>
        </w:rPr>
      </w:pPr>
      <w:r w:rsidRPr="000567B5">
        <w:rPr>
          <w:rFonts w:ascii="Arial" w:hAnsi="Arial" w:cs="Arial"/>
        </w:rPr>
        <w:t>Finalmente, el último avance interpretativo que es necesario destacar consiste en la posibilidad de que los efectos de las sentencias no se limiten a casos concretos, sino que puedan afectar a personas</w:t>
      </w:r>
      <w:r w:rsidRPr="00031616">
        <w:rPr>
          <w:rFonts w:ascii="Arial" w:hAnsi="Arial" w:cs="Arial"/>
        </w:rPr>
        <w:t xml:space="preserve"> ajenas al juicio.</w:t>
      </w:r>
    </w:p>
    <w:p w14:paraId="2350257E" w14:textId="77777777" w:rsidR="00513F43" w:rsidRPr="00031616" w:rsidRDefault="00513F43" w:rsidP="00513F43">
      <w:pPr>
        <w:spacing w:before="240" w:after="240" w:line="360" w:lineRule="auto"/>
        <w:jc w:val="both"/>
      </w:pPr>
      <w:r w:rsidRPr="00031616">
        <w:rPr>
          <w:rFonts w:ascii="Arial" w:hAnsi="Arial" w:cs="Arial"/>
        </w:rPr>
        <w:t>Sobre e</w:t>
      </w:r>
      <w:r w:rsidR="007C13BA">
        <w:rPr>
          <w:rFonts w:ascii="Arial" w:hAnsi="Arial" w:cs="Arial"/>
        </w:rPr>
        <w:t>l</w:t>
      </w:r>
      <w:r w:rsidRPr="00031616">
        <w:rPr>
          <w:rFonts w:ascii="Arial" w:hAnsi="Arial" w:cs="Arial"/>
        </w:rPr>
        <w:t xml:space="preserve"> tema, </w:t>
      </w:r>
      <w:r>
        <w:rPr>
          <w:rFonts w:ascii="Arial" w:hAnsi="Arial" w:cs="Arial"/>
        </w:rPr>
        <w:t xml:space="preserve">este </w:t>
      </w:r>
      <w:r w:rsidR="008C0D8D">
        <w:rPr>
          <w:rFonts w:ascii="Arial" w:hAnsi="Arial" w:cs="Arial"/>
        </w:rPr>
        <w:t>T</w:t>
      </w:r>
      <w:r>
        <w:rPr>
          <w:rFonts w:ascii="Arial" w:hAnsi="Arial" w:cs="Arial"/>
        </w:rPr>
        <w:t>ribunal</w:t>
      </w:r>
      <w:r w:rsidRPr="00031616">
        <w:rPr>
          <w:rFonts w:ascii="Arial" w:hAnsi="Arial" w:cs="Arial"/>
        </w:rPr>
        <w:t xml:space="preserve"> ha concluido que no se afecta el principio de relatividad de las sentencias si se emite una resolución que modifique las normas en que concurren diferentes personas que se encuentran en la misma circunstancia fáctica y en una situación jurídica común, generada por la aplicación de un determinado conjunto de normas y principios jurídicos</w:t>
      </w:r>
      <w:r w:rsidRPr="00031616">
        <w:rPr>
          <w:rStyle w:val="Refdenotaalpie"/>
          <w:rFonts w:ascii="Arial" w:hAnsi="Arial" w:cs="Arial"/>
        </w:rPr>
        <w:footnoteReference w:id="46"/>
      </w:r>
      <w:r w:rsidRPr="00031616">
        <w:rPr>
          <w:rFonts w:ascii="Arial" w:hAnsi="Arial" w:cs="Arial"/>
        </w:rPr>
        <w:t>.</w:t>
      </w:r>
      <w:r w:rsidRPr="00031616">
        <w:t xml:space="preserve"> </w:t>
      </w:r>
    </w:p>
    <w:p w14:paraId="54BB0905" w14:textId="77777777" w:rsidR="00513F43" w:rsidRPr="00031616" w:rsidRDefault="00513F43" w:rsidP="00513F43">
      <w:pPr>
        <w:spacing w:before="240" w:after="240" w:line="360" w:lineRule="auto"/>
        <w:jc w:val="both"/>
        <w:rPr>
          <w:rFonts w:ascii="Arial" w:hAnsi="Arial" w:cs="Arial"/>
        </w:rPr>
      </w:pPr>
      <w:r w:rsidRPr="00031616">
        <w:rPr>
          <w:rFonts w:ascii="Arial" w:hAnsi="Arial" w:cs="Arial"/>
        </w:rPr>
        <w:t>En este tipo de resoluciones, sus efectos no se limitan a las partes que acudieron a juicio, sino que se hacen extensivos a las personas que tienen coincidencia con determinadas calidades jurídicas y fácticas, dado el riesgo de vulnerar sus derechos de igualdad.</w:t>
      </w:r>
    </w:p>
    <w:p w14:paraId="2655F224" w14:textId="77777777" w:rsidR="00513F43" w:rsidRPr="00031616" w:rsidRDefault="00513F43" w:rsidP="00513F43">
      <w:pPr>
        <w:spacing w:before="240" w:after="240" w:line="360" w:lineRule="auto"/>
        <w:jc w:val="both"/>
        <w:rPr>
          <w:rFonts w:ascii="Arial" w:hAnsi="Arial" w:cs="Arial"/>
        </w:rPr>
      </w:pPr>
      <w:r w:rsidRPr="00031616">
        <w:rPr>
          <w:rFonts w:ascii="Arial" w:hAnsi="Arial" w:cs="Arial"/>
        </w:rPr>
        <w:t xml:space="preserve">Cabe destacar que este ejercicio no implica un control abstracto, ni una declaratoria de inaplicación con efectos </w:t>
      </w:r>
      <w:r w:rsidR="00FB5483">
        <w:rPr>
          <w:rFonts w:ascii="Arial" w:hAnsi="Arial" w:cs="Arial"/>
        </w:rPr>
        <w:t>generales (</w:t>
      </w:r>
      <w:r w:rsidRPr="00031616">
        <w:rPr>
          <w:rFonts w:ascii="Arial" w:hAnsi="Arial" w:cs="Arial"/>
          <w:i/>
          <w:iCs/>
        </w:rPr>
        <w:t>erga omnes</w:t>
      </w:r>
      <w:r w:rsidR="00FB5483">
        <w:rPr>
          <w:rFonts w:ascii="Arial" w:hAnsi="Arial" w:cs="Arial"/>
          <w:i/>
          <w:iCs/>
        </w:rPr>
        <w:t>)</w:t>
      </w:r>
      <w:r w:rsidRPr="00031616">
        <w:rPr>
          <w:rFonts w:ascii="Arial" w:hAnsi="Arial" w:cs="Arial"/>
        </w:rPr>
        <w:t>, sino una resolución con efectos extensivos con el fin de dotar de certeza y seguridad a los justiciables en el mismo supuesto</w:t>
      </w:r>
      <w:r w:rsidRPr="00031616">
        <w:rPr>
          <w:rStyle w:val="Refdenotaalpie"/>
          <w:rFonts w:ascii="Arial" w:hAnsi="Arial" w:cs="Arial"/>
        </w:rPr>
        <w:footnoteReference w:id="47"/>
      </w:r>
      <w:r w:rsidRPr="00031616">
        <w:rPr>
          <w:rFonts w:ascii="Arial" w:hAnsi="Arial" w:cs="Arial"/>
        </w:rPr>
        <w:t>.</w:t>
      </w:r>
    </w:p>
    <w:p w14:paraId="4A370314" w14:textId="77777777" w:rsidR="00513F43" w:rsidRDefault="00513F43" w:rsidP="00513F43">
      <w:pPr>
        <w:spacing w:before="240" w:after="240" w:line="360" w:lineRule="auto"/>
        <w:jc w:val="both"/>
        <w:rPr>
          <w:rFonts w:ascii="Arial" w:hAnsi="Arial" w:cs="Arial"/>
        </w:rPr>
      </w:pPr>
      <w:r>
        <w:rPr>
          <w:rFonts w:ascii="Arial" w:hAnsi="Arial" w:cs="Arial"/>
        </w:rPr>
        <w:t>Además, dado</w:t>
      </w:r>
      <w:r w:rsidRPr="00031616">
        <w:rPr>
          <w:rFonts w:ascii="Arial" w:hAnsi="Arial" w:cs="Arial"/>
        </w:rPr>
        <w:t xml:space="preserve"> que la función última del TEPJF es poner fin a los distintos conflictos que se presenten en la materia electoral, al momento de realizar estos ejercicios de inaplicación puede fijar medidas de manera temporal que limiten los efectos que se tengan en la contienda electoral</w:t>
      </w:r>
      <w:r w:rsidRPr="00031616">
        <w:rPr>
          <w:rStyle w:val="Refdenotaalpie"/>
          <w:rFonts w:ascii="Arial" w:hAnsi="Arial" w:cs="Arial"/>
        </w:rPr>
        <w:footnoteReference w:id="48"/>
      </w:r>
      <w:r w:rsidRPr="00031616">
        <w:rPr>
          <w:rFonts w:ascii="Arial" w:hAnsi="Arial" w:cs="Arial"/>
        </w:rPr>
        <w:t>.</w:t>
      </w:r>
    </w:p>
    <w:p w14:paraId="3B7DF25A" w14:textId="77777777" w:rsidR="00513F43" w:rsidRDefault="00513F43" w:rsidP="00513F43">
      <w:pPr>
        <w:spacing w:before="240" w:after="240" w:line="360" w:lineRule="auto"/>
        <w:jc w:val="both"/>
        <w:rPr>
          <w:rFonts w:ascii="Arial" w:hAnsi="Arial" w:cs="Arial"/>
        </w:rPr>
      </w:pPr>
      <w:r>
        <w:rPr>
          <w:rFonts w:ascii="Arial" w:hAnsi="Arial" w:cs="Arial"/>
        </w:rPr>
        <w:t xml:space="preserve">De lo anterior, se afirma que esta Sala Superior </w:t>
      </w:r>
      <w:r w:rsidR="0019716D">
        <w:rPr>
          <w:rFonts w:ascii="Arial" w:hAnsi="Arial" w:cs="Arial"/>
        </w:rPr>
        <w:t xml:space="preserve">ha desarrollado </w:t>
      </w:r>
      <w:r>
        <w:rPr>
          <w:rFonts w:ascii="Arial" w:hAnsi="Arial" w:cs="Arial"/>
        </w:rPr>
        <w:t xml:space="preserve">una </w:t>
      </w:r>
      <w:r w:rsidR="0019716D">
        <w:rPr>
          <w:rFonts w:ascii="Arial" w:hAnsi="Arial" w:cs="Arial"/>
        </w:rPr>
        <w:t>doct</w:t>
      </w:r>
      <w:r w:rsidR="006179C4">
        <w:rPr>
          <w:rFonts w:ascii="Arial" w:hAnsi="Arial" w:cs="Arial"/>
        </w:rPr>
        <w:t>ri</w:t>
      </w:r>
      <w:r w:rsidR="0019716D">
        <w:rPr>
          <w:rFonts w:ascii="Arial" w:hAnsi="Arial" w:cs="Arial"/>
        </w:rPr>
        <w:t>na judicial</w:t>
      </w:r>
      <w:r>
        <w:rPr>
          <w:rFonts w:ascii="Arial" w:hAnsi="Arial" w:cs="Arial"/>
        </w:rPr>
        <w:t xml:space="preserve"> que podría considerarse que escapa de un control de constitucionalidad </w:t>
      </w:r>
      <w:r w:rsidR="008F59BF">
        <w:rPr>
          <w:rFonts w:ascii="Arial" w:hAnsi="Arial" w:cs="Arial"/>
        </w:rPr>
        <w:t>tradic</w:t>
      </w:r>
      <w:r w:rsidR="004856C2">
        <w:rPr>
          <w:rFonts w:ascii="Arial" w:hAnsi="Arial" w:cs="Arial"/>
        </w:rPr>
        <w:t>ional</w:t>
      </w:r>
      <w:r>
        <w:rPr>
          <w:rFonts w:ascii="Arial" w:hAnsi="Arial" w:cs="Arial"/>
        </w:rPr>
        <w:t xml:space="preserve">, con la finalidad de evitar que ciertos actos se queden fuera de la regularidad constitucional o que la ciudadanía se quede en un estado de indefensión, sin un recurso efectivo que agotar. </w:t>
      </w:r>
    </w:p>
    <w:p w14:paraId="69C74999" w14:textId="77777777" w:rsidR="00811B26" w:rsidRDefault="00811B26" w:rsidP="00513F43">
      <w:pPr>
        <w:spacing w:before="240" w:after="240" w:line="360" w:lineRule="auto"/>
        <w:jc w:val="both"/>
        <w:rPr>
          <w:rFonts w:ascii="Arial" w:hAnsi="Arial" w:cs="Arial"/>
        </w:rPr>
      </w:pPr>
      <w:r>
        <w:rPr>
          <w:rFonts w:ascii="Arial" w:hAnsi="Arial" w:cs="Arial"/>
        </w:rPr>
        <w:t xml:space="preserve">Aun y cuando parecería que estas decisiones escapan de las facultades de revisión constitucional que tiene este </w:t>
      </w:r>
      <w:r w:rsidR="008C0D8D">
        <w:rPr>
          <w:rFonts w:ascii="Arial" w:hAnsi="Arial" w:cs="Arial"/>
        </w:rPr>
        <w:t>T</w:t>
      </w:r>
      <w:r>
        <w:rPr>
          <w:rFonts w:ascii="Arial" w:hAnsi="Arial" w:cs="Arial"/>
        </w:rPr>
        <w:t>ribunal, lo cierto es que, en realidad, esta Sala ha ofrecido respuestas a los vacíos que se pueden generar frente a casos excepcionales o poco ordinarios, a fin de seguir garantizando el derecho de acceso a la justicia a todas las personas</w:t>
      </w:r>
      <w:r w:rsidR="007C13BA">
        <w:rPr>
          <w:rFonts w:ascii="Arial" w:hAnsi="Arial" w:cs="Arial"/>
        </w:rPr>
        <w:t>, de manera</w:t>
      </w:r>
      <w:r>
        <w:rPr>
          <w:rFonts w:ascii="Arial" w:hAnsi="Arial" w:cs="Arial"/>
        </w:rPr>
        <w:t xml:space="preserve"> que no enfrenten las consecuencias que derivan de vacíos legales o de falta de respuestas por parte de los diseños institucionales. </w:t>
      </w:r>
    </w:p>
    <w:p w14:paraId="1D5F69CC" w14:textId="77777777" w:rsidR="00700AB3" w:rsidRDefault="00700AB3" w:rsidP="00513F43">
      <w:pPr>
        <w:spacing w:before="240" w:after="240" w:line="360" w:lineRule="auto"/>
        <w:jc w:val="both"/>
        <w:rPr>
          <w:rFonts w:ascii="Arial" w:hAnsi="Arial" w:cs="Arial"/>
        </w:rPr>
      </w:pPr>
      <w:r>
        <w:rPr>
          <w:rFonts w:ascii="Arial" w:hAnsi="Arial" w:cs="Arial"/>
        </w:rPr>
        <w:t xml:space="preserve">Por todo lo anterior, esta Sala Superior considera que el problema jurídico planteado ante 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egional sí es susceptible de ser analizado por las salas que integran el Tribunal Electoral del Poder Judicial de la Federación</w:t>
      </w:r>
      <w:r w:rsidR="007B23C6">
        <w:rPr>
          <w:rFonts w:ascii="Arial" w:hAnsi="Arial" w:cs="Arial"/>
        </w:rPr>
        <w:t>.</w:t>
      </w:r>
      <w:r w:rsidR="00166086">
        <w:rPr>
          <w:rFonts w:ascii="Arial" w:hAnsi="Arial" w:cs="Arial"/>
        </w:rPr>
        <w:t xml:space="preserve"> </w:t>
      </w:r>
      <w:r w:rsidR="007B23C6">
        <w:rPr>
          <w:rFonts w:ascii="Arial" w:hAnsi="Arial" w:cs="Arial"/>
        </w:rPr>
        <w:t>D</w:t>
      </w:r>
      <w:r w:rsidR="00166086">
        <w:rPr>
          <w:rFonts w:ascii="Arial" w:hAnsi="Arial" w:cs="Arial"/>
        </w:rPr>
        <w:t xml:space="preserve">e ahí que el agravio de MORENA resulta </w:t>
      </w:r>
      <w:r w:rsidR="00166086" w:rsidRPr="00166086">
        <w:rPr>
          <w:rFonts w:ascii="Arial" w:hAnsi="Arial" w:cs="Arial"/>
          <w:b/>
        </w:rPr>
        <w:t>infundado</w:t>
      </w:r>
      <w:r w:rsidR="00166086">
        <w:rPr>
          <w:rFonts w:ascii="Arial" w:hAnsi="Arial" w:cs="Arial"/>
        </w:rPr>
        <w:t xml:space="preserve">. </w:t>
      </w:r>
    </w:p>
    <w:p w14:paraId="706A6A35" w14:textId="77777777" w:rsidR="00071D5D" w:rsidRDefault="00166086" w:rsidP="00513F43">
      <w:pPr>
        <w:spacing w:before="240" w:after="240" w:line="360" w:lineRule="auto"/>
        <w:jc w:val="both"/>
        <w:rPr>
          <w:rFonts w:ascii="Arial" w:hAnsi="Arial" w:cs="Arial"/>
        </w:rPr>
      </w:pPr>
      <w:r>
        <w:rPr>
          <w:rFonts w:ascii="Arial" w:hAnsi="Arial" w:cs="Arial"/>
        </w:rPr>
        <w:t xml:space="preserve">Señalado lo anterior, se procederá a analizar si fue correcta la conclusión a la que arribó 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 xml:space="preserve">egional respecto de revocar el acto impugnado. </w:t>
      </w:r>
    </w:p>
    <w:p w14:paraId="3D796ED0" w14:textId="77777777" w:rsidR="00833DD9" w:rsidRPr="00D72782" w:rsidRDefault="00D72782" w:rsidP="00D72782">
      <w:pPr>
        <w:pStyle w:val="Ttulo1"/>
        <w:spacing w:before="240" w:beforeAutospacing="0" w:after="240" w:afterAutospacing="0"/>
        <w:jc w:val="both"/>
        <w:rPr>
          <w:rFonts w:ascii="Arial Negrita" w:eastAsiaTheme="minorHAnsi" w:hAnsi="Arial Negrita" w:cs="Arial"/>
          <w:caps w:val="0"/>
          <w:szCs w:val="24"/>
        </w:rPr>
      </w:pPr>
      <w:bookmarkStart w:id="31" w:name="_Toc48404888"/>
      <w:r>
        <w:rPr>
          <w:rFonts w:ascii="Arial Negrita" w:eastAsiaTheme="minorHAnsi" w:hAnsi="Arial Negrita" w:cs="Arial"/>
          <w:caps w:val="0"/>
          <w:szCs w:val="24"/>
        </w:rPr>
        <w:t xml:space="preserve">5.4. </w:t>
      </w:r>
      <w:r w:rsidR="005F0781" w:rsidRPr="00D72782">
        <w:rPr>
          <w:rFonts w:ascii="Arial Negrita" w:eastAsiaTheme="minorHAnsi" w:hAnsi="Arial Negrita" w:cs="Arial"/>
          <w:caps w:val="0"/>
          <w:szCs w:val="24"/>
        </w:rPr>
        <w:t xml:space="preserve">La </w:t>
      </w:r>
      <w:r w:rsidR="00A627D0" w:rsidRPr="00D72782">
        <w:rPr>
          <w:rFonts w:ascii="Arial Negrita" w:eastAsiaTheme="minorHAnsi" w:hAnsi="Arial Negrita" w:cs="Arial"/>
          <w:caps w:val="0"/>
          <w:szCs w:val="24"/>
        </w:rPr>
        <w:t xml:space="preserve">derogación </w:t>
      </w:r>
      <w:r w:rsidR="004129A3" w:rsidRPr="00D72782">
        <w:rPr>
          <w:rFonts w:ascii="Arial Negrita" w:eastAsiaTheme="minorHAnsi" w:hAnsi="Arial Negrita" w:cs="Arial"/>
          <w:caps w:val="0"/>
          <w:szCs w:val="24"/>
        </w:rPr>
        <w:t>de la previsión legal</w:t>
      </w:r>
      <w:r w:rsidR="00E51B55" w:rsidRPr="00D72782">
        <w:rPr>
          <w:rFonts w:ascii="Arial Negrita" w:eastAsiaTheme="minorHAnsi" w:hAnsi="Arial Negrita" w:cs="Arial"/>
          <w:caps w:val="0"/>
          <w:szCs w:val="24"/>
        </w:rPr>
        <w:t xml:space="preserve"> del</w:t>
      </w:r>
      <w:r w:rsidR="000567B5" w:rsidRPr="00D72782">
        <w:rPr>
          <w:rFonts w:ascii="Arial Negrita" w:eastAsiaTheme="minorHAnsi" w:hAnsi="Arial Negrita" w:cs="Arial"/>
          <w:caps w:val="0"/>
          <w:szCs w:val="24"/>
        </w:rPr>
        <w:t xml:space="preserve"> </w:t>
      </w:r>
      <w:r w:rsidR="005F0781" w:rsidRPr="00D72782">
        <w:rPr>
          <w:rFonts w:ascii="Arial Negrita" w:eastAsiaTheme="minorHAnsi" w:hAnsi="Arial Negrita" w:cs="Arial"/>
          <w:caps w:val="0"/>
          <w:szCs w:val="24"/>
        </w:rPr>
        <w:t xml:space="preserve">derecho a votar y ser votado por una </w:t>
      </w:r>
      <w:r w:rsidR="00F24B0F" w:rsidRPr="00D72782">
        <w:rPr>
          <w:rFonts w:ascii="Arial Negrita" w:eastAsiaTheme="minorHAnsi" w:hAnsi="Arial Negrita" w:cs="Arial"/>
          <w:caps w:val="0"/>
          <w:szCs w:val="24"/>
        </w:rPr>
        <w:t>diputación migrante violenta el principio de progresividad</w:t>
      </w:r>
      <w:bookmarkEnd w:id="31"/>
    </w:p>
    <w:p w14:paraId="769CE944" w14:textId="77777777" w:rsidR="006D4ABD" w:rsidRDefault="006D4ABD" w:rsidP="006D4ABD">
      <w:pPr>
        <w:spacing w:before="240" w:after="240" w:line="360" w:lineRule="auto"/>
        <w:jc w:val="both"/>
        <w:rPr>
          <w:rFonts w:ascii="Arial" w:hAnsi="Arial" w:cs="Arial"/>
        </w:rPr>
      </w:pPr>
      <w:r>
        <w:rPr>
          <w:rFonts w:ascii="Arial" w:hAnsi="Arial" w:cs="Arial"/>
        </w:rPr>
        <w:t xml:space="preserve">Esta Sala Superior comparte la decisión a la que arribó la </w:t>
      </w:r>
      <w:r w:rsidR="00A70A63">
        <w:rPr>
          <w:rFonts w:ascii="Arial" w:hAnsi="Arial" w:cs="Arial"/>
        </w:rPr>
        <w:t>S</w:t>
      </w:r>
      <w:r>
        <w:rPr>
          <w:rFonts w:ascii="Arial" w:hAnsi="Arial" w:cs="Arial"/>
        </w:rPr>
        <w:t xml:space="preserve">ala </w:t>
      </w:r>
      <w:r w:rsidR="00A70A63">
        <w:rPr>
          <w:rFonts w:ascii="Arial" w:hAnsi="Arial" w:cs="Arial"/>
        </w:rPr>
        <w:t>R</w:t>
      </w:r>
      <w:r>
        <w:rPr>
          <w:rFonts w:ascii="Arial" w:hAnsi="Arial" w:cs="Arial"/>
        </w:rPr>
        <w:t xml:space="preserve">egional respecto de que el decreto que emitió el Congreso de la Ciudad de México es inconstitucional y, por tanto, este agravio resulta igualmente </w:t>
      </w:r>
      <w:r w:rsidRPr="006D4ABD">
        <w:rPr>
          <w:rFonts w:ascii="Arial" w:hAnsi="Arial" w:cs="Arial"/>
          <w:b/>
        </w:rPr>
        <w:t>infundado</w:t>
      </w:r>
      <w:r>
        <w:rPr>
          <w:rFonts w:ascii="Arial" w:hAnsi="Arial" w:cs="Arial"/>
        </w:rPr>
        <w:t xml:space="preserve">. </w:t>
      </w:r>
    </w:p>
    <w:p w14:paraId="7CADCF62" w14:textId="77777777" w:rsidR="006D4ABD" w:rsidRDefault="006D4ABD" w:rsidP="006D4ABD">
      <w:pPr>
        <w:spacing w:before="240" w:after="240" w:line="360" w:lineRule="auto"/>
        <w:jc w:val="both"/>
        <w:rPr>
          <w:rFonts w:ascii="Arial" w:hAnsi="Arial" w:cs="Arial"/>
        </w:rPr>
      </w:pPr>
      <w:r>
        <w:rPr>
          <w:rFonts w:ascii="Arial" w:hAnsi="Arial" w:cs="Arial"/>
        </w:rPr>
        <w:t xml:space="preserve">Sin embargo, se llega a esta conclusión por </w:t>
      </w:r>
      <w:r w:rsidR="003920AA">
        <w:rPr>
          <w:rFonts w:ascii="Arial" w:hAnsi="Arial" w:cs="Arial"/>
        </w:rPr>
        <w:t>razones</w:t>
      </w:r>
      <w:r>
        <w:rPr>
          <w:rFonts w:ascii="Arial" w:hAnsi="Arial" w:cs="Arial"/>
        </w:rPr>
        <w:t xml:space="preserve"> distint</w:t>
      </w:r>
      <w:r w:rsidR="003920AA">
        <w:rPr>
          <w:rFonts w:ascii="Arial" w:hAnsi="Arial" w:cs="Arial"/>
        </w:rPr>
        <w:t>a</w:t>
      </w:r>
      <w:r>
        <w:rPr>
          <w:rFonts w:ascii="Arial" w:hAnsi="Arial" w:cs="Arial"/>
        </w:rPr>
        <w:t xml:space="preserve">s a </w:t>
      </w:r>
      <w:r w:rsidR="000E226A">
        <w:rPr>
          <w:rFonts w:ascii="Arial" w:hAnsi="Arial" w:cs="Arial"/>
        </w:rPr>
        <w:t>las de</w:t>
      </w:r>
      <w:r>
        <w:rPr>
          <w:rFonts w:ascii="Arial" w:hAnsi="Arial" w:cs="Arial"/>
        </w:rPr>
        <w:t xml:space="preserve"> la </w:t>
      </w:r>
      <w:r w:rsidR="00A70A63">
        <w:rPr>
          <w:rFonts w:ascii="Arial" w:hAnsi="Arial" w:cs="Arial"/>
        </w:rPr>
        <w:t>S</w:t>
      </w:r>
      <w:r>
        <w:rPr>
          <w:rFonts w:ascii="Arial" w:hAnsi="Arial" w:cs="Arial"/>
        </w:rPr>
        <w:t xml:space="preserve">ala responsable. En concreto, esta Sala Superior considera que </w:t>
      </w:r>
      <w:r w:rsidRPr="006D4ABD">
        <w:rPr>
          <w:rFonts w:ascii="Arial" w:hAnsi="Arial" w:cs="Arial"/>
          <w:b/>
          <w:i/>
        </w:rPr>
        <w:t>i)</w:t>
      </w:r>
      <w:r>
        <w:rPr>
          <w:rFonts w:ascii="Arial" w:hAnsi="Arial" w:cs="Arial"/>
        </w:rPr>
        <w:t xml:space="preserve"> la figura de diputación migrante traía aparejad</w:t>
      </w:r>
      <w:r w:rsidR="007C13BA">
        <w:rPr>
          <w:rFonts w:ascii="Arial" w:hAnsi="Arial" w:cs="Arial"/>
        </w:rPr>
        <w:t>o</w:t>
      </w:r>
      <w:r>
        <w:rPr>
          <w:rFonts w:ascii="Arial" w:hAnsi="Arial" w:cs="Arial"/>
        </w:rPr>
        <w:t xml:space="preserve"> un derecho </w:t>
      </w:r>
      <w:r w:rsidR="00954191">
        <w:rPr>
          <w:rFonts w:ascii="Arial" w:hAnsi="Arial" w:cs="Arial"/>
        </w:rPr>
        <w:t>de participación</w:t>
      </w:r>
      <w:r w:rsidR="007470CC">
        <w:rPr>
          <w:rFonts w:ascii="Arial" w:hAnsi="Arial" w:cs="Arial"/>
        </w:rPr>
        <w:t xml:space="preserve"> y representación </w:t>
      </w:r>
      <w:r w:rsidR="00954191">
        <w:rPr>
          <w:rFonts w:ascii="Arial" w:hAnsi="Arial" w:cs="Arial"/>
        </w:rPr>
        <w:t>política</w:t>
      </w:r>
      <w:r>
        <w:rPr>
          <w:rFonts w:ascii="Arial" w:hAnsi="Arial" w:cs="Arial"/>
        </w:rPr>
        <w:t xml:space="preserve">; y </w:t>
      </w:r>
      <w:r w:rsidRPr="006D4ABD">
        <w:rPr>
          <w:rFonts w:ascii="Arial" w:hAnsi="Arial" w:cs="Arial"/>
          <w:b/>
          <w:i/>
        </w:rPr>
        <w:t>ii)</w:t>
      </w:r>
      <w:r>
        <w:rPr>
          <w:rFonts w:ascii="Arial" w:hAnsi="Arial" w:cs="Arial"/>
        </w:rPr>
        <w:t xml:space="preserve"> el acto legislativo que suprimió esa figura </w:t>
      </w:r>
      <w:r w:rsidR="00AA3E3D">
        <w:rPr>
          <w:rFonts w:ascii="Arial" w:hAnsi="Arial" w:cs="Arial"/>
        </w:rPr>
        <w:t>viola</w:t>
      </w:r>
      <w:r>
        <w:rPr>
          <w:rFonts w:ascii="Arial" w:hAnsi="Arial" w:cs="Arial"/>
        </w:rPr>
        <w:t xml:space="preserve"> el principio </w:t>
      </w:r>
      <w:r w:rsidR="00AA3E3D">
        <w:rPr>
          <w:rFonts w:ascii="Arial" w:hAnsi="Arial" w:cs="Arial"/>
        </w:rPr>
        <w:t xml:space="preserve">constitucional </w:t>
      </w:r>
      <w:r>
        <w:rPr>
          <w:rFonts w:ascii="Arial" w:hAnsi="Arial" w:cs="Arial"/>
        </w:rPr>
        <w:t>de progresividad</w:t>
      </w:r>
      <w:r w:rsidR="00AA3E3D">
        <w:rPr>
          <w:rFonts w:ascii="Arial" w:hAnsi="Arial" w:cs="Arial"/>
        </w:rPr>
        <w:t xml:space="preserve"> de los derechos humanos</w:t>
      </w:r>
      <w:r>
        <w:rPr>
          <w:rFonts w:ascii="Arial" w:hAnsi="Arial" w:cs="Arial"/>
        </w:rPr>
        <w:t xml:space="preserve">. </w:t>
      </w:r>
    </w:p>
    <w:p w14:paraId="32F9E235" w14:textId="77777777" w:rsidR="006D4ABD" w:rsidRPr="006D4ABD" w:rsidRDefault="006D4ABD" w:rsidP="006D4ABD">
      <w:pPr>
        <w:spacing w:before="240" w:after="240" w:line="360" w:lineRule="auto"/>
        <w:jc w:val="both"/>
        <w:rPr>
          <w:rFonts w:ascii="Arial" w:hAnsi="Arial" w:cs="Arial"/>
        </w:rPr>
      </w:pPr>
      <w:r>
        <w:rPr>
          <w:rFonts w:ascii="Arial" w:hAnsi="Arial" w:cs="Arial"/>
        </w:rPr>
        <w:t xml:space="preserve">A continuación, se </w:t>
      </w:r>
      <w:r w:rsidR="00546E2D">
        <w:rPr>
          <w:rFonts w:ascii="Arial" w:hAnsi="Arial" w:cs="Arial"/>
        </w:rPr>
        <w:t>desar</w:t>
      </w:r>
      <w:r w:rsidR="006179C4">
        <w:rPr>
          <w:rFonts w:ascii="Arial" w:hAnsi="Arial" w:cs="Arial"/>
        </w:rPr>
        <w:t>r</w:t>
      </w:r>
      <w:r w:rsidR="00546E2D">
        <w:rPr>
          <w:rFonts w:ascii="Arial" w:hAnsi="Arial" w:cs="Arial"/>
        </w:rPr>
        <w:t>ollarán dichas razones</w:t>
      </w:r>
      <w:r w:rsidR="006179C4">
        <w:rPr>
          <w:rFonts w:ascii="Arial" w:hAnsi="Arial" w:cs="Arial"/>
        </w:rPr>
        <w:t>.</w:t>
      </w:r>
      <w:r>
        <w:rPr>
          <w:rFonts w:ascii="Arial" w:hAnsi="Arial" w:cs="Arial"/>
        </w:rPr>
        <w:t xml:space="preserve"> </w:t>
      </w:r>
    </w:p>
    <w:p w14:paraId="3767CB9E" w14:textId="77777777" w:rsidR="00F24B0F" w:rsidRPr="003625C2" w:rsidRDefault="00833DD9" w:rsidP="003625C2">
      <w:pPr>
        <w:pStyle w:val="Ttulo1"/>
        <w:spacing w:before="240" w:beforeAutospacing="0" w:after="240" w:afterAutospacing="0"/>
        <w:jc w:val="both"/>
        <w:rPr>
          <w:rFonts w:ascii="Arial Negrita" w:eastAsiaTheme="minorHAnsi" w:hAnsi="Arial Negrita" w:cs="Arial"/>
          <w:caps w:val="0"/>
          <w:szCs w:val="24"/>
        </w:rPr>
      </w:pPr>
      <w:bookmarkStart w:id="32" w:name="_Toc48404889"/>
      <w:r w:rsidRPr="003625C2">
        <w:rPr>
          <w:rFonts w:ascii="Arial Negrita" w:eastAsiaTheme="minorHAnsi" w:hAnsi="Arial Negrita" w:cs="Arial"/>
          <w:caps w:val="0"/>
          <w:szCs w:val="24"/>
        </w:rPr>
        <w:t>5.</w:t>
      </w:r>
      <w:r w:rsidR="001E063E" w:rsidRPr="003625C2">
        <w:rPr>
          <w:rFonts w:ascii="Arial Negrita" w:eastAsiaTheme="minorHAnsi" w:hAnsi="Arial Negrita" w:cs="Arial"/>
          <w:caps w:val="0"/>
          <w:szCs w:val="24"/>
        </w:rPr>
        <w:t>4</w:t>
      </w:r>
      <w:r w:rsidRPr="003625C2">
        <w:rPr>
          <w:rFonts w:ascii="Arial Negrita" w:eastAsiaTheme="minorHAnsi" w:hAnsi="Arial Negrita" w:cs="Arial"/>
          <w:caps w:val="0"/>
          <w:szCs w:val="24"/>
        </w:rPr>
        <w:t>.</w:t>
      </w:r>
      <w:r w:rsidR="00166086" w:rsidRPr="003625C2">
        <w:rPr>
          <w:rFonts w:ascii="Arial Negrita" w:eastAsiaTheme="minorHAnsi" w:hAnsi="Arial Negrita" w:cs="Arial"/>
          <w:caps w:val="0"/>
          <w:szCs w:val="24"/>
        </w:rPr>
        <w:t>1</w:t>
      </w:r>
      <w:r w:rsidRPr="003625C2">
        <w:rPr>
          <w:rFonts w:ascii="Arial Negrita" w:eastAsiaTheme="minorHAnsi" w:hAnsi="Arial Negrita" w:cs="Arial"/>
          <w:caps w:val="0"/>
          <w:szCs w:val="24"/>
        </w:rPr>
        <w:t xml:space="preserve">. </w:t>
      </w:r>
      <w:r w:rsidR="00A44FB4" w:rsidRPr="003625C2">
        <w:rPr>
          <w:rFonts w:ascii="Arial Negrita" w:eastAsiaTheme="minorHAnsi" w:hAnsi="Arial Negrita" w:cs="Arial"/>
          <w:caps w:val="0"/>
          <w:szCs w:val="24"/>
        </w:rPr>
        <w:t>El reconocimiento del derecho a votar y ser votado de los integrantes de la diáspora de la Ciudad de México</w:t>
      </w:r>
      <w:bookmarkEnd w:id="32"/>
    </w:p>
    <w:p w14:paraId="23FB475D" w14:textId="77777777" w:rsidR="009A33B8" w:rsidRDefault="009A33B8" w:rsidP="00833DD9">
      <w:pPr>
        <w:spacing w:before="240" w:after="240" w:line="360" w:lineRule="auto"/>
        <w:jc w:val="both"/>
        <w:rPr>
          <w:rFonts w:ascii="Arial" w:eastAsia="Arial" w:hAnsi="Arial" w:cs="Arial"/>
          <w:color w:val="222222"/>
        </w:rPr>
      </w:pPr>
      <w:r>
        <w:rPr>
          <w:rFonts w:ascii="Arial" w:eastAsia="Arial" w:hAnsi="Arial" w:cs="Arial"/>
          <w:color w:val="222222"/>
        </w:rPr>
        <w:t xml:space="preserve">Como se mencionó en los antecedentes y en los apartados previos, el </w:t>
      </w:r>
      <w:r w:rsidR="00F26199">
        <w:rPr>
          <w:rFonts w:ascii="Arial" w:eastAsia="Arial" w:hAnsi="Arial" w:cs="Arial"/>
          <w:color w:val="222222"/>
        </w:rPr>
        <w:t>cinco</w:t>
      </w:r>
      <w:r>
        <w:rPr>
          <w:rFonts w:ascii="Arial" w:eastAsia="Arial" w:hAnsi="Arial" w:cs="Arial"/>
          <w:color w:val="222222"/>
        </w:rPr>
        <w:t xml:space="preserve"> de febrero de 2017 se publicó la Constitución Política de la Ciudad de México que reconoció, entre otras cuestiones, el derecho de las personas originarias de la Ciudad de México que viven fuera del país a votar y ser votadas en las elecciones locales. </w:t>
      </w:r>
    </w:p>
    <w:p w14:paraId="79ED81E4" w14:textId="77777777" w:rsidR="009A33B8" w:rsidRDefault="009A33B8" w:rsidP="00833DD9">
      <w:pPr>
        <w:spacing w:before="240" w:after="240" w:line="360" w:lineRule="auto"/>
        <w:jc w:val="both"/>
        <w:rPr>
          <w:rFonts w:ascii="Arial" w:eastAsia="Arial" w:hAnsi="Arial" w:cs="Arial"/>
          <w:color w:val="222222"/>
        </w:rPr>
      </w:pPr>
      <w:r>
        <w:rPr>
          <w:rFonts w:ascii="Arial" w:eastAsia="Arial" w:hAnsi="Arial" w:cs="Arial"/>
          <w:color w:val="222222"/>
        </w:rPr>
        <w:t xml:space="preserve">Posteriormente, el </w:t>
      </w:r>
      <w:r w:rsidR="00F26199">
        <w:rPr>
          <w:rFonts w:ascii="Arial" w:eastAsia="Arial" w:hAnsi="Arial" w:cs="Arial"/>
          <w:color w:val="222222"/>
        </w:rPr>
        <w:t>siete</w:t>
      </w:r>
      <w:r>
        <w:rPr>
          <w:rFonts w:ascii="Arial" w:eastAsia="Arial" w:hAnsi="Arial" w:cs="Arial"/>
          <w:color w:val="222222"/>
        </w:rPr>
        <w:t xml:space="preserve"> de julio se publicó el decreto que introdujo diversos artículos del Código Electoral de la Ciudad de México a fin de regular la figura de la diputación migrante. Este decreto entró en vigor al día siguiente, pero la figura de la diputación migrante se materializaría para el proceso electoral 2020-2021. Es decir, para el proceso electoral </w:t>
      </w:r>
      <w:r w:rsidR="00694589">
        <w:rPr>
          <w:rFonts w:ascii="Arial" w:eastAsia="Arial" w:hAnsi="Arial" w:cs="Arial"/>
          <w:color w:val="222222"/>
        </w:rPr>
        <w:t xml:space="preserve">local </w:t>
      </w:r>
      <w:r>
        <w:rPr>
          <w:rFonts w:ascii="Arial" w:eastAsia="Arial" w:hAnsi="Arial" w:cs="Arial"/>
          <w:color w:val="222222"/>
        </w:rPr>
        <w:t xml:space="preserve">que está en puerta. </w:t>
      </w:r>
    </w:p>
    <w:p w14:paraId="279CF021" w14:textId="77777777" w:rsidR="009A33B8" w:rsidRDefault="009A33B8" w:rsidP="00833DD9">
      <w:pPr>
        <w:spacing w:before="240" w:after="240" w:line="360" w:lineRule="auto"/>
        <w:jc w:val="both"/>
        <w:rPr>
          <w:rFonts w:ascii="Arial" w:eastAsia="Arial" w:hAnsi="Arial" w:cs="Arial"/>
          <w:color w:val="222222"/>
        </w:rPr>
      </w:pPr>
      <w:r>
        <w:rPr>
          <w:rFonts w:ascii="Arial" w:eastAsia="Arial" w:hAnsi="Arial" w:cs="Arial"/>
          <w:color w:val="222222"/>
        </w:rPr>
        <w:t xml:space="preserve">Derivado de esta modificación legal y, sobre todo, de la creación de la figura de la diputación migrante, se llevaron a cabo distintas acciones por parte del Instituto local a fin de hacer efectivo el derecho para el proceso electoral que está a punto de comenzar. </w:t>
      </w:r>
    </w:p>
    <w:p w14:paraId="4AB4F5D5" w14:textId="25FFE68A" w:rsidR="009A33B8" w:rsidRDefault="009A33B8" w:rsidP="00833DD9">
      <w:pPr>
        <w:spacing w:before="240" w:after="240" w:line="360" w:lineRule="auto"/>
        <w:jc w:val="both"/>
        <w:rPr>
          <w:rFonts w:ascii="Arial" w:eastAsia="Arial" w:hAnsi="Arial" w:cs="Arial"/>
          <w:color w:val="222222"/>
        </w:rPr>
      </w:pPr>
      <w:r>
        <w:rPr>
          <w:rFonts w:ascii="Arial" w:eastAsia="Arial" w:hAnsi="Arial" w:cs="Arial"/>
          <w:color w:val="222222"/>
        </w:rPr>
        <w:t>Esto implica que</w:t>
      </w:r>
      <w:r w:rsidR="006260AF">
        <w:rPr>
          <w:rFonts w:ascii="Arial" w:eastAsia="Arial" w:hAnsi="Arial" w:cs="Arial"/>
          <w:color w:val="222222"/>
        </w:rPr>
        <w:t>,</w:t>
      </w:r>
      <w:r>
        <w:rPr>
          <w:rFonts w:ascii="Arial" w:eastAsia="Arial" w:hAnsi="Arial" w:cs="Arial"/>
          <w:color w:val="222222"/>
        </w:rPr>
        <w:t xml:space="preserve"> desde el </w:t>
      </w:r>
      <w:r w:rsidR="00516D7C">
        <w:rPr>
          <w:rFonts w:ascii="Arial" w:eastAsia="Arial" w:hAnsi="Arial" w:cs="Arial"/>
          <w:color w:val="222222"/>
        </w:rPr>
        <w:t>siete</w:t>
      </w:r>
      <w:r>
        <w:rPr>
          <w:rFonts w:ascii="Arial" w:eastAsia="Arial" w:hAnsi="Arial" w:cs="Arial"/>
          <w:color w:val="222222"/>
        </w:rPr>
        <w:t xml:space="preserve"> de julio de 2017</w:t>
      </w:r>
      <w:r w:rsidR="006260AF">
        <w:rPr>
          <w:rFonts w:ascii="Arial" w:eastAsia="Arial" w:hAnsi="Arial" w:cs="Arial"/>
          <w:color w:val="222222"/>
        </w:rPr>
        <w:t>,</w:t>
      </w:r>
      <w:r>
        <w:rPr>
          <w:rFonts w:ascii="Arial" w:eastAsia="Arial" w:hAnsi="Arial" w:cs="Arial"/>
          <w:color w:val="222222"/>
        </w:rPr>
        <w:t xml:space="preserve"> la diáspora mexicana</w:t>
      </w:r>
      <w:r w:rsidR="00516D7C">
        <w:rPr>
          <w:rFonts w:ascii="Arial" w:eastAsia="Arial" w:hAnsi="Arial" w:cs="Arial"/>
          <w:color w:val="222222"/>
        </w:rPr>
        <w:t xml:space="preserve"> originaria de la Ciudad de México</w:t>
      </w:r>
      <w:r>
        <w:rPr>
          <w:rFonts w:ascii="Arial" w:eastAsia="Arial" w:hAnsi="Arial" w:cs="Arial"/>
          <w:color w:val="222222"/>
        </w:rPr>
        <w:t xml:space="preserve"> contaba con un derecho </w:t>
      </w:r>
      <w:r w:rsidR="00BD7100">
        <w:rPr>
          <w:rFonts w:ascii="Arial" w:eastAsia="Arial" w:hAnsi="Arial" w:cs="Arial"/>
          <w:color w:val="222222"/>
        </w:rPr>
        <w:t xml:space="preserve">humano </w:t>
      </w:r>
      <w:r>
        <w:rPr>
          <w:rFonts w:ascii="Arial" w:eastAsia="Arial" w:hAnsi="Arial" w:cs="Arial"/>
          <w:color w:val="222222"/>
        </w:rPr>
        <w:t>especial</w:t>
      </w:r>
      <w:r w:rsidR="00BD7100">
        <w:rPr>
          <w:rFonts w:ascii="Arial" w:eastAsia="Arial" w:hAnsi="Arial" w:cs="Arial"/>
          <w:color w:val="222222"/>
        </w:rPr>
        <w:t xml:space="preserve"> </w:t>
      </w:r>
      <w:r w:rsidR="007C13BA">
        <w:rPr>
          <w:rFonts w:ascii="Arial" w:eastAsia="Arial" w:hAnsi="Arial" w:cs="Arial"/>
          <w:color w:val="222222"/>
        </w:rPr>
        <w:t>para</w:t>
      </w:r>
      <w:r w:rsidR="00BD7100">
        <w:rPr>
          <w:rFonts w:ascii="Arial" w:eastAsia="Arial" w:hAnsi="Arial" w:cs="Arial"/>
          <w:color w:val="222222"/>
        </w:rPr>
        <w:t xml:space="preserve"> la participación política</w:t>
      </w:r>
      <w:r>
        <w:rPr>
          <w:rFonts w:ascii="Arial" w:eastAsia="Arial" w:hAnsi="Arial" w:cs="Arial"/>
          <w:color w:val="222222"/>
        </w:rPr>
        <w:t xml:space="preserve">. Concretamente, con el derecho de que uno de sus integrantes ocupara una curul en el </w:t>
      </w:r>
      <w:r w:rsidR="00331546">
        <w:rPr>
          <w:rFonts w:ascii="Arial" w:eastAsia="Arial" w:hAnsi="Arial" w:cs="Arial"/>
          <w:color w:val="222222"/>
        </w:rPr>
        <w:t>C</w:t>
      </w:r>
      <w:r>
        <w:rPr>
          <w:rFonts w:ascii="Arial" w:eastAsia="Arial" w:hAnsi="Arial" w:cs="Arial"/>
          <w:color w:val="222222"/>
        </w:rPr>
        <w:t xml:space="preserve">ongreso de la Ciudad de México. </w:t>
      </w:r>
    </w:p>
    <w:p w14:paraId="1B47D009" w14:textId="77777777" w:rsidR="009A33B8" w:rsidRPr="00EB766C" w:rsidRDefault="009A33B8" w:rsidP="00833DD9">
      <w:pPr>
        <w:spacing w:before="240" w:after="240" w:line="360" w:lineRule="auto"/>
        <w:jc w:val="both"/>
        <w:rPr>
          <w:rFonts w:ascii="Arial" w:eastAsia="Arial" w:hAnsi="Arial" w:cs="Arial"/>
          <w:color w:val="222222"/>
        </w:rPr>
      </w:pPr>
      <w:r w:rsidRPr="00EB766C">
        <w:rPr>
          <w:rFonts w:ascii="Arial" w:eastAsia="Arial" w:hAnsi="Arial" w:cs="Arial"/>
          <w:color w:val="222222"/>
        </w:rPr>
        <w:t>En primer lugar,</w:t>
      </w:r>
      <w:r w:rsidR="006179C4" w:rsidRPr="00EB766C">
        <w:rPr>
          <w:rFonts w:ascii="Arial" w:eastAsia="Arial" w:hAnsi="Arial" w:cs="Arial"/>
          <w:color w:val="222222"/>
        </w:rPr>
        <w:t xml:space="preserve"> se </w:t>
      </w:r>
      <w:r w:rsidR="00723172" w:rsidRPr="00EB766C">
        <w:rPr>
          <w:rFonts w:ascii="Arial" w:eastAsia="Arial" w:hAnsi="Arial" w:cs="Arial"/>
          <w:color w:val="222222"/>
        </w:rPr>
        <w:t xml:space="preserve">les reconoce </w:t>
      </w:r>
      <w:r w:rsidRPr="00EB766C">
        <w:rPr>
          <w:rFonts w:ascii="Arial" w:eastAsia="Arial" w:hAnsi="Arial" w:cs="Arial"/>
          <w:color w:val="222222"/>
        </w:rPr>
        <w:t xml:space="preserve">por parte de su ciudad de origen como integrantes de ella a pesar de no residir ahí. Esto es, se les reconoce como pertenecientes a </w:t>
      </w:r>
      <w:r w:rsidR="00930F24" w:rsidRPr="00EB766C">
        <w:rPr>
          <w:rFonts w:ascii="Arial" w:eastAsia="Arial" w:hAnsi="Arial" w:cs="Arial"/>
          <w:color w:val="222222"/>
        </w:rPr>
        <w:t xml:space="preserve">la comunidad política </w:t>
      </w:r>
      <w:r w:rsidR="006179C4" w:rsidRPr="00EB766C">
        <w:rPr>
          <w:rFonts w:ascii="Arial" w:eastAsia="Arial" w:hAnsi="Arial" w:cs="Arial"/>
          <w:color w:val="222222"/>
        </w:rPr>
        <w:t xml:space="preserve">de </w:t>
      </w:r>
      <w:r w:rsidRPr="00EB766C">
        <w:rPr>
          <w:rFonts w:ascii="Arial" w:eastAsia="Arial" w:hAnsi="Arial" w:cs="Arial"/>
          <w:color w:val="222222"/>
        </w:rPr>
        <w:t xml:space="preserve">esa </w:t>
      </w:r>
      <w:r w:rsidR="00331546">
        <w:rPr>
          <w:rFonts w:ascii="Arial" w:eastAsia="Arial" w:hAnsi="Arial" w:cs="Arial"/>
          <w:color w:val="222222"/>
        </w:rPr>
        <w:t>c</w:t>
      </w:r>
      <w:r w:rsidRPr="00EB766C">
        <w:rPr>
          <w:rFonts w:ascii="Arial" w:eastAsia="Arial" w:hAnsi="Arial" w:cs="Arial"/>
          <w:color w:val="222222"/>
        </w:rPr>
        <w:t xml:space="preserve">iudad, a pesar de que, por distintos motivos, hayan tenido que emigrar. </w:t>
      </w:r>
    </w:p>
    <w:p w14:paraId="2D04B313" w14:textId="77777777" w:rsidR="005C6669" w:rsidRPr="00EB766C" w:rsidRDefault="009A33B8" w:rsidP="00833DD9">
      <w:pPr>
        <w:spacing w:before="240" w:after="240" w:line="360" w:lineRule="auto"/>
        <w:jc w:val="both"/>
        <w:rPr>
          <w:rFonts w:ascii="Arial" w:eastAsia="Arial" w:hAnsi="Arial" w:cs="Arial"/>
          <w:color w:val="222222"/>
        </w:rPr>
      </w:pPr>
      <w:r w:rsidRPr="00EB766C">
        <w:rPr>
          <w:rFonts w:ascii="Arial" w:eastAsia="Arial" w:hAnsi="Arial" w:cs="Arial"/>
          <w:color w:val="222222"/>
        </w:rPr>
        <w:t xml:space="preserve">En segundo lugar, la reserva de una curul en el </w:t>
      </w:r>
      <w:r w:rsidR="00331546">
        <w:rPr>
          <w:rFonts w:ascii="Arial" w:eastAsia="Arial" w:hAnsi="Arial" w:cs="Arial"/>
          <w:color w:val="222222"/>
        </w:rPr>
        <w:t>C</w:t>
      </w:r>
      <w:r w:rsidRPr="00EB766C">
        <w:rPr>
          <w:rFonts w:ascii="Arial" w:eastAsia="Arial" w:hAnsi="Arial" w:cs="Arial"/>
          <w:color w:val="222222"/>
        </w:rPr>
        <w:t xml:space="preserve">ongreso local </w:t>
      </w:r>
      <w:r w:rsidR="00723172" w:rsidRPr="00EB766C">
        <w:rPr>
          <w:rFonts w:ascii="Arial" w:eastAsia="Arial" w:hAnsi="Arial" w:cs="Arial"/>
          <w:color w:val="222222"/>
        </w:rPr>
        <w:t xml:space="preserve">se dio para </w:t>
      </w:r>
      <w:r w:rsidR="005C6669" w:rsidRPr="00EB766C">
        <w:rPr>
          <w:rFonts w:ascii="Arial" w:eastAsia="Arial" w:hAnsi="Arial" w:cs="Arial"/>
          <w:color w:val="222222"/>
        </w:rPr>
        <w:t xml:space="preserve">revertir la subrepresentación que enfrentan actualmente al haber emigrado de la Ciudad de México y, más aun, </w:t>
      </w:r>
      <w:r w:rsidR="00BE5BF4" w:rsidRPr="00EB766C">
        <w:rPr>
          <w:rFonts w:ascii="Arial" w:eastAsia="Arial" w:hAnsi="Arial" w:cs="Arial"/>
          <w:color w:val="222222"/>
        </w:rPr>
        <w:t xml:space="preserve">se </w:t>
      </w:r>
      <w:r w:rsidR="005C6669" w:rsidRPr="00EB766C">
        <w:rPr>
          <w:rFonts w:ascii="Arial" w:eastAsia="Arial" w:hAnsi="Arial" w:cs="Arial"/>
          <w:color w:val="222222"/>
        </w:rPr>
        <w:t xml:space="preserve">les </w:t>
      </w:r>
      <w:r w:rsidR="00BE5BF4" w:rsidRPr="00EB766C">
        <w:rPr>
          <w:rFonts w:ascii="Arial" w:eastAsia="Arial" w:hAnsi="Arial" w:cs="Arial"/>
          <w:color w:val="222222"/>
        </w:rPr>
        <w:t xml:space="preserve">reconoció el derecho </w:t>
      </w:r>
      <w:r w:rsidR="005C6669" w:rsidRPr="00EB766C">
        <w:rPr>
          <w:rFonts w:ascii="Arial" w:eastAsia="Arial" w:hAnsi="Arial" w:cs="Arial"/>
          <w:color w:val="222222"/>
        </w:rPr>
        <w:t xml:space="preserve">de </w:t>
      </w:r>
      <w:r w:rsidR="0066265C" w:rsidRPr="00EB766C">
        <w:rPr>
          <w:rFonts w:ascii="Arial" w:eastAsia="Arial" w:hAnsi="Arial" w:cs="Arial"/>
          <w:color w:val="222222"/>
        </w:rPr>
        <w:t>considerarlos</w:t>
      </w:r>
      <w:r w:rsidR="005C6669" w:rsidRPr="00EB766C">
        <w:rPr>
          <w:rFonts w:ascii="Arial" w:eastAsia="Arial" w:hAnsi="Arial" w:cs="Arial"/>
          <w:color w:val="222222"/>
        </w:rPr>
        <w:t xml:space="preserve"> como integrantes activos </w:t>
      </w:r>
      <w:r w:rsidRPr="00EB766C">
        <w:rPr>
          <w:rFonts w:ascii="Arial" w:eastAsia="Arial" w:hAnsi="Arial" w:cs="Arial"/>
          <w:color w:val="222222"/>
        </w:rPr>
        <w:t>del proyecto subnacional</w:t>
      </w:r>
      <w:r w:rsidR="005A02C2" w:rsidRPr="00EB766C">
        <w:rPr>
          <w:rFonts w:ascii="Arial" w:eastAsia="Arial" w:hAnsi="Arial" w:cs="Arial"/>
          <w:color w:val="222222"/>
        </w:rPr>
        <w:t xml:space="preserve"> </w:t>
      </w:r>
      <w:r w:rsidR="009F62E0" w:rsidRPr="00EB766C">
        <w:rPr>
          <w:rFonts w:ascii="Arial" w:eastAsia="Arial" w:hAnsi="Arial" w:cs="Arial"/>
          <w:color w:val="222222"/>
        </w:rPr>
        <w:t>y partícipes en la formación de la voluntad política de la comunidad</w:t>
      </w:r>
      <w:r w:rsidR="005C6669" w:rsidRPr="00EB766C">
        <w:rPr>
          <w:rFonts w:ascii="Arial" w:eastAsia="Arial" w:hAnsi="Arial" w:cs="Arial"/>
          <w:color w:val="222222"/>
        </w:rPr>
        <w:t xml:space="preserve">. </w:t>
      </w:r>
    </w:p>
    <w:p w14:paraId="2856B685" w14:textId="77777777" w:rsidR="009A33B8" w:rsidRPr="00EB766C" w:rsidRDefault="005C6669" w:rsidP="00833DD9">
      <w:pPr>
        <w:spacing w:before="240" w:after="240" w:line="360" w:lineRule="auto"/>
        <w:jc w:val="both"/>
        <w:rPr>
          <w:rFonts w:ascii="Arial" w:eastAsia="Arial" w:hAnsi="Arial" w:cs="Arial"/>
          <w:color w:val="222222"/>
        </w:rPr>
      </w:pPr>
      <w:r w:rsidRPr="00EB766C">
        <w:rPr>
          <w:rFonts w:ascii="Arial" w:eastAsia="Arial" w:hAnsi="Arial" w:cs="Arial"/>
          <w:color w:val="222222"/>
        </w:rPr>
        <w:t>Esto es, que su experiencia como integrantes de la Ciudad de México</w:t>
      </w:r>
      <w:r w:rsidR="00331546">
        <w:rPr>
          <w:rFonts w:ascii="Arial" w:eastAsia="Arial" w:hAnsi="Arial" w:cs="Arial"/>
          <w:color w:val="222222"/>
        </w:rPr>
        <w:t xml:space="preserve"> y</w:t>
      </w:r>
      <w:r w:rsidRPr="00EB766C">
        <w:rPr>
          <w:rFonts w:ascii="Arial" w:eastAsia="Arial" w:hAnsi="Arial" w:cs="Arial"/>
          <w:color w:val="222222"/>
        </w:rPr>
        <w:t xml:space="preserve"> residentes en el extranjero formar</w:t>
      </w:r>
      <w:r w:rsidR="001D7687" w:rsidRPr="00EB766C">
        <w:rPr>
          <w:rFonts w:ascii="Arial" w:eastAsia="Arial" w:hAnsi="Arial" w:cs="Arial"/>
          <w:color w:val="222222"/>
        </w:rPr>
        <w:t>ía</w:t>
      </w:r>
      <w:r w:rsidRPr="00EB766C">
        <w:rPr>
          <w:rFonts w:ascii="Arial" w:eastAsia="Arial" w:hAnsi="Arial" w:cs="Arial"/>
          <w:color w:val="222222"/>
        </w:rPr>
        <w:t xml:space="preserve"> parte de los procesos deliberativos y de las decisiones que emanen de ese órgano representativo. </w:t>
      </w:r>
    </w:p>
    <w:p w14:paraId="21A4E542" w14:textId="77777777" w:rsidR="005C6669" w:rsidRPr="00EB766C" w:rsidRDefault="005C6669" w:rsidP="00833DD9">
      <w:pPr>
        <w:spacing w:before="240" w:after="240" w:line="360" w:lineRule="auto"/>
        <w:jc w:val="both"/>
        <w:rPr>
          <w:rFonts w:ascii="Arial" w:eastAsia="Arial" w:hAnsi="Arial" w:cs="Arial"/>
          <w:color w:val="222222"/>
        </w:rPr>
      </w:pPr>
      <w:r w:rsidRPr="00EB766C">
        <w:rPr>
          <w:rFonts w:ascii="Arial" w:eastAsia="Arial" w:hAnsi="Arial" w:cs="Arial"/>
          <w:color w:val="222222"/>
        </w:rPr>
        <w:t xml:space="preserve">Finalmente, se les generó una </w:t>
      </w:r>
      <w:r w:rsidR="00A44FB4" w:rsidRPr="00EB766C">
        <w:rPr>
          <w:rFonts w:ascii="Arial" w:eastAsia="Arial" w:hAnsi="Arial" w:cs="Arial"/>
          <w:color w:val="222222"/>
        </w:rPr>
        <w:t xml:space="preserve">situación jurídica particular, en el sentido de </w:t>
      </w:r>
      <w:r w:rsidR="00723172" w:rsidRPr="00EB766C">
        <w:rPr>
          <w:rFonts w:ascii="Arial" w:eastAsia="Arial" w:hAnsi="Arial" w:cs="Arial"/>
          <w:color w:val="222222"/>
        </w:rPr>
        <w:t>reconocerles</w:t>
      </w:r>
      <w:r w:rsidRPr="00EB766C">
        <w:rPr>
          <w:rFonts w:ascii="Arial" w:eastAsia="Arial" w:hAnsi="Arial" w:cs="Arial"/>
          <w:color w:val="222222"/>
        </w:rPr>
        <w:t xml:space="preserve"> un derecho especial en función de grupo, consistente en el derecho de acceder a una curul como representantes de ese grupo. </w:t>
      </w:r>
    </w:p>
    <w:p w14:paraId="4DFBDFC1" w14:textId="77777777" w:rsidR="005C6669" w:rsidRPr="00EB766C" w:rsidRDefault="005C6669" w:rsidP="00833DD9">
      <w:pPr>
        <w:spacing w:before="240" w:after="240" w:line="360" w:lineRule="auto"/>
        <w:jc w:val="both"/>
        <w:rPr>
          <w:rFonts w:ascii="Arial" w:eastAsia="Arial" w:hAnsi="Arial" w:cs="Arial"/>
          <w:color w:val="222222"/>
        </w:rPr>
      </w:pPr>
      <w:r w:rsidRPr="00EB766C">
        <w:rPr>
          <w:rFonts w:ascii="Arial" w:eastAsia="Arial" w:hAnsi="Arial" w:cs="Arial"/>
          <w:color w:val="222222"/>
        </w:rPr>
        <w:t>Como se observa,</w:t>
      </w:r>
      <w:r w:rsidR="00FF6363" w:rsidRPr="00EB766C">
        <w:rPr>
          <w:rFonts w:ascii="Arial" w:eastAsia="Arial" w:hAnsi="Arial" w:cs="Arial"/>
          <w:color w:val="222222"/>
        </w:rPr>
        <w:t xml:space="preserve"> la reforma legal de 2017 </w:t>
      </w:r>
      <w:r w:rsidRPr="00EB766C">
        <w:rPr>
          <w:rFonts w:ascii="Arial" w:eastAsia="Arial" w:hAnsi="Arial" w:cs="Arial"/>
          <w:color w:val="222222"/>
        </w:rPr>
        <w:t xml:space="preserve">trató </w:t>
      </w:r>
      <w:r w:rsidR="00FF6363" w:rsidRPr="00EB766C">
        <w:rPr>
          <w:rFonts w:ascii="Arial" w:eastAsia="Arial" w:hAnsi="Arial" w:cs="Arial"/>
          <w:color w:val="222222"/>
        </w:rPr>
        <w:t>de</w:t>
      </w:r>
      <w:r w:rsidRPr="00EB766C">
        <w:rPr>
          <w:rFonts w:ascii="Arial" w:eastAsia="Arial" w:hAnsi="Arial" w:cs="Arial"/>
          <w:color w:val="222222"/>
        </w:rPr>
        <w:t xml:space="preserve"> </w:t>
      </w:r>
      <w:r w:rsidR="00FF6363" w:rsidRPr="00EB766C">
        <w:rPr>
          <w:rFonts w:ascii="Arial" w:eastAsia="Arial" w:hAnsi="Arial" w:cs="Arial"/>
          <w:color w:val="222222"/>
        </w:rPr>
        <w:t xml:space="preserve">ampliar </w:t>
      </w:r>
      <w:r w:rsidRPr="00EB766C">
        <w:rPr>
          <w:rFonts w:ascii="Arial" w:eastAsia="Arial" w:hAnsi="Arial" w:cs="Arial"/>
          <w:color w:val="222222"/>
        </w:rPr>
        <w:t>la esfera de derechos reconocidos a un grupo subrepresentado y muchas veces invisibilizado.</w:t>
      </w:r>
    </w:p>
    <w:p w14:paraId="52C3D397" w14:textId="77777777" w:rsidR="005C6669" w:rsidRPr="00EB766C" w:rsidRDefault="005C6669" w:rsidP="00833DD9">
      <w:pPr>
        <w:spacing w:before="240" w:after="240" w:line="360" w:lineRule="auto"/>
        <w:jc w:val="both"/>
        <w:rPr>
          <w:rFonts w:ascii="Arial" w:eastAsia="Arial" w:hAnsi="Arial" w:cs="Arial"/>
          <w:color w:val="222222"/>
        </w:rPr>
      </w:pPr>
      <w:r w:rsidRPr="00EB766C">
        <w:rPr>
          <w:rFonts w:ascii="Arial" w:eastAsia="Arial" w:hAnsi="Arial" w:cs="Arial"/>
          <w:color w:val="222222"/>
        </w:rPr>
        <w:t xml:space="preserve">Dado que se trata del reconocimiento de un derecho especial en función del grupo y dado que esto sigue la misma lógica de los principios multiculturales, la supresión de la figura de la diputación migrante vulneró de manera importante </w:t>
      </w:r>
      <w:r w:rsidR="00A558E0" w:rsidRPr="00EB766C">
        <w:rPr>
          <w:rFonts w:ascii="Arial" w:eastAsia="Arial" w:hAnsi="Arial" w:cs="Arial"/>
          <w:color w:val="222222"/>
        </w:rPr>
        <w:t xml:space="preserve">el reconocimiento de este derecho y, a su vez, </w:t>
      </w:r>
      <w:r w:rsidRPr="00EB766C">
        <w:rPr>
          <w:rFonts w:ascii="Arial" w:eastAsia="Arial" w:hAnsi="Arial" w:cs="Arial"/>
          <w:color w:val="222222"/>
        </w:rPr>
        <w:t xml:space="preserve">el principio de </w:t>
      </w:r>
      <w:r w:rsidR="00FF6363" w:rsidRPr="00EB766C">
        <w:rPr>
          <w:rFonts w:ascii="Arial" w:eastAsia="Arial" w:hAnsi="Arial" w:cs="Arial"/>
          <w:color w:val="222222"/>
        </w:rPr>
        <w:t>progresividad</w:t>
      </w:r>
      <w:r w:rsidRPr="00EB766C">
        <w:rPr>
          <w:rFonts w:ascii="Arial" w:eastAsia="Arial" w:hAnsi="Arial" w:cs="Arial"/>
          <w:color w:val="222222"/>
        </w:rPr>
        <w:t xml:space="preserve"> porque implicó un retroceso en el ánimo de la Ciudad de México de reconocer a la diáspora mexicana como parte del proyecto estatal. </w:t>
      </w:r>
    </w:p>
    <w:p w14:paraId="3D9937F3" w14:textId="77777777" w:rsidR="001150CB" w:rsidRPr="00EB766C" w:rsidRDefault="001150CB" w:rsidP="00833DD9">
      <w:pPr>
        <w:spacing w:before="240" w:after="240" w:line="360" w:lineRule="auto"/>
        <w:jc w:val="both"/>
        <w:rPr>
          <w:rFonts w:ascii="Arial" w:eastAsia="Arial" w:hAnsi="Arial" w:cs="Arial"/>
          <w:color w:val="222222"/>
        </w:rPr>
      </w:pPr>
      <w:r w:rsidRPr="00EB766C">
        <w:rPr>
          <w:rFonts w:ascii="Arial" w:eastAsia="Arial" w:hAnsi="Arial" w:cs="Arial"/>
          <w:color w:val="222222"/>
        </w:rPr>
        <w:t xml:space="preserve">Esto, además, es </w:t>
      </w:r>
      <w:r w:rsidR="00B53073" w:rsidRPr="00EB766C">
        <w:rPr>
          <w:rFonts w:ascii="Arial" w:eastAsia="Arial" w:hAnsi="Arial" w:cs="Arial"/>
          <w:color w:val="222222"/>
        </w:rPr>
        <w:t>aún</w:t>
      </w:r>
      <w:r w:rsidRPr="00EB766C">
        <w:rPr>
          <w:rFonts w:ascii="Arial" w:eastAsia="Arial" w:hAnsi="Arial" w:cs="Arial"/>
          <w:color w:val="222222"/>
        </w:rPr>
        <w:t xml:space="preserve"> </w:t>
      </w:r>
      <w:r w:rsidR="00B53073" w:rsidRPr="00EB766C">
        <w:rPr>
          <w:rFonts w:ascii="Arial" w:eastAsia="Arial" w:hAnsi="Arial" w:cs="Arial"/>
          <w:color w:val="222222"/>
        </w:rPr>
        <w:t>más</w:t>
      </w:r>
      <w:r w:rsidRPr="00EB766C">
        <w:rPr>
          <w:rFonts w:ascii="Arial" w:eastAsia="Arial" w:hAnsi="Arial" w:cs="Arial"/>
          <w:color w:val="222222"/>
        </w:rPr>
        <w:t xml:space="preserve"> gravoso cuando el mismo órgano que </w:t>
      </w:r>
      <w:r w:rsidR="00A558E0" w:rsidRPr="00EB766C">
        <w:rPr>
          <w:rFonts w:ascii="Arial" w:eastAsia="Arial" w:hAnsi="Arial" w:cs="Arial"/>
          <w:color w:val="222222"/>
        </w:rPr>
        <w:t xml:space="preserve">reconoció </w:t>
      </w:r>
      <w:r w:rsidRPr="00EB766C">
        <w:rPr>
          <w:rFonts w:ascii="Arial" w:eastAsia="Arial" w:hAnsi="Arial" w:cs="Arial"/>
          <w:color w:val="222222"/>
        </w:rPr>
        <w:t>la figura de diputación migrante como parte de la decisión política de reconocer a la diáspora mexicana como integrante de la Ciudad de México, es el mismo órgano que</w:t>
      </w:r>
      <w:r w:rsidR="001D7687" w:rsidRPr="00EB766C">
        <w:rPr>
          <w:rFonts w:ascii="Arial" w:eastAsia="Arial" w:hAnsi="Arial" w:cs="Arial"/>
          <w:color w:val="222222"/>
        </w:rPr>
        <w:t>,</w:t>
      </w:r>
      <w:r w:rsidRPr="00EB766C">
        <w:rPr>
          <w:rFonts w:ascii="Arial" w:eastAsia="Arial" w:hAnsi="Arial" w:cs="Arial"/>
          <w:color w:val="222222"/>
        </w:rPr>
        <w:t xml:space="preserve"> de manera súbita</w:t>
      </w:r>
      <w:r w:rsidR="001D7687" w:rsidRPr="00EB766C">
        <w:rPr>
          <w:rFonts w:ascii="Arial" w:eastAsia="Arial" w:hAnsi="Arial" w:cs="Arial"/>
          <w:color w:val="222222"/>
        </w:rPr>
        <w:t>,</w:t>
      </w:r>
      <w:r w:rsidRPr="00EB766C">
        <w:rPr>
          <w:rFonts w:ascii="Arial" w:eastAsia="Arial" w:hAnsi="Arial" w:cs="Arial"/>
          <w:color w:val="222222"/>
        </w:rPr>
        <w:t xml:space="preserve"> decide suprimir y retroceder en ese reconocimiento. </w:t>
      </w:r>
    </w:p>
    <w:p w14:paraId="3A0434ED" w14:textId="77777777" w:rsidR="001150CB" w:rsidRPr="00EB766C" w:rsidRDefault="00FF6363" w:rsidP="00833DD9">
      <w:pPr>
        <w:spacing w:before="240" w:after="240" w:line="360" w:lineRule="auto"/>
        <w:jc w:val="both"/>
        <w:rPr>
          <w:rFonts w:ascii="Arial" w:eastAsia="Arial" w:hAnsi="Arial" w:cs="Arial"/>
          <w:color w:val="222222"/>
        </w:rPr>
      </w:pPr>
      <w:r w:rsidRPr="00EB766C">
        <w:rPr>
          <w:rFonts w:ascii="Arial" w:eastAsia="Arial" w:hAnsi="Arial" w:cs="Arial"/>
          <w:color w:val="222222"/>
        </w:rPr>
        <w:t>C</w:t>
      </w:r>
      <w:r w:rsidR="001150CB" w:rsidRPr="00EB766C">
        <w:rPr>
          <w:rFonts w:ascii="Arial" w:eastAsia="Arial" w:hAnsi="Arial" w:cs="Arial"/>
          <w:color w:val="222222"/>
        </w:rPr>
        <w:t xml:space="preserve">omo ya se precisó previamente, cuando se </w:t>
      </w:r>
      <w:r w:rsidRPr="00EB766C">
        <w:rPr>
          <w:rFonts w:ascii="Arial" w:eastAsia="Arial" w:hAnsi="Arial" w:cs="Arial"/>
          <w:color w:val="222222"/>
        </w:rPr>
        <w:t>reconoci</w:t>
      </w:r>
      <w:r w:rsidR="001150CB" w:rsidRPr="00EB766C">
        <w:rPr>
          <w:rFonts w:ascii="Arial" w:eastAsia="Arial" w:hAnsi="Arial" w:cs="Arial"/>
          <w:color w:val="222222"/>
        </w:rPr>
        <w:t xml:space="preserve">ó </w:t>
      </w:r>
      <w:r w:rsidRPr="00EB766C">
        <w:rPr>
          <w:rFonts w:ascii="Arial" w:eastAsia="Arial" w:hAnsi="Arial" w:cs="Arial"/>
          <w:color w:val="222222"/>
        </w:rPr>
        <w:t xml:space="preserve">un derecho humano, </w:t>
      </w:r>
      <w:r w:rsidR="001150CB" w:rsidRPr="00EB766C">
        <w:rPr>
          <w:rFonts w:ascii="Arial" w:eastAsia="Arial" w:hAnsi="Arial" w:cs="Arial"/>
          <w:color w:val="222222"/>
        </w:rPr>
        <w:t xml:space="preserve">cualquier cambio o modificación que </w:t>
      </w:r>
      <w:r w:rsidRPr="00EB766C">
        <w:rPr>
          <w:rFonts w:ascii="Arial" w:eastAsia="Arial" w:hAnsi="Arial" w:cs="Arial"/>
          <w:color w:val="222222"/>
        </w:rPr>
        <w:t xml:space="preserve">lo </w:t>
      </w:r>
      <w:r w:rsidR="001150CB" w:rsidRPr="00EB766C">
        <w:rPr>
          <w:rFonts w:ascii="Arial" w:eastAsia="Arial" w:hAnsi="Arial" w:cs="Arial"/>
          <w:color w:val="222222"/>
        </w:rPr>
        <w:t xml:space="preserve">altere debe estar debida y reforzadamente justificada. </w:t>
      </w:r>
    </w:p>
    <w:p w14:paraId="4E6F4528" w14:textId="77777777" w:rsidR="00775E19" w:rsidRPr="00EB766C" w:rsidRDefault="001150CB" w:rsidP="001150CB">
      <w:pPr>
        <w:spacing w:before="240" w:after="240" w:line="360" w:lineRule="auto"/>
        <w:jc w:val="both"/>
        <w:rPr>
          <w:rFonts w:ascii="Arial" w:eastAsia="Arial" w:hAnsi="Arial" w:cs="Arial"/>
          <w:lang w:val="es"/>
        </w:rPr>
      </w:pPr>
      <w:r w:rsidRPr="00EB766C">
        <w:rPr>
          <w:rFonts w:ascii="Arial" w:eastAsia="Arial" w:hAnsi="Arial" w:cs="Arial"/>
          <w:color w:val="222222"/>
        </w:rPr>
        <w:t xml:space="preserve">En ese sentido se ha pronunciado la </w:t>
      </w:r>
      <w:r w:rsidRPr="00EB766C">
        <w:rPr>
          <w:rFonts w:ascii="Arial" w:eastAsia="Arial" w:hAnsi="Arial" w:cs="Arial"/>
          <w:lang w:val="es"/>
        </w:rPr>
        <w:t xml:space="preserve">Corte Interamericana de Derechos Humanos, quien ha razonado </w:t>
      </w:r>
      <w:r w:rsidR="00331546">
        <w:rPr>
          <w:rFonts w:ascii="Arial" w:eastAsia="Arial" w:hAnsi="Arial" w:cs="Arial"/>
          <w:lang w:val="es"/>
        </w:rPr>
        <w:t xml:space="preserve">que </w:t>
      </w:r>
      <w:r w:rsidRPr="00EB766C">
        <w:rPr>
          <w:rFonts w:ascii="Arial" w:eastAsia="Arial" w:hAnsi="Arial" w:cs="Arial"/>
          <w:lang w:val="es"/>
        </w:rPr>
        <w:t>las medidas de carácter deliberadamente regresivas requieren de una consideración más cuidadosa, debiendo justificarse plenamente y según el aprovechamiento pleno de los recursos que el Estado tenga a su alcance</w:t>
      </w:r>
      <w:r w:rsidRPr="00EB766C">
        <w:rPr>
          <w:rStyle w:val="Refdenotaalpie"/>
          <w:rFonts w:ascii="Arial" w:eastAsia="Arial" w:hAnsi="Arial" w:cs="Arial"/>
          <w:lang w:val="es"/>
        </w:rPr>
        <w:footnoteReference w:id="49"/>
      </w:r>
      <w:r w:rsidRPr="00EB766C">
        <w:rPr>
          <w:rFonts w:ascii="Arial" w:eastAsia="Arial" w:hAnsi="Arial" w:cs="Arial"/>
          <w:lang w:val="es"/>
        </w:rPr>
        <w:t>.</w:t>
      </w:r>
      <w:r w:rsidR="00775E19" w:rsidRPr="00EB766C">
        <w:rPr>
          <w:rFonts w:ascii="Arial" w:eastAsia="Arial" w:hAnsi="Arial" w:cs="Arial"/>
          <w:lang w:val="es"/>
        </w:rPr>
        <w:t xml:space="preserve"> </w:t>
      </w:r>
    </w:p>
    <w:p w14:paraId="1DBD004D" w14:textId="77777777" w:rsidR="001150CB" w:rsidRPr="00EB766C" w:rsidRDefault="001150CB" w:rsidP="001150CB">
      <w:pPr>
        <w:spacing w:before="240" w:after="240" w:line="360" w:lineRule="auto"/>
        <w:jc w:val="both"/>
        <w:rPr>
          <w:rFonts w:ascii="Arial" w:eastAsia="Arial" w:hAnsi="Arial" w:cs="Arial"/>
          <w:vertAlign w:val="superscript"/>
          <w:lang w:val="es"/>
        </w:rPr>
      </w:pPr>
      <w:r w:rsidRPr="00EB766C">
        <w:rPr>
          <w:rFonts w:ascii="Arial" w:eastAsia="Arial" w:hAnsi="Arial" w:cs="Arial"/>
          <w:lang w:val="es"/>
        </w:rPr>
        <w:t xml:space="preserve">Por su parte, el Comité de Derechos Económicos, Sociales y Culturales de </w:t>
      </w:r>
      <w:r w:rsidR="00331546">
        <w:rPr>
          <w:rFonts w:ascii="Arial" w:eastAsia="Arial" w:hAnsi="Arial" w:cs="Arial"/>
          <w:lang w:val="es"/>
        </w:rPr>
        <w:t xml:space="preserve">las </w:t>
      </w:r>
      <w:r w:rsidRPr="00EB766C">
        <w:rPr>
          <w:rFonts w:ascii="Arial" w:eastAsia="Arial" w:hAnsi="Arial" w:cs="Arial"/>
          <w:lang w:val="es"/>
        </w:rPr>
        <w:t>Naciones Unidas</w:t>
      </w:r>
      <w:r w:rsidRPr="00EB766C">
        <w:rPr>
          <w:rFonts w:ascii="Arial" w:eastAsia="Arial" w:hAnsi="Arial" w:cs="Arial"/>
        </w:rPr>
        <w:t xml:space="preserve"> ha señalado la necesidad de otorgar una atención especial a los grupos sociales que viven en condiciones desfavorables, por lo cual las medidas regresivas en materia de grupos vulnerables deben ser adoptadas en circunstancias extraordinarias y considerando todos los demás derechos</w:t>
      </w:r>
      <w:r w:rsidRPr="00EB766C">
        <w:rPr>
          <w:rStyle w:val="Refdenotaalpie"/>
          <w:rFonts w:ascii="Arial" w:eastAsia="Arial" w:hAnsi="Arial" w:cs="Arial"/>
          <w:lang w:val="es"/>
        </w:rPr>
        <w:footnoteReference w:id="50"/>
      </w:r>
      <w:r w:rsidR="00775E19" w:rsidRPr="00EB766C">
        <w:rPr>
          <w:rFonts w:ascii="Arial" w:eastAsia="Arial" w:hAnsi="Arial" w:cs="Arial"/>
        </w:rPr>
        <w:t>.</w:t>
      </w:r>
    </w:p>
    <w:p w14:paraId="76C14B9B" w14:textId="77777777" w:rsidR="001150CB" w:rsidRPr="00EB766C" w:rsidRDefault="00987836" w:rsidP="00833DD9">
      <w:pPr>
        <w:spacing w:before="240" w:after="240" w:line="360" w:lineRule="auto"/>
        <w:jc w:val="both"/>
        <w:rPr>
          <w:rFonts w:ascii="Arial" w:eastAsia="Arial" w:hAnsi="Arial" w:cs="Arial"/>
          <w:color w:val="222222"/>
        </w:rPr>
      </w:pPr>
      <w:r w:rsidRPr="00EB766C">
        <w:rPr>
          <w:rFonts w:ascii="Arial" w:eastAsia="Arial" w:hAnsi="Arial" w:cs="Arial"/>
          <w:color w:val="222222"/>
        </w:rPr>
        <w:t xml:space="preserve">En el caso, sin embargo, no se advierte una justificación adecuada que </w:t>
      </w:r>
      <w:r w:rsidR="001D7687" w:rsidRPr="00EB766C">
        <w:rPr>
          <w:rFonts w:ascii="Arial" w:eastAsia="Arial" w:hAnsi="Arial" w:cs="Arial"/>
          <w:color w:val="222222"/>
        </w:rPr>
        <w:t>explique</w:t>
      </w:r>
      <w:r w:rsidRPr="00EB766C">
        <w:rPr>
          <w:rFonts w:ascii="Arial" w:eastAsia="Arial" w:hAnsi="Arial" w:cs="Arial"/>
          <w:color w:val="222222"/>
        </w:rPr>
        <w:t xml:space="preserve"> la supresión de la figura de diputación migrante. Sobre todo, y considerando que se trata de un derecho especial en función de un grupo, tampoco se desprende que la decisión se haya tomado a partir de una circunstancia extraordinaria que así lo justifique, o en atención a una imperante necesidad de interés público.</w:t>
      </w:r>
    </w:p>
    <w:p w14:paraId="707E7E01" w14:textId="77777777" w:rsidR="00987836" w:rsidRPr="00EB766C" w:rsidRDefault="00987836" w:rsidP="00833DD9">
      <w:pPr>
        <w:spacing w:before="240" w:after="240" w:line="360" w:lineRule="auto"/>
        <w:jc w:val="both"/>
        <w:rPr>
          <w:rFonts w:ascii="Arial" w:eastAsia="Arial" w:hAnsi="Arial" w:cs="Arial"/>
          <w:color w:val="222222"/>
        </w:rPr>
      </w:pPr>
      <w:r w:rsidRPr="00EB766C">
        <w:rPr>
          <w:rFonts w:ascii="Arial" w:eastAsia="Arial" w:hAnsi="Arial" w:cs="Arial"/>
          <w:color w:val="222222"/>
        </w:rPr>
        <w:t xml:space="preserve">La justificación que proporcionó el órgano legislativo de la Ciudad de México para suprimir esta figura se basó, esencialmente, en la falta de recursos económicos para su implementación. </w:t>
      </w:r>
    </w:p>
    <w:p w14:paraId="3FB4E094" w14:textId="77777777" w:rsidR="00987836" w:rsidRPr="00EB766C" w:rsidRDefault="00987836" w:rsidP="00987836">
      <w:pPr>
        <w:spacing w:before="240" w:after="240" w:line="360" w:lineRule="auto"/>
        <w:jc w:val="both"/>
        <w:rPr>
          <w:rFonts w:ascii="Arial" w:eastAsia="Arial" w:hAnsi="Arial" w:cs="Arial"/>
        </w:rPr>
      </w:pPr>
      <w:r w:rsidRPr="00EB766C">
        <w:rPr>
          <w:rFonts w:ascii="Arial" w:eastAsia="Arial" w:hAnsi="Arial" w:cs="Arial"/>
          <w:color w:val="222222"/>
        </w:rPr>
        <w:t xml:space="preserve">Sin embargo, esta Sala Superior considera que el legislador se encontraba obligado a justificar de manera reforzada, así como a demostrar la imposibilidad de materializar la diputación migrante según el </w:t>
      </w:r>
      <w:r w:rsidRPr="00EB766C">
        <w:rPr>
          <w:rFonts w:ascii="Arial" w:eastAsia="Arial" w:hAnsi="Arial" w:cs="Arial"/>
          <w:lang w:val="es"/>
        </w:rPr>
        <w:t xml:space="preserve">aprovechamiento pleno de los recursos a cargo de la Ciudad de México, </w:t>
      </w:r>
      <w:r w:rsidR="00331546">
        <w:rPr>
          <w:rFonts w:ascii="Arial" w:eastAsia="Arial" w:hAnsi="Arial" w:cs="Arial"/>
          <w:lang w:val="es"/>
        </w:rPr>
        <w:t xml:space="preserve">de </w:t>
      </w:r>
      <w:r w:rsidRPr="00EB766C">
        <w:rPr>
          <w:rFonts w:ascii="Arial" w:eastAsia="Arial" w:hAnsi="Arial" w:cs="Arial"/>
          <w:lang w:val="es"/>
        </w:rPr>
        <w:t>entre otros medios que pudieran ser considerados idóneos, y no meramente señalar que no contaban con los recursos necesarios para poder implementar esa forma de regulación del derecho a ser votado por un grupo vulnerable.</w:t>
      </w:r>
      <w:r w:rsidRPr="00EB766C">
        <w:rPr>
          <w:rFonts w:ascii="Arial" w:eastAsia="Arial" w:hAnsi="Arial" w:cs="Arial"/>
        </w:rPr>
        <w:t xml:space="preserve"> </w:t>
      </w:r>
    </w:p>
    <w:p w14:paraId="19185D1E" w14:textId="77777777" w:rsidR="00987836" w:rsidRPr="00EB766C" w:rsidRDefault="00987836" w:rsidP="00987836">
      <w:pPr>
        <w:spacing w:before="240" w:after="240" w:line="360" w:lineRule="auto"/>
        <w:jc w:val="both"/>
        <w:rPr>
          <w:rFonts w:ascii="Arial" w:eastAsia="Arial" w:hAnsi="Arial" w:cs="Arial"/>
          <w:color w:val="222222"/>
        </w:rPr>
      </w:pPr>
      <w:r w:rsidRPr="00EB766C">
        <w:rPr>
          <w:rFonts w:ascii="Arial" w:eastAsia="Arial" w:hAnsi="Arial" w:cs="Arial"/>
          <w:color w:val="222222"/>
        </w:rPr>
        <w:t>De igual manera, tampoco se acredita que el legislador ordinario hubiera previsto en la normativ</w:t>
      </w:r>
      <w:r w:rsidR="00F92C54" w:rsidRPr="00EB766C">
        <w:rPr>
          <w:rFonts w:ascii="Arial" w:eastAsia="Arial" w:hAnsi="Arial" w:cs="Arial"/>
          <w:color w:val="222222"/>
        </w:rPr>
        <w:t>a</w:t>
      </w:r>
      <w:r w:rsidRPr="00EB766C">
        <w:rPr>
          <w:rFonts w:ascii="Arial" w:eastAsia="Arial" w:hAnsi="Arial" w:cs="Arial"/>
          <w:color w:val="222222"/>
        </w:rPr>
        <w:t xml:space="preserve"> secundaria alguna alternativa para que las personas migrantes, originarias de la Ciudad de México, pudieran ejercer su derecho a votar o ser votados en las elecciones para integrar el Congreso de la Ciudad de México.</w:t>
      </w:r>
    </w:p>
    <w:p w14:paraId="56B90916" w14:textId="77777777" w:rsidR="00EB766C" w:rsidRPr="00466324" w:rsidRDefault="0008519C" w:rsidP="00EB766C">
      <w:pPr>
        <w:spacing w:before="240" w:after="240" w:line="360" w:lineRule="auto"/>
        <w:jc w:val="both"/>
        <w:rPr>
          <w:rFonts w:ascii="Arial" w:eastAsia="Arial" w:hAnsi="Arial" w:cs="Arial"/>
        </w:rPr>
      </w:pPr>
      <w:r w:rsidRPr="00EB766C">
        <w:rPr>
          <w:rFonts w:ascii="Arial" w:eastAsia="Arial" w:hAnsi="Arial" w:cs="Arial"/>
        </w:rPr>
        <w:t xml:space="preserve">De lo anterior, se concluye que </w:t>
      </w:r>
      <w:r w:rsidR="00E118DC" w:rsidRPr="00EB766C">
        <w:rPr>
          <w:rFonts w:ascii="Arial" w:eastAsia="Arial" w:hAnsi="Arial" w:cs="Arial"/>
        </w:rPr>
        <w:t xml:space="preserve">el derecho al sufragio tanto </w:t>
      </w:r>
      <w:r w:rsidR="001D78B3" w:rsidRPr="00EB766C">
        <w:rPr>
          <w:rFonts w:ascii="Arial" w:eastAsia="Arial" w:hAnsi="Arial" w:cs="Arial"/>
        </w:rPr>
        <w:t xml:space="preserve">activo como pasivo en relación con la diputación migrante </w:t>
      </w:r>
      <w:r w:rsidRPr="00EB766C">
        <w:rPr>
          <w:rFonts w:ascii="Arial" w:eastAsia="Arial" w:hAnsi="Arial" w:cs="Arial"/>
        </w:rPr>
        <w:t xml:space="preserve">se encontraba </w:t>
      </w:r>
      <w:r w:rsidR="00FF6363" w:rsidRPr="00EB766C">
        <w:rPr>
          <w:rFonts w:ascii="Arial" w:eastAsia="Arial" w:hAnsi="Arial" w:cs="Arial"/>
        </w:rPr>
        <w:t>vigente para su ejercicio</w:t>
      </w:r>
      <w:r w:rsidR="00A558E0" w:rsidRPr="00EB766C">
        <w:rPr>
          <w:rFonts w:ascii="Arial" w:eastAsia="Arial" w:hAnsi="Arial" w:cs="Arial"/>
        </w:rPr>
        <w:t xml:space="preserve"> en el proceso electoral 2020-2021. </w:t>
      </w:r>
    </w:p>
    <w:p w14:paraId="139E6BE2" w14:textId="614ED4F7" w:rsidR="00987836" w:rsidRPr="0008519C" w:rsidRDefault="00B97359" w:rsidP="00987836">
      <w:pPr>
        <w:spacing w:before="240" w:after="240" w:line="360" w:lineRule="auto"/>
        <w:jc w:val="both"/>
        <w:rPr>
          <w:rFonts w:ascii="Arial" w:eastAsia="Arial" w:hAnsi="Arial" w:cs="Arial"/>
        </w:rPr>
      </w:pPr>
      <w:r w:rsidRPr="00EB766C">
        <w:rPr>
          <w:rFonts w:ascii="Arial" w:eastAsia="Arial" w:hAnsi="Arial" w:cs="Arial"/>
        </w:rPr>
        <w:t>En las condiciones indicadas,</w:t>
      </w:r>
      <w:r>
        <w:rPr>
          <w:rFonts w:ascii="Arial" w:eastAsia="Arial" w:hAnsi="Arial" w:cs="Arial"/>
        </w:rPr>
        <w:t xml:space="preserve"> p</w:t>
      </w:r>
      <w:r w:rsidR="0008519C">
        <w:rPr>
          <w:rFonts w:ascii="Arial" w:eastAsia="Arial" w:hAnsi="Arial" w:cs="Arial"/>
        </w:rPr>
        <w:t>ara esta Sala Superior</w:t>
      </w:r>
      <w:r w:rsidR="0096472A">
        <w:rPr>
          <w:rFonts w:ascii="Arial" w:eastAsia="Arial" w:hAnsi="Arial" w:cs="Arial"/>
        </w:rPr>
        <w:t>,</w:t>
      </w:r>
      <w:r w:rsidR="0008519C">
        <w:rPr>
          <w:rFonts w:ascii="Arial" w:eastAsia="Arial" w:hAnsi="Arial" w:cs="Arial"/>
        </w:rPr>
        <w:t xml:space="preserve"> la supresión de la diputación migrante </w:t>
      </w:r>
      <w:r w:rsidR="00F806A2">
        <w:rPr>
          <w:rFonts w:ascii="Arial" w:eastAsia="Arial" w:hAnsi="Arial" w:cs="Arial"/>
        </w:rPr>
        <w:t>vulnera</w:t>
      </w:r>
      <w:r w:rsidR="0008519C">
        <w:rPr>
          <w:rFonts w:ascii="Arial" w:eastAsia="Arial" w:hAnsi="Arial" w:cs="Arial"/>
        </w:rPr>
        <w:t xml:space="preserve"> el principio de progresividad de los derechos humanos</w:t>
      </w:r>
      <w:r w:rsidR="00A558E0">
        <w:rPr>
          <w:rFonts w:ascii="Arial" w:eastAsia="Arial" w:hAnsi="Arial" w:cs="Arial"/>
        </w:rPr>
        <w:t xml:space="preserve">, tal y como se desarrolla a continuación. </w:t>
      </w:r>
    </w:p>
    <w:p w14:paraId="3F9D7D3E" w14:textId="77777777" w:rsidR="00166086" w:rsidRPr="003625C2" w:rsidRDefault="00166086" w:rsidP="003625C2">
      <w:pPr>
        <w:pStyle w:val="Ttulo1"/>
        <w:spacing w:before="240" w:beforeAutospacing="0" w:after="240" w:afterAutospacing="0"/>
        <w:jc w:val="both"/>
        <w:rPr>
          <w:rFonts w:ascii="Arial Negrita" w:eastAsiaTheme="minorHAnsi" w:hAnsi="Arial Negrita" w:cs="Arial"/>
          <w:caps w:val="0"/>
          <w:szCs w:val="24"/>
        </w:rPr>
      </w:pPr>
      <w:bookmarkStart w:id="33" w:name="_Toc48404890"/>
      <w:r w:rsidRPr="003625C2">
        <w:rPr>
          <w:rFonts w:ascii="Arial Negrita" w:eastAsiaTheme="minorHAnsi" w:hAnsi="Arial Negrita" w:cs="Arial"/>
          <w:caps w:val="0"/>
          <w:szCs w:val="24"/>
        </w:rPr>
        <w:t>5.</w:t>
      </w:r>
      <w:r w:rsidR="001E063E" w:rsidRPr="003625C2">
        <w:rPr>
          <w:rFonts w:ascii="Arial Negrita" w:eastAsiaTheme="minorHAnsi" w:hAnsi="Arial Negrita" w:cs="Arial"/>
          <w:caps w:val="0"/>
          <w:szCs w:val="24"/>
        </w:rPr>
        <w:t>4</w:t>
      </w:r>
      <w:r w:rsidRPr="003625C2">
        <w:rPr>
          <w:rFonts w:ascii="Arial Negrita" w:eastAsiaTheme="minorHAnsi" w:hAnsi="Arial Negrita" w:cs="Arial"/>
          <w:caps w:val="0"/>
          <w:szCs w:val="24"/>
        </w:rPr>
        <w:t>.2. Principio de progresividad</w:t>
      </w:r>
      <w:r w:rsidR="00EA2638" w:rsidRPr="003625C2">
        <w:rPr>
          <w:rFonts w:ascii="Arial Negrita" w:eastAsiaTheme="minorHAnsi" w:hAnsi="Arial Negrita" w:cs="Arial"/>
          <w:caps w:val="0"/>
          <w:szCs w:val="24"/>
        </w:rPr>
        <w:t xml:space="preserve"> de los derechos humanos</w:t>
      </w:r>
      <w:bookmarkEnd w:id="33"/>
    </w:p>
    <w:p w14:paraId="17DA7996" w14:textId="77777777" w:rsidR="00166086" w:rsidRPr="00A33520" w:rsidRDefault="00166086" w:rsidP="00166086">
      <w:pPr>
        <w:spacing w:before="240" w:after="240" w:line="360" w:lineRule="auto"/>
        <w:jc w:val="both"/>
        <w:rPr>
          <w:rFonts w:ascii="Arial" w:hAnsi="Arial" w:cs="Arial"/>
          <w:color w:val="000000"/>
          <w:lang w:eastAsia="es-MX"/>
        </w:rPr>
      </w:pPr>
      <w:r w:rsidRPr="00A33520">
        <w:rPr>
          <w:rFonts w:ascii="Arial" w:hAnsi="Arial" w:cs="Arial"/>
          <w:color w:val="000000"/>
          <w:lang w:eastAsia="es-MX"/>
        </w:rPr>
        <w:t>De conformidad con el artículo 1</w:t>
      </w:r>
      <w:r w:rsidR="00331546">
        <w:rPr>
          <w:rFonts w:ascii="Arial" w:hAnsi="Arial" w:cs="Arial"/>
          <w:color w:val="000000"/>
          <w:lang w:eastAsia="es-MX"/>
        </w:rPr>
        <w:t xml:space="preserve">. </w:t>
      </w:r>
      <w:r w:rsidRPr="00A33520">
        <w:rPr>
          <w:rFonts w:ascii="Arial" w:hAnsi="Arial" w:cs="Arial"/>
          <w:color w:val="000000"/>
          <w:lang w:eastAsia="es-MX"/>
        </w:rPr>
        <w:t>º, párrafo tercero, de la Constitución Política de los Estados Unidos Mexicanos, la progresividad es uno de los principios rectores de los derechos humanos, incluidos los político</w:t>
      </w:r>
      <w:r w:rsidR="00A41A34">
        <w:rPr>
          <w:rFonts w:ascii="Arial" w:hAnsi="Arial" w:cs="Arial"/>
          <w:color w:val="000000"/>
          <w:lang w:eastAsia="es-MX"/>
        </w:rPr>
        <w:t xml:space="preserve">s y </w:t>
      </w:r>
      <w:r w:rsidRPr="00A33520">
        <w:rPr>
          <w:rFonts w:ascii="Arial" w:hAnsi="Arial" w:cs="Arial"/>
          <w:color w:val="000000"/>
          <w:lang w:eastAsia="es-MX"/>
        </w:rPr>
        <w:t xml:space="preserve">electorales, el cual tiene una proyección en dos vertientes: </w:t>
      </w:r>
      <w:r w:rsidRPr="00A33520">
        <w:rPr>
          <w:rFonts w:ascii="Arial" w:hAnsi="Arial" w:cs="Arial"/>
          <w:b/>
          <w:color w:val="000000"/>
          <w:lang w:eastAsia="es-MX"/>
        </w:rPr>
        <w:t>a)</w:t>
      </w:r>
      <w:r w:rsidRPr="00A33520">
        <w:rPr>
          <w:rFonts w:ascii="Arial" w:hAnsi="Arial" w:cs="Arial"/>
          <w:color w:val="000000"/>
          <w:lang w:eastAsia="es-MX"/>
        </w:rPr>
        <w:t xml:space="preserve"> ampliación efectiva y gradual de los derechos; y </w:t>
      </w:r>
      <w:r w:rsidRPr="00A33520">
        <w:rPr>
          <w:rFonts w:ascii="Arial" w:hAnsi="Arial" w:cs="Arial"/>
          <w:b/>
          <w:color w:val="000000"/>
          <w:lang w:eastAsia="es-MX"/>
        </w:rPr>
        <w:t>b)</w:t>
      </w:r>
      <w:r w:rsidRPr="00A33520">
        <w:rPr>
          <w:rFonts w:ascii="Arial" w:hAnsi="Arial" w:cs="Arial"/>
          <w:color w:val="000000"/>
          <w:lang w:eastAsia="es-MX"/>
        </w:rPr>
        <w:t xml:space="preserve"> prohibición de regresividad</w:t>
      </w:r>
      <w:r w:rsidRPr="00A33520">
        <w:rPr>
          <w:rStyle w:val="Refdenotaalpie"/>
          <w:rFonts w:ascii="Arial" w:hAnsi="Arial" w:cs="Arial"/>
          <w:color w:val="000000"/>
          <w:lang w:eastAsia="es-MX"/>
        </w:rPr>
        <w:footnoteReference w:id="51"/>
      </w:r>
      <w:r w:rsidRPr="00A33520">
        <w:rPr>
          <w:rFonts w:ascii="Arial" w:hAnsi="Arial" w:cs="Arial"/>
          <w:color w:val="000000"/>
          <w:lang w:eastAsia="es-MX"/>
        </w:rPr>
        <w:t>.</w:t>
      </w:r>
    </w:p>
    <w:p w14:paraId="33771C9A" w14:textId="77777777" w:rsidR="00166086" w:rsidRPr="00A33520" w:rsidRDefault="00166086" w:rsidP="00166086">
      <w:pPr>
        <w:spacing w:before="240" w:after="240" w:line="360" w:lineRule="auto"/>
        <w:jc w:val="both"/>
        <w:rPr>
          <w:rFonts w:ascii="Arial" w:hAnsi="Arial" w:cs="Arial"/>
          <w:color w:val="000000"/>
          <w:lang w:eastAsia="es-MX"/>
        </w:rPr>
      </w:pPr>
      <w:r w:rsidRPr="00A33520">
        <w:rPr>
          <w:rFonts w:ascii="Arial" w:hAnsi="Arial" w:cs="Arial"/>
          <w:color w:val="000000"/>
          <w:lang w:eastAsia="es-MX"/>
        </w:rPr>
        <w:t>La prohibición de regresividad implica que una vez logrado cierto avance en el desarrollo de un derecho, el Estado no puede, por regla general, disminuir el nivel de mejora alcanzado y mucho menos anularlo.</w:t>
      </w:r>
    </w:p>
    <w:p w14:paraId="7B9100C1" w14:textId="77777777" w:rsidR="00166086" w:rsidRPr="00A33520" w:rsidRDefault="00166086" w:rsidP="00166086">
      <w:pPr>
        <w:spacing w:before="240" w:after="240" w:line="360" w:lineRule="auto"/>
        <w:jc w:val="both"/>
        <w:rPr>
          <w:rFonts w:ascii="Arial" w:hAnsi="Arial" w:cs="Arial"/>
          <w:color w:val="000000"/>
          <w:lang w:eastAsia="es-MX"/>
        </w:rPr>
      </w:pPr>
      <w:r w:rsidRPr="00A33520">
        <w:rPr>
          <w:rFonts w:ascii="Arial" w:hAnsi="Arial" w:cs="Arial"/>
          <w:color w:val="000000"/>
          <w:lang w:eastAsia="es-MX"/>
        </w:rPr>
        <w:t>El principio de no regresividad supone que el legislador no debe, so pena de inconstitucionalidad, limitar o anular derechos que previamente haya establecido, salvo que tenga un motivo justificado para ello.</w:t>
      </w:r>
    </w:p>
    <w:p w14:paraId="04D6F0E4" w14:textId="77777777" w:rsidR="00166086" w:rsidRPr="00A33520" w:rsidRDefault="00166086" w:rsidP="00166086">
      <w:pPr>
        <w:spacing w:before="240" w:after="240" w:line="360" w:lineRule="auto"/>
        <w:jc w:val="both"/>
        <w:rPr>
          <w:rFonts w:ascii="Arial" w:hAnsi="Arial" w:cs="Arial"/>
          <w:color w:val="000000"/>
          <w:lang w:eastAsia="es-MX"/>
        </w:rPr>
      </w:pPr>
      <w:r w:rsidRPr="00A33520">
        <w:rPr>
          <w:rFonts w:ascii="Arial" w:hAnsi="Arial" w:cs="Arial"/>
          <w:color w:val="000000"/>
          <w:lang w:eastAsia="es-MX"/>
        </w:rPr>
        <w:t xml:space="preserve">Al respecto, debe puntualizarse que la limitación en el ejercicio de un derecho humano no necesariamente es sinónimo </w:t>
      </w:r>
      <w:r>
        <w:rPr>
          <w:rFonts w:ascii="Arial" w:hAnsi="Arial" w:cs="Arial"/>
          <w:color w:val="000000"/>
          <w:lang w:eastAsia="es-MX"/>
        </w:rPr>
        <w:t xml:space="preserve">de </w:t>
      </w:r>
      <w:r w:rsidRPr="00A33520">
        <w:rPr>
          <w:rFonts w:ascii="Arial" w:hAnsi="Arial" w:cs="Arial"/>
          <w:color w:val="000000"/>
          <w:lang w:eastAsia="es-MX"/>
        </w:rPr>
        <w:t>regresividad, pues para determinar si una medida respeta la citada máxima, es necesario analizar</w:t>
      </w:r>
      <w:r w:rsidR="00331546">
        <w:rPr>
          <w:rFonts w:ascii="Arial" w:hAnsi="Arial" w:cs="Arial"/>
          <w:color w:val="000000"/>
          <w:lang w:eastAsia="es-MX"/>
        </w:rPr>
        <w:t xml:space="preserve"> lo siguiente</w:t>
      </w:r>
      <w:r w:rsidRPr="00A33520">
        <w:rPr>
          <w:rFonts w:ascii="Arial" w:hAnsi="Arial" w:cs="Arial"/>
          <w:color w:val="000000"/>
          <w:lang w:eastAsia="es-MX"/>
        </w:rPr>
        <w:t>:</w:t>
      </w:r>
    </w:p>
    <w:p w14:paraId="44E40935" w14:textId="77777777" w:rsidR="00166086" w:rsidRPr="00A33520" w:rsidRDefault="00166086" w:rsidP="00991F83">
      <w:pPr>
        <w:pStyle w:val="Prrafodelista"/>
        <w:numPr>
          <w:ilvl w:val="0"/>
          <w:numId w:val="6"/>
        </w:numPr>
        <w:spacing w:before="240" w:after="240" w:line="360" w:lineRule="auto"/>
        <w:contextualSpacing w:val="0"/>
        <w:jc w:val="both"/>
        <w:rPr>
          <w:rFonts w:ascii="Arial" w:hAnsi="Arial" w:cs="Arial"/>
        </w:rPr>
      </w:pPr>
      <w:r w:rsidRPr="00A33520">
        <w:rPr>
          <w:rFonts w:ascii="Arial" w:hAnsi="Arial" w:cs="Arial"/>
        </w:rPr>
        <w:t>Si dicha disminución tiene como finalidad esencial incrementar el grado de tutela de otro derecho o principio diverso al que se restringe.</w:t>
      </w:r>
    </w:p>
    <w:p w14:paraId="7B4220CC" w14:textId="77777777" w:rsidR="0035000C" w:rsidRPr="0035000C" w:rsidRDefault="00166086" w:rsidP="00991F83">
      <w:pPr>
        <w:pStyle w:val="Prrafodelista"/>
        <w:numPr>
          <w:ilvl w:val="0"/>
          <w:numId w:val="6"/>
        </w:numPr>
        <w:spacing w:before="240" w:after="240" w:line="360" w:lineRule="auto"/>
        <w:contextualSpacing w:val="0"/>
        <w:jc w:val="both"/>
        <w:rPr>
          <w:rFonts w:ascii="Arial" w:hAnsi="Arial" w:cs="Arial"/>
        </w:rPr>
      </w:pPr>
      <w:r w:rsidRPr="00A33520">
        <w:rPr>
          <w:rFonts w:ascii="Arial" w:hAnsi="Arial" w:cs="Arial"/>
        </w:rPr>
        <w:t xml:space="preserve"> Si se genera un equilibrio razonable entre los derechos fundamentales en juego, sin afectar de manera desmedida la eficacia de alguno de ellos</w:t>
      </w:r>
      <w:r w:rsidRPr="00A33520">
        <w:rPr>
          <w:rStyle w:val="Refdenotaalpie"/>
          <w:rFonts w:ascii="Arial" w:hAnsi="Arial" w:cs="Arial"/>
        </w:rPr>
        <w:footnoteReference w:id="52"/>
      </w:r>
      <w:r w:rsidRPr="00A33520">
        <w:rPr>
          <w:rFonts w:ascii="Arial" w:hAnsi="Arial" w:cs="Arial"/>
        </w:rPr>
        <w:t>.</w:t>
      </w:r>
    </w:p>
    <w:p w14:paraId="32F13D8D" w14:textId="77777777" w:rsidR="0035000C" w:rsidRPr="0035000C" w:rsidRDefault="0035000C" w:rsidP="0035000C">
      <w:pPr>
        <w:spacing w:after="240" w:line="360" w:lineRule="auto"/>
        <w:jc w:val="both"/>
        <w:rPr>
          <w:rFonts w:ascii="Arial" w:hAnsi="Arial" w:cs="Arial"/>
          <w:iCs/>
          <w:snapToGrid w:val="0"/>
          <w:lang w:val="es-ES_tradnl"/>
        </w:rPr>
      </w:pPr>
      <w:r w:rsidRPr="0035000C">
        <w:rPr>
          <w:rFonts w:ascii="Arial" w:hAnsi="Arial" w:cs="Arial"/>
          <w:snapToGrid w:val="0"/>
          <w:lang w:val="es-ES_tradnl"/>
        </w:rPr>
        <w:t>Como lo ha determinado la Segunda Sala de la Suprema Corte de Justicia de la Nación (SCJN),</w:t>
      </w:r>
      <w:r w:rsidRPr="0035000C">
        <w:rPr>
          <w:rFonts w:ascii="Arial" w:hAnsi="Arial" w:cs="Arial"/>
          <w:snapToGrid w:val="0"/>
          <w:vertAlign w:val="superscript"/>
          <w:lang w:val="es-ES_tradnl"/>
        </w:rPr>
        <w:footnoteReference w:id="53"/>
      </w:r>
      <w:r w:rsidRPr="0035000C">
        <w:rPr>
          <w:rFonts w:ascii="Arial" w:hAnsi="Arial" w:cs="Arial"/>
          <w:snapToGrid w:val="0"/>
          <w:lang w:val="es-ES_tradnl"/>
        </w:rPr>
        <w:t xml:space="preserve"> el principio de progresividad es “indispensable para consolidar la garantía de protección de la dignidad humana, porque la observancia a dicho principio impide, por un lado, </w:t>
      </w:r>
      <w:r w:rsidRPr="0035000C">
        <w:rPr>
          <w:rFonts w:ascii="Arial" w:hAnsi="Arial" w:cs="Arial"/>
          <w:i/>
          <w:snapToGrid w:val="0"/>
          <w:lang w:val="es-ES_tradnl"/>
        </w:rPr>
        <w:t>la interpretación restrictiva de las normas de derechos humanos y la regresión respecto de su sentido y alcance de protección</w:t>
      </w:r>
      <w:r w:rsidRPr="0035000C">
        <w:rPr>
          <w:rFonts w:ascii="Arial" w:hAnsi="Arial" w:cs="Arial"/>
          <w:snapToGrid w:val="0"/>
          <w:lang w:val="es-ES_tradnl"/>
        </w:rPr>
        <w:t xml:space="preserve"> y, por otro lado, </w:t>
      </w:r>
      <w:r w:rsidRPr="0035000C">
        <w:rPr>
          <w:rFonts w:ascii="Arial" w:hAnsi="Arial" w:cs="Arial"/>
          <w:i/>
          <w:snapToGrid w:val="0"/>
          <w:lang w:val="es-ES_tradnl"/>
        </w:rPr>
        <w:t>favorece la evolución de dichas normas para ampliar su alcance de protección”.</w:t>
      </w:r>
    </w:p>
    <w:p w14:paraId="6BD32568" w14:textId="77777777" w:rsidR="0035000C" w:rsidRPr="0035000C" w:rsidRDefault="0035000C" w:rsidP="0035000C">
      <w:pPr>
        <w:spacing w:after="240" w:line="360" w:lineRule="auto"/>
        <w:jc w:val="both"/>
        <w:rPr>
          <w:rFonts w:ascii="Arial" w:hAnsi="Arial" w:cs="Arial"/>
          <w:snapToGrid w:val="0"/>
          <w:lang w:val="es-ES_tradnl"/>
        </w:rPr>
      </w:pPr>
      <w:r w:rsidRPr="0035000C">
        <w:rPr>
          <w:rFonts w:ascii="Arial" w:hAnsi="Arial" w:cs="Arial"/>
          <w:snapToGrid w:val="0"/>
          <w:lang w:val="es-ES_tradnl"/>
        </w:rPr>
        <w:t>El principio de progresividad —añade la Segunda Sala en la resolución indicada—</w:t>
      </w:r>
      <w:r w:rsidRPr="0035000C">
        <w:rPr>
          <w:rFonts w:ascii="Arial" w:hAnsi="Arial" w:cs="Arial"/>
          <w:snapToGrid w:val="0"/>
          <w:vertAlign w:val="superscript"/>
          <w:lang w:val="es-ES_tradnl"/>
        </w:rPr>
        <w:footnoteReference w:id="54"/>
      </w:r>
      <w:r w:rsidRPr="0035000C">
        <w:rPr>
          <w:rFonts w:ascii="Arial" w:hAnsi="Arial" w:cs="Arial"/>
          <w:snapToGrid w:val="0"/>
          <w:lang w:val="es-ES_tradnl"/>
        </w:rPr>
        <w:t xml:space="preserve"> se “predica </w:t>
      </w:r>
      <w:r w:rsidRPr="0035000C">
        <w:rPr>
          <w:rFonts w:ascii="Arial" w:hAnsi="Arial" w:cs="Arial"/>
          <w:i/>
          <w:snapToGrid w:val="0"/>
          <w:lang w:val="es-ES_tradnl"/>
        </w:rPr>
        <w:t>a la totalidad de los derechos humanos reconocidos por el mismo</w:t>
      </w:r>
      <w:r w:rsidRPr="0035000C">
        <w:rPr>
          <w:rFonts w:ascii="Arial" w:hAnsi="Arial" w:cs="Arial"/>
          <w:snapToGrid w:val="0"/>
          <w:lang w:val="es-ES_tradnl"/>
        </w:rPr>
        <w:t>, no sólo porque el artículo 1 constitucional no distingue su aplicación entre los derechos civiles y políticos, y los diversos económicos y sociales, sino porque esa fue la intención del Poder Revisor de la Constitución al reformar la norma constitucional, tal y como se desprende de los procesos legislativos respectivos”.</w:t>
      </w:r>
    </w:p>
    <w:p w14:paraId="1E4F0929" w14:textId="77777777" w:rsidR="0035000C" w:rsidRDefault="0035000C" w:rsidP="0035000C">
      <w:pPr>
        <w:spacing w:after="240" w:line="360" w:lineRule="auto"/>
        <w:jc w:val="both"/>
        <w:rPr>
          <w:rFonts w:ascii="Arial" w:hAnsi="Arial" w:cs="Arial"/>
          <w:b/>
          <w:snapToGrid w:val="0"/>
          <w:lang w:val="es-ES_tradnl"/>
        </w:rPr>
      </w:pPr>
      <w:r w:rsidRPr="0035000C">
        <w:rPr>
          <w:rFonts w:ascii="Arial" w:hAnsi="Arial" w:cs="Arial"/>
          <w:snapToGrid w:val="0"/>
          <w:lang w:val="es-ES_tradnl"/>
        </w:rPr>
        <w:t xml:space="preserve">La Corte Interamericana de Derechos Humanos también ha reconocido que las medidas regresivas no son en sí y por sí mismas inconvencionales, sin embargo, dichas medidas requieren de una consideración </w:t>
      </w:r>
      <w:r w:rsidRPr="0035000C">
        <w:rPr>
          <w:rFonts w:ascii="Arial" w:hAnsi="Arial" w:cs="Arial"/>
          <w:b/>
          <w:bCs/>
          <w:iCs/>
          <w:snapToGrid w:val="0"/>
          <w:lang w:val="es-ES_tradnl"/>
        </w:rPr>
        <w:t>más cuidadosa y deberán justificarse plenamente</w:t>
      </w:r>
      <w:r w:rsidRPr="0035000C">
        <w:rPr>
          <w:rFonts w:ascii="Arial" w:hAnsi="Arial" w:cs="Arial"/>
          <w:i/>
          <w:snapToGrid w:val="0"/>
          <w:lang w:val="es-ES_tradnl"/>
        </w:rPr>
        <w:t xml:space="preserve">, </w:t>
      </w:r>
      <w:r w:rsidRPr="0035000C">
        <w:rPr>
          <w:rFonts w:ascii="Arial" w:hAnsi="Arial" w:cs="Arial"/>
          <w:snapToGrid w:val="0"/>
          <w:lang w:val="es-ES_tradnl"/>
        </w:rPr>
        <w:t xml:space="preserve">de ahí que </w:t>
      </w:r>
      <w:r w:rsidRPr="0035000C">
        <w:rPr>
          <w:rFonts w:ascii="Arial" w:hAnsi="Arial" w:cs="Arial"/>
          <w:bCs/>
          <w:snapToGrid w:val="0"/>
          <w:lang w:val="es-ES_tradnl"/>
        </w:rPr>
        <w:t>"para evaluar si una medida regresiva es compatible con la Convención Americana, se deberá determinar si se encuentra justificada por razones de suficiente peso"</w:t>
      </w:r>
      <w:r w:rsidRPr="0035000C">
        <w:rPr>
          <w:rFonts w:ascii="Arial" w:hAnsi="Arial" w:cs="Arial"/>
          <w:bCs/>
          <w:snapToGrid w:val="0"/>
          <w:vertAlign w:val="superscript"/>
          <w:lang w:val="es-ES_tradnl"/>
        </w:rPr>
        <w:footnoteReference w:id="55"/>
      </w:r>
      <w:r w:rsidRPr="0035000C">
        <w:rPr>
          <w:rFonts w:ascii="Arial" w:hAnsi="Arial" w:cs="Arial"/>
          <w:b/>
          <w:snapToGrid w:val="0"/>
          <w:lang w:val="es-ES_tradnl"/>
        </w:rPr>
        <w:t>.</w:t>
      </w:r>
    </w:p>
    <w:p w14:paraId="591F1F78" w14:textId="77777777" w:rsidR="0028058F" w:rsidRPr="00EB766C" w:rsidRDefault="0028058F" w:rsidP="0028058F">
      <w:pPr>
        <w:spacing w:before="240" w:after="240" w:line="360" w:lineRule="auto"/>
        <w:jc w:val="both"/>
        <w:rPr>
          <w:rFonts w:ascii="Arial" w:eastAsia="Arial" w:hAnsi="Arial" w:cs="Arial"/>
          <w:vertAlign w:val="superscript"/>
          <w:lang w:val="es"/>
        </w:rPr>
      </w:pPr>
      <w:r w:rsidRPr="00EB766C">
        <w:rPr>
          <w:rFonts w:ascii="Arial" w:eastAsia="Arial" w:hAnsi="Arial" w:cs="Arial"/>
          <w:lang w:val="es"/>
        </w:rPr>
        <w:t xml:space="preserve">Por su parte, el Comité de Derechos Económicos, Sociales y Culturales de </w:t>
      </w:r>
      <w:r w:rsidR="00AC2621" w:rsidRPr="00EB766C">
        <w:rPr>
          <w:rFonts w:ascii="Arial" w:eastAsia="Arial" w:hAnsi="Arial" w:cs="Arial"/>
          <w:lang w:val="es"/>
        </w:rPr>
        <w:t xml:space="preserve">las </w:t>
      </w:r>
      <w:r w:rsidRPr="00EB766C">
        <w:rPr>
          <w:rFonts w:ascii="Arial" w:eastAsia="Arial" w:hAnsi="Arial" w:cs="Arial"/>
          <w:lang w:val="es"/>
        </w:rPr>
        <w:t>Naciones Unidas</w:t>
      </w:r>
      <w:r w:rsidRPr="00EB766C">
        <w:rPr>
          <w:rFonts w:ascii="Arial" w:eastAsia="Arial" w:hAnsi="Arial" w:cs="Arial"/>
        </w:rPr>
        <w:t xml:space="preserve"> ha señalado la necesidad de otorgar una atención especial a los grupos sociales que viven en condiciones desfavorables, por lo cual las medidas regresivas en materia de grupos vulnerables deben ser adoptadas en circunstancias extraordinarias y considerando todos los demás derechos</w:t>
      </w:r>
      <w:r w:rsidRPr="00EB766C">
        <w:rPr>
          <w:rStyle w:val="Refdenotaalpie"/>
          <w:rFonts w:ascii="Arial" w:eastAsia="Arial" w:hAnsi="Arial" w:cs="Arial"/>
          <w:lang w:val="es"/>
        </w:rPr>
        <w:footnoteReference w:id="56"/>
      </w:r>
      <w:r w:rsidRPr="00EB766C">
        <w:rPr>
          <w:rFonts w:ascii="Arial" w:eastAsia="Arial" w:hAnsi="Arial" w:cs="Arial"/>
        </w:rPr>
        <w:t>.</w:t>
      </w:r>
    </w:p>
    <w:p w14:paraId="1A071391" w14:textId="4ACA9765" w:rsidR="0035000C" w:rsidRDefault="0035000C" w:rsidP="0035000C">
      <w:pPr>
        <w:spacing w:before="240" w:after="240" w:line="360" w:lineRule="auto"/>
        <w:jc w:val="both"/>
        <w:rPr>
          <w:rFonts w:ascii="Arial" w:eastAsiaTheme="minorHAnsi" w:hAnsi="Arial" w:cs="Arial"/>
          <w:lang w:eastAsia="en-US"/>
        </w:rPr>
      </w:pPr>
      <w:r w:rsidRPr="0035000C">
        <w:rPr>
          <w:rFonts w:ascii="Arial" w:eastAsiaTheme="minorHAnsi" w:hAnsi="Arial" w:cs="Arial"/>
          <w:lang w:eastAsia="en-US"/>
        </w:rPr>
        <w:t>La Segunda Sala de la SCJN ha señalado que para considerar que una medida regresiva está justificada debe analizarse si:</w:t>
      </w:r>
      <w:r w:rsidRPr="0035000C">
        <w:rPr>
          <w:rFonts w:ascii="Arial" w:eastAsiaTheme="minorHAnsi" w:hAnsi="Arial" w:cs="Arial"/>
          <w:vertAlign w:val="superscript"/>
          <w:lang w:eastAsia="en-US"/>
        </w:rPr>
        <w:footnoteReference w:id="57"/>
      </w:r>
      <w:r w:rsidRPr="0035000C">
        <w:rPr>
          <w:rFonts w:ascii="Arial" w:eastAsiaTheme="minorHAnsi" w:hAnsi="Arial" w:cs="Arial"/>
          <w:lang w:eastAsia="en-US"/>
        </w:rPr>
        <w:t xml:space="preserve"> </w:t>
      </w:r>
      <w:r w:rsidRPr="0035000C">
        <w:rPr>
          <w:rFonts w:ascii="Arial" w:eastAsiaTheme="minorHAnsi" w:hAnsi="Arial" w:cs="Arial"/>
          <w:b/>
          <w:i/>
          <w:iCs/>
          <w:lang w:eastAsia="en-US"/>
        </w:rPr>
        <w:t>i)</w:t>
      </w:r>
      <w:r w:rsidRPr="0035000C">
        <w:rPr>
          <w:rFonts w:ascii="Arial" w:eastAsiaTheme="minorHAnsi" w:hAnsi="Arial" w:cs="Arial"/>
          <w:lang w:eastAsia="en-US"/>
        </w:rPr>
        <w:t xml:space="preserve"> dicha disminución tiene como finalidad esencial incrementar el grado de tutela de un derecho humano; y </w:t>
      </w:r>
      <w:r w:rsidRPr="0035000C">
        <w:rPr>
          <w:rFonts w:ascii="Arial" w:eastAsiaTheme="minorHAnsi" w:hAnsi="Arial" w:cs="Arial"/>
          <w:b/>
          <w:i/>
          <w:iCs/>
          <w:lang w:eastAsia="en-US"/>
        </w:rPr>
        <w:t>ii)</w:t>
      </w:r>
      <w:r w:rsidRPr="0035000C">
        <w:rPr>
          <w:rFonts w:ascii="Arial" w:eastAsiaTheme="minorHAnsi" w:hAnsi="Arial" w:cs="Arial"/>
          <w:lang w:eastAsia="en-US"/>
        </w:rPr>
        <w:t xml:space="preserve"> </w:t>
      </w:r>
      <w:bookmarkStart w:id="35" w:name="_Hlk47212982"/>
      <w:r w:rsidRPr="0035000C">
        <w:rPr>
          <w:rFonts w:ascii="Arial" w:eastAsiaTheme="minorHAnsi" w:hAnsi="Arial" w:cs="Arial"/>
          <w:lang w:eastAsia="en-US"/>
        </w:rPr>
        <w:t>genera un equilibrio razonable entre los derechos fundamentales en juego, sin afectar de manera desmedida la eficacia de alguno de ellos.</w:t>
      </w:r>
      <w:bookmarkEnd w:id="35"/>
    </w:p>
    <w:p w14:paraId="1D4C9761" w14:textId="77777777" w:rsidR="009956E6" w:rsidRPr="009104F9" w:rsidRDefault="009956E6" w:rsidP="009956E6">
      <w:pPr>
        <w:pStyle w:val="Sinespaciado"/>
        <w:spacing w:line="360" w:lineRule="auto"/>
        <w:jc w:val="both"/>
        <w:rPr>
          <w:rFonts w:ascii="Arial" w:hAnsi="Arial" w:cs="Arial"/>
          <w:sz w:val="24"/>
          <w:szCs w:val="24"/>
        </w:rPr>
      </w:pPr>
      <w:r w:rsidRPr="009104F9">
        <w:rPr>
          <w:rFonts w:ascii="Arial" w:hAnsi="Arial" w:cs="Arial"/>
          <w:sz w:val="24"/>
          <w:szCs w:val="24"/>
        </w:rPr>
        <w:t xml:space="preserve">La </w:t>
      </w:r>
      <w:r w:rsidRPr="009104F9">
        <w:rPr>
          <w:rFonts w:ascii="Arial" w:hAnsi="Arial" w:cs="Arial"/>
          <w:b/>
          <w:sz w:val="24"/>
          <w:szCs w:val="24"/>
        </w:rPr>
        <w:t>irreversibilidad</w:t>
      </w:r>
      <w:r w:rsidRPr="009104F9">
        <w:rPr>
          <w:rFonts w:ascii="Arial" w:hAnsi="Arial" w:cs="Arial"/>
          <w:sz w:val="24"/>
          <w:szCs w:val="24"/>
        </w:rPr>
        <w:t xml:space="preserve"> (aunque no es absoluta ni para todos los casos), se traduce en la imposibilidad de que se reduzca un derecho o una protección ya reconocida, con la finalidad de lograr la </w:t>
      </w:r>
      <w:r w:rsidRPr="009104F9">
        <w:rPr>
          <w:rFonts w:ascii="Arial" w:hAnsi="Arial" w:cs="Arial"/>
          <w:b/>
          <w:sz w:val="24"/>
          <w:szCs w:val="24"/>
        </w:rPr>
        <w:t xml:space="preserve">conservación o no derogación del régimen más favorable, </w:t>
      </w:r>
      <w:r w:rsidRPr="009104F9">
        <w:rPr>
          <w:rFonts w:ascii="Arial" w:hAnsi="Arial" w:cs="Arial"/>
          <w:sz w:val="24"/>
          <w:szCs w:val="24"/>
        </w:rPr>
        <w:t xml:space="preserve">en este caso, para quienes podían ser electos para una </w:t>
      </w:r>
      <w:r w:rsidRPr="009104F9">
        <w:rPr>
          <w:rFonts w:ascii="Arial" w:hAnsi="Arial" w:cs="Arial"/>
          <w:i/>
          <w:sz w:val="24"/>
          <w:szCs w:val="24"/>
        </w:rPr>
        <w:t>diputación migrante</w:t>
      </w:r>
      <w:r w:rsidRPr="009104F9">
        <w:rPr>
          <w:rFonts w:ascii="Arial" w:hAnsi="Arial" w:cs="Arial"/>
          <w:sz w:val="24"/>
          <w:szCs w:val="24"/>
        </w:rPr>
        <w:t>.</w:t>
      </w:r>
    </w:p>
    <w:p w14:paraId="4ACBD2F2" w14:textId="77777777" w:rsidR="009956E6" w:rsidRPr="009104F9" w:rsidRDefault="009956E6" w:rsidP="009956E6">
      <w:pPr>
        <w:pStyle w:val="Sinespaciado"/>
        <w:spacing w:line="360" w:lineRule="auto"/>
        <w:jc w:val="both"/>
        <w:rPr>
          <w:rFonts w:ascii="Arial" w:hAnsi="Arial" w:cs="Arial"/>
          <w:sz w:val="24"/>
          <w:szCs w:val="24"/>
        </w:rPr>
      </w:pPr>
    </w:p>
    <w:p w14:paraId="1E58261A" w14:textId="597DD11B" w:rsidR="009956E6" w:rsidRPr="009104F9" w:rsidRDefault="009956E6" w:rsidP="009956E6">
      <w:pPr>
        <w:pStyle w:val="Sinespaciado"/>
        <w:spacing w:line="360" w:lineRule="auto"/>
        <w:jc w:val="both"/>
        <w:rPr>
          <w:rFonts w:ascii="Arial" w:hAnsi="Arial" w:cs="Arial"/>
          <w:sz w:val="24"/>
          <w:szCs w:val="24"/>
        </w:rPr>
      </w:pPr>
      <w:r w:rsidRPr="009104F9">
        <w:rPr>
          <w:rFonts w:ascii="Arial" w:hAnsi="Arial" w:cs="Arial"/>
          <w:sz w:val="24"/>
          <w:szCs w:val="24"/>
        </w:rPr>
        <w:t xml:space="preserve">De conformidad con la no </w:t>
      </w:r>
      <w:r w:rsidRPr="009104F9">
        <w:rPr>
          <w:rFonts w:ascii="Arial" w:hAnsi="Arial" w:cs="Arial"/>
          <w:b/>
          <w:sz w:val="24"/>
          <w:szCs w:val="24"/>
        </w:rPr>
        <w:t xml:space="preserve">regresividad </w:t>
      </w:r>
      <w:r w:rsidRPr="009104F9">
        <w:rPr>
          <w:rFonts w:ascii="Arial" w:hAnsi="Arial" w:cs="Arial"/>
          <w:sz w:val="24"/>
          <w:szCs w:val="24"/>
        </w:rPr>
        <w:t xml:space="preserve">de los derechos humanos (correlativa de la progresividad), las autoridades del Estado mexicano (incluidas las legislativas) no pueden válidamente adoptar medidas (legislativas) tendientes a retrotraer o menoscabar un derecho ya reconocido o disminuir su umbral, produciendo una situación jurídica desfavorable, pues ello implicaría violación a los derechos en juego, que en el caso, es precisamente la posibilidad de elegir </w:t>
      </w:r>
      <w:r w:rsidRPr="009104F9">
        <w:rPr>
          <w:rFonts w:ascii="Arial" w:hAnsi="Arial" w:cs="Arial"/>
          <w:i/>
          <w:sz w:val="24"/>
          <w:szCs w:val="24"/>
        </w:rPr>
        <w:t xml:space="preserve">diputaciones migrantes </w:t>
      </w:r>
      <w:r w:rsidRPr="009104F9">
        <w:rPr>
          <w:rFonts w:ascii="Arial" w:hAnsi="Arial" w:cs="Arial"/>
          <w:sz w:val="24"/>
          <w:szCs w:val="24"/>
        </w:rPr>
        <w:t>de entre las y los mexicanos originarios de la CDMX que residan en el extranjero.</w:t>
      </w:r>
    </w:p>
    <w:p w14:paraId="1C865468" w14:textId="772B7E73" w:rsidR="0035000C" w:rsidRDefault="0035000C" w:rsidP="0035000C">
      <w:pPr>
        <w:spacing w:before="240" w:after="240" w:line="360" w:lineRule="auto"/>
        <w:jc w:val="both"/>
        <w:rPr>
          <w:rFonts w:ascii="Arial" w:eastAsiaTheme="minorHAnsi" w:hAnsi="Arial" w:cs="Arial"/>
          <w:lang w:val="es-MX" w:eastAsia="en-US"/>
        </w:rPr>
      </w:pPr>
      <w:r w:rsidRPr="0035000C">
        <w:rPr>
          <w:rFonts w:ascii="Arial" w:eastAsiaTheme="minorHAnsi" w:hAnsi="Arial" w:cs="Arial"/>
          <w:lang w:val="es-MX" w:eastAsia="en-US"/>
        </w:rPr>
        <w:t>La Corte Constitucional de Colombia ha considerado que una medida es regresiva cuando:</w:t>
      </w:r>
      <w:r w:rsidR="00425103">
        <w:rPr>
          <w:rStyle w:val="Refdenotaalpie"/>
          <w:rFonts w:ascii="Arial" w:eastAsiaTheme="minorHAnsi" w:hAnsi="Arial" w:cs="Arial"/>
          <w:lang w:val="es-MX" w:eastAsia="en-US"/>
        </w:rPr>
        <w:footnoteReference w:id="58"/>
      </w:r>
      <w:r w:rsidRPr="0035000C">
        <w:rPr>
          <w:rFonts w:ascii="Arial" w:eastAsiaTheme="minorHAnsi" w:hAnsi="Arial" w:cs="Arial"/>
          <w:b/>
          <w:i/>
          <w:lang w:val="es-MX" w:eastAsia="en-US"/>
        </w:rPr>
        <w:t xml:space="preserve"> </w:t>
      </w:r>
      <w:r w:rsidRPr="0035000C">
        <w:rPr>
          <w:rFonts w:ascii="Arial" w:eastAsiaTheme="minorHAnsi" w:hAnsi="Arial" w:cs="Arial"/>
          <w:b/>
          <w:bCs/>
          <w:i/>
          <w:lang w:val="es-MX" w:eastAsia="en-US"/>
        </w:rPr>
        <w:t>i)</w:t>
      </w:r>
      <w:r w:rsidRPr="0035000C">
        <w:rPr>
          <w:rFonts w:ascii="Arial" w:eastAsiaTheme="minorHAnsi" w:hAnsi="Arial" w:cs="Arial"/>
          <w:bCs/>
          <w:lang w:val="es-MX" w:eastAsia="en-US"/>
        </w:rPr>
        <w:t xml:space="preserve"> </w:t>
      </w:r>
      <w:r w:rsidRPr="0035000C">
        <w:rPr>
          <w:rFonts w:ascii="Arial" w:eastAsiaTheme="minorHAnsi" w:hAnsi="Arial" w:cs="Arial"/>
          <w:lang w:val="es-MX" w:eastAsia="en-US"/>
        </w:rPr>
        <w:t xml:space="preserve">se recorta o limita el ámbito sustantivo de protección del derecho involucrado; </w:t>
      </w:r>
      <w:r w:rsidRPr="0035000C">
        <w:rPr>
          <w:rFonts w:ascii="Arial" w:eastAsiaTheme="minorHAnsi" w:hAnsi="Arial" w:cs="Arial"/>
          <w:b/>
          <w:bCs/>
          <w:i/>
          <w:lang w:val="es-MX" w:eastAsia="en-US"/>
        </w:rPr>
        <w:t>ii)</w:t>
      </w:r>
      <w:r w:rsidRPr="0035000C">
        <w:rPr>
          <w:rFonts w:ascii="Arial" w:eastAsiaTheme="minorHAnsi" w:hAnsi="Arial" w:cs="Arial"/>
          <w:bCs/>
          <w:lang w:val="es-MX" w:eastAsia="en-US"/>
        </w:rPr>
        <w:t xml:space="preserve"> </w:t>
      </w:r>
      <w:r w:rsidRPr="0035000C">
        <w:rPr>
          <w:rFonts w:ascii="Arial" w:eastAsiaTheme="minorHAnsi" w:hAnsi="Arial" w:cs="Arial"/>
          <w:lang w:val="es-MX" w:eastAsia="en-US"/>
        </w:rPr>
        <w:t xml:space="preserve">cuando aumentan sustancialmente los requisitos exigidos para acceder al respectivo derecho; y </w:t>
      </w:r>
      <w:r w:rsidRPr="0035000C">
        <w:rPr>
          <w:rFonts w:ascii="Arial" w:eastAsiaTheme="minorHAnsi" w:hAnsi="Arial" w:cs="Arial"/>
          <w:b/>
          <w:bCs/>
          <w:i/>
          <w:lang w:val="es-MX" w:eastAsia="en-US"/>
        </w:rPr>
        <w:t>iii)</w:t>
      </w:r>
      <w:r w:rsidRPr="0035000C">
        <w:rPr>
          <w:rFonts w:ascii="Arial" w:eastAsiaTheme="minorHAnsi" w:hAnsi="Arial" w:cs="Arial"/>
          <w:b/>
          <w:bCs/>
          <w:lang w:val="es-MX" w:eastAsia="en-US"/>
        </w:rPr>
        <w:t xml:space="preserve"> </w:t>
      </w:r>
      <w:r w:rsidRPr="0035000C">
        <w:rPr>
          <w:rFonts w:ascii="Arial" w:eastAsiaTheme="minorHAnsi" w:hAnsi="Arial" w:cs="Arial"/>
          <w:lang w:val="es-MX" w:eastAsia="en-US"/>
        </w:rPr>
        <w:t>cuando disminuye</w:t>
      </w:r>
      <w:r w:rsidR="00331546">
        <w:rPr>
          <w:rFonts w:ascii="Arial" w:eastAsiaTheme="minorHAnsi" w:hAnsi="Arial" w:cs="Arial"/>
          <w:lang w:val="es-MX" w:eastAsia="en-US"/>
        </w:rPr>
        <w:t>n</w:t>
      </w:r>
      <w:r w:rsidRPr="0035000C">
        <w:rPr>
          <w:rFonts w:ascii="Arial" w:eastAsiaTheme="minorHAnsi" w:hAnsi="Arial" w:cs="Arial"/>
          <w:lang w:val="es-MX" w:eastAsia="en-US"/>
        </w:rPr>
        <w:t xml:space="preserve"> o desvían sensiblemente los recursos públicos destinados a su satisfacción. </w:t>
      </w:r>
    </w:p>
    <w:p w14:paraId="6860CC22" w14:textId="1A0EE8B1" w:rsidR="00A558E0" w:rsidRDefault="0035000C" w:rsidP="0035000C">
      <w:pPr>
        <w:spacing w:before="240" w:after="240" w:line="360" w:lineRule="auto"/>
        <w:jc w:val="both"/>
        <w:rPr>
          <w:rFonts w:ascii="Arial" w:eastAsiaTheme="minorHAnsi" w:hAnsi="Arial" w:cs="Arial"/>
          <w:lang w:eastAsia="en-US"/>
        </w:rPr>
      </w:pPr>
      <w:r w:rsidRPr="0035000C">
        <w:rPr>
          <w:rFonts w:ascii="Arial" w:eastAsiaTheme="minorHAnsi" w:hAnsi="Arial" w:cs="Arial"/>
          <w:lang w:val="es-MX" w:eastAsia="en-US"/>
        </w:rPr>
        <w:t xml:space="preserve">De igual forma, </w:t>
      </w:r>
      <w:r>
        <w:rPr>
          <w:rFonts w:ascii="Arial" w:eastAsiaTheme="minorHAnsi" w:hAnsi="Arial" w:cs="Arial"/>
          <w:lang w:val="es-MX" w:eastAsia="en-US"/>
        </w:rPr>
        <w:t>ese Tribuna</w:t>
      </w:r>
      <w:r w:rsidR="00331546">
        <w:rPr>
          <w:rFonts w:ascii="Arial" w:eastAsiaTheme="minorHAnsi" w:hAnsi="Arial" w:cs="Arial"/>
          <w:lang w:val="es-MX" w:eastAsia="en-US"/>
        </w:rPr>
        <w:t>l</w:t>
      </w:r>
      <w:r>
        <w:rPr>
          <w:rFonts w:ascii="Arial" w:eastAsiaTheme="minorHAnsi" w:hAnsi="Arial" w:cs="Arial"/>
          <w:lang w:val="es-MX" w:eastAsia="en-US"/>
        </w:rPr>
        <w:t xml:space="preserve"> Constitucional</w:t>
      </w:r>
      <w:r w:rsidRPr="0035000C">
        <w:rPr>
          <w:rFonts w:ascii="Arial" w:eastAsiaTheme="minorHAnsi" w:hAnsi="Arial" w:cs="Arial"/>
          <w:lang w:val="es-MX" w:eastAsia="en-US"/>
        </w:rPr>
        <w:t xml:space="preserve"> ha estimado que para determinar si una medida es regresiva corresponde al Estado demostrar que la medida sujeta a control constitucional debe pasar una especie de test de proporcionalidad. Más recientemente,</w:t>
      </w:r>
      <w:r w:rsidR="000B016E">
        <w:rPr>
          <w:rStyle w:val="Refdenotaalpie"/>
          <w:rFonts w:ascii="Arial" w:eastAsiaTheme="minorHAnsi" w:hAnsi="Arial" w:cs="Arial"/>
          <w:lang w:val="es-MX" w:eastAsia="en-US"/>
        </w:rPr>
        <w:footnoteReference w:id="59"/>
      </w:r>
      <w:r w:rsidRPr="0035000C">
        <w:rPr>
          <w:rFonts w:ascii="Arial" w:eastAsiaTheme="minorHAnsi" w:hAnsi="Arial" w:cs="Arial"/>
          <w:lang w:val="es-MX" w:eastAsia="en-US"/>
        </w:rPr>
        <w:t xml:space="preserve"> ha añadido las siguientes exigencias </w:t>
      </w:r>
      <w:r w:rsidRPr="0035000C">
        <w:rPr>
          <w:rFonts w:ascii="Arial" w:eastAsiaTheme="minorHAnsi" w:hAnsi="Arial" w:cs="Arial"/>
          <w:lang w:eastAsia="en-US"/>
        </w:rPr>
        <w:t>para la implementación de una medida regresiva, la autoridad responsable debe:</w:t>
      </w:r>
      <w:r w:rsidRPr="0035000C">
        <w:rPr>
          <w:rFonts w:ascii="Arial" w:eastAsiaTheme="minorHAnsi" w:hAnsi="Arial" w:cs="Arial"/>
          <w:b/>
          <w:i/>
          <w:lang w:eastAsia="en-US"/>
        </w:rPr>
        <w:t xml:space="preserve"> i)</w:t>
      </w:r>
      <w:r w:rsidRPr="0035000C">
        <w:rPr>
          <w:rFonts w:ascii="Arial" w:eastAsiaTheme="minorHAnsi" w:hAnsi="Arial" w:cs="Arial"/>
          <w:lang w:eastAsia="en-US"/>
        </w:rPr>
        <w:t xml:space="preserve"> identificar la constitucionalidad de la medida y </w:t>
      </w:r>
      <w:r w:rsidRPr="0035000C">
        <w:rPr>
          <w:rFonts w:ascii="Arial" w:eastAsiaTheme="minorHAnsi" w:hAnsi="Arial" w:cs="Arial"/>
          <w:b/>
          <w:i/>
          <w:lang w:eastAsia="en-US"/>
        </w:rPr>
        <w:t>ii)</w:t>
      </w:r>
      <w:r w:rsidRPr="0035000C">
        <w:rPr>
          <w:rFonts w:ascii="Arial" w:eastAsiaTheme="minorHAnsi" w:hAnsi="Arial" w:cs="Arial"/>
          <w:lang w:eastAsia="en-US"/>
        </w:rPr>
        <w:t xml:space="preserve"> considerar la inclusión de un proceso deliberativo en el que se incluya a los sectores afectados con la regresión, aun cuando la medida sea emitida por una autoridad administrativa.</w:t>
      </w:r>
    </w:p>
    <w:p w14:paraId="64841096" w14:textId="77777777" w:rsidR="0035000C" w:rsidRPr="0035000C" w:rsidRDefault="0035000C" w:rsidP="0035000C">
      <w:pPr>
        <w:spacing w:after="160" w:line="360" w:lineRule="auto"/>
        <w:jc w:val="both"/>
        <w:rPr>
          <w:rFonts w:ascii="Arial" w:eastAsiaTheme="minorHAnsi" w:hAnsi="Arial" w:cs="Arial"/>
          <w:lang w:val="es-MX" w:eastAsia="en-US"/>
        </w:rPr>
      </w:pPr>
      <w:r w:rsidRPr="0035000C">
        <w:rPr>
          <w:rFonts w:ascii="Arial" w:eastAsiaTheme="minorHAnsi" w:hAnsi="Arial" w:cs="Arial"/>
          <w:lang w:val="es-MX" w:eastAsia="en-US"/>
        </w:rPr>
        <w:t>En concordancia con lo anterior, esta Sala Superior considera que para analizar si una medida supuestamente regresiva resulta válida o justificada debe examinarse si:</w:t>
      </w:r>
    </w:p>
    <w:p w14:paraId="397D3B56" w14:textId="77777777" w:rsidR="0035000C" w:rsidRPr="0035000C" w:rsidRDefault="0035000C" w:rsidP="00991F83">
      <w:pPr>
        <w:numPr>
          <w:ilvl w:val="0"/>
          <w:numId w:val="9"/>
        </w:numPr>
        <w:spacing w:after="160" w:line="360" w:lineRule="auto"/>
        <w:contextualSpacing/>
        <w:jc w:val="both"/>
        <w:rPr>
          <w:rFonts w:ascii="Arial" w:eastAsiaTheme="minorHAnsi" w:hAnsi="Arial" w:cs="Arial"/>
          <w:lang w:val="es-MX" w:eastAsia="en-US"/>
        </w:rPr>
      </w:pPr>
      <w:r w:rsidRPr="0035000C">
        <w:rPr>
          <w:rFonts w:ascii="Arial" w:eastAsiaTheme="minorHAnsi" w:hAnsi="Arial" w:cs="Arial"/>
          <w:lang w:eastAsia="en-US"/>
        </w:rPr>
        <w:t>Dicha medida tiene como finalidad esencial incrementar el grado de tutela de un derecho humano;</w:t>
      </w:r>
    </w:p>
    <w:p w14:paraId="145A1ADA" w14:textId="77777777" w:rsidR="0035000C" w:rsidRPr="0035000C" w:rsidRDefault="0035000C" w:rsidP="00991F83">
      <w:pPr>
        <w:numPr>
          <w:ilvl w:val="0"/>
          <w:numId w:val="9"/>
        </w:numPr>
        <w:spacing w:after="160" w:line="360" w:lineRule="auto"/>
        <w:contextualSpacing/>
        <w:jc w:val="both"/>
        <w:rPr>
          <w:rFonts w:ascii="Arial" w:eastAsiaTheme="minorHAnsi" w:hAnsi="Arial" w:cs="Arial"/>
          <w:lang w:val="es-MX" w:eastAsia="en-US"/>
        </w:rPr>
      </w:pPr>
      <w:r w:rsidRPr="0035000C">
        <w:rPr>
          <w:rFonts w:ascii="Arial" w:eastAsiaTheme="minorHAnsi" w:hAnsi="Arial" w:cs="Arial"/>
          <w:lang w:val="es-MX" w:eastAsia="en-US"/>
        </w:rPr>
        <w:t xml:space="preserve">Se recorta o limita el ámbito sustantivo de protección del derecho involucrado; </w:t>
      </w:r>
    </w:p>
    <w:p w14:paraId="5FC4D10B" w14:textId="77777777" w:rsidR="0035000C" w:rsidRPr="0035000C" w:rsidRDefault="0035000C" w:rsidP="00991F83">
      <w:pPr>
        <w:numPr>
          <w:ilvl w:val="0"/>
          <w:numId w:val="9"/>
        </w:numPr>
        <w:spacing w:after="160" w:line="360" w:lineRule="auto"/>
        <w:contextualSpacing/>
        <w:jc w:val="both"/>
        <w:rPr>
          <w:rFonts w:ascii="Arial" w:eastAsiaTheme="minorHAnsi" w:hAnsi="Arial" w:cs="Arial"/>
          <w:lang w:val="es-MX" w:eastAsia="en-US"/>
        </w:rPr>
      </w:pPr>
      <w:r w:rsidRPr="0035000C">
        <w:rPr>
          <w:rFonts w:ascii="Arial" w:eastAsiaTheme="minorHAnsi" w:hAnsi="Arial" w:cs="Arial"/>
          <w:lang w:eastAsia="en-US"/>
        </w:rPr>
        <w:t>La medida está justificada por razones de peso;</w:t>
      </w:r>
    </w:p>
    <w:p w14:paraId="1C948783" w14:textId="77777777" w:rsidR="0035000C" w:rsidRPr="0035000C" w:rsidRDefault="0035000C" w:rsidP="00991F83">
      <w:pPr>
        <w:numPr>
          <w:ilvl w:val="0"/>
          <w:numId w:val="9"/>
        </w:numPr>
        <w:spacing w:after="160" w:line="360" w:lineRule="auto"/>
        <w:contextualSpacing/>
        <w:jc w:val="both"/>
        <w:rPr>
          <w:rFonts w:ascii="Arial" w:eastAsiaTheme="minorHAnsi" w:hAnsi="Arial" w:cs="Arial"/>
          <w:lang w:val="es-MX" w:eastAsia="en-US"/>
        </w:rPr>
      </w:pPr>
      <w:r w:rsidRPr="0035000C">
        <w:rPr>
          <w:rFonts w:ascii="Arial" w:eastAsiaTheme="minorHAnsi" w:hAnsi="Arial" w:cs="Arial"/>
          <w:lang w:val="es-MX" w:eastAsia="en-US"/>
        </w:rPr>
        <w:t>Cuando disminuye o desvían sensiblemente los recursos públicos destinados a su satisfacción, y</w:t>
      </w:r>
    </w:p>
    <w:p w14:paraId="091F7161" w14:textId="77777777" w:rsidR="0035000C" w:rsidRPr="0035000C" w:rsidRDefault="0035000C" w:rsidP="00991F83">
      <w:pPr>
        <w:numPr>
          <w:ilvl w:val="0"/>
          <w:numId w:val="9"/>
        </w:numPr>
        <w:spacing w:after="160" w:line="360" w:lineRule="auto"/>
        <w:contextualSpacing/>
        <w:jc w:val="both"/>
        <w:rPr>
          <w:rFonts w:ascii="Arial" w:eastAsiaTheme="minorHAnsi" w:hAnsi="Arial" w:cs="Arial"/>
          <w:lang w:eastAsia="en-US"/>
        </w:rPr>
      </w:pPr>
      <w:r w:rsidRPr="0035000C">
        <w:rPr>
          <w:rFonts w:ascii="Arial" w:eastAsiaTheme="minorHAnsi" w:hAnsi="Arial" w:cs="Arial"/>
          <w:lang w:eastAsia="en-US"/>
        </w:rPr>
        <w:t>Genera un equilibrio razonable entre los derechos fundamentales en juego, sin afectar de manera desmedida la eficacia de alguno de ellos.</w:t>
      </w:r>
    </w:p>
    <w:p w14:paraId="164D3FFA" w14:textId="77777777" w:rsidR="0035000C" w:rsidRPr="0035000C" w:rsidRDefault="0035000C" w:rsidP="0035000C">
      <w:pPr>
        <w:spacing w:line="360" w:lineRule="auto"/>
        <w:ind w:left="1080"/>
        <w:contextualSpacing/>
        <w:jc w:val="both"/>
        <w:rPr>
          <w:rFonts w:ascii="Arial" w:eastAsiaTheme="minorHAnsi" w:hAnsi="Arial" w:cs="Arial"/>
          <w:lang w:eastAsia="en-US"/>
        </w:rPr>
      </w:pPr>
    </w:p>
    <w:p w14:paraId="2C9C13F7" w14:textId="77777777" w:rsidR="0035000C" w:rsidRPr="0035000C" w:rsidRDefault="0035000C" w:rsidP="0035000C">
      <w:pPr>
        <w:spacing w:after="160" w:line="360" w:lineRule="auto"/>
        <w:jc w:val="both"/>
        <w:rPr>
          <w:rFonts w:ascii="Arial" w:eastAsiaTheme="minorHAnsi" w:hAnsi="Arial" w:cs="Arial"/>
          <w:lang w:val="es-MX" w:eastAsia="en-US"/>
        </w:rPr>
      </w:pPr>
      <w:r w:rsidRPr="0035000C">
        <w:rPr>
          <w:rFonts w:ascii="Arial" w:eastAsiaTheme="minorHAnsi" w:hAnsi="Arial" w:cs="Arial"/>
          <w:lang w:val="es-MX" w:eastAsia="en-US"/>
        </w:rPr>
        <w:t xml:space="preserve">En la especie, la medida bajo escrutinio, es decir, el acto derogatorio que suprimió el derecho al sufragio tanto activo como pasivo en relación con la diputación migrante en la Ciudad de México, no satisface el mencionado test, por las siguientes razones: </w:t>
      </w:r>
    </w:p>
    <w:p w14:paraId="7AB6C2C5" w14:textId="77777777" w:rsidR="0035000C" w:rsidRPr="0035000C" w:rsidRDefault="0035000C" w:rsidP="0035000C">
      <w:pPr>
        <w:spacing w:after="160" w:line="360" w:lineRule="auto"/>
        <w:jc w:val="both"/>
        <w:rPr>
          <w:rFonts w:ascii="Arial" w:eastAsiaTheme="minorHAnsi" w:hAnsi="Arial" w:cs="Arial"/>
          <w:lang w:val="es-MX" w:eastAsia="en-US"/>
        </w:rPr>
      </w:pPr>
      <w:r w:rsidRPr="0035000C">
        <w:rPr>
          <w:rFonts w:ascii="Arial" w:eastAsiaTheme="minorHAnsi" w:hAnsi="Arial" w:cs="Arial"/>
          <w:lang w:val="es-MX" w:eastAsia="en-US"/>
        </w:rPr>
        <w:t xml:space="preserve">En primer lugar, no se satisface la condición </w:t>
      </w:r>
      <w:r w:rsidRPr="0035000C">
        <w:rPr>
          <w:rFonts w:ascii="Arial" w:eastAsiaTheme="minorHAnsi" w:hAnsi="Arial" w:cs="Arial"/>
          <w:i/>
          <w:iCs/>
          <w:lang w:val="es-MX" w:eastAsia="en-US"/>
        </w:rPr>
        <w:t>(i)</w:t>
      </w:r>
      <w:r w:rsidRPr="0035000C">
        <w:rPr>
          <w:rFonts w:ascii="Arial" w:eastAsiaTheme="minorHAnsi" w:hAnsi="Arial" w:cs="Arial"/>
          <w:lang w:val="es-MX" w:eastAsia="en-US"/>
        </w:rPr>
        <w:t xml:space="preserve"> porque la medida bajo escrutinio, lejos de incrementar el grado de tutela de un derecho humano, o bien regularlo de alguna forma sin afectar su contenido esencial, suprimió el derecho humano fundamental al voto </w:t>
      </w:r>
      <w:r w:rsidR="00331546">
        <w:rPr>
          <w:rFonts w:ascii="Arial" w:eastAsiaTheme="minorHAnsi" w:hAnsi="Arial" w:cs="Arial"/>
          <w:lang w:val="es-MX" w:eastAsia="en-US"/>
        </w:rPr>
        <w:t>–</w:t>
      </w:r>
      <w:r w:rsidRPr="0035000C">
        <w:rPr>
          <w:rFonts w:ascii="Arial" w:eastAsiaTheme="minorHAnsi" w:hAnsi="Arial" w:cs="Arial"/>
          <w:lang w:val="es-MX" w:eastAsia="en-US"/>
        </w:rPr>
        <w:t>tanto activo como pasivo</w:t>
      </w:r>
      <w:r w:rsidR="00331546">
        <w:rPr>
          <w:rFonts w:ascii="Arial" w:eastAsiaTheme="minorHAnsi" w:hAnsi="Arial" w:cs="Arial"/>
          <w:lang w:val="es-MX" w:eastAsia="en-US"/>
        </w:rPr>
        <w:t>–</w:t>
      </w:r>
      <w:r w:rsidRPr="0035000C">
        <w:rPr>
          <w:rFonts w:ascii="Arial" w:eastAsiaTheme="minorHAnsi" w:hAnsi="Arial" w:cs="Arial"/>
          <w:lang w:val="es-MX" w:eastAsia="en-US"/>
        </w:rPr>
        <w:t xml:space="preserve"> de ciudadanas y ciudadanos originarios de la Ciudad de México y residentes en el extranjero </w:t>
      </w:r>
      <w:r w:rsidRPr="0035000C">
        <w:rPr>
          <w:rFonts w:ascii="Arial" w:hAnsi="Arial" w:cs="Arial"/>
          <w:bCs/>
          <w:lang w:eastAsia="es-MX"/>
        </w:rPr>
        <w:t>para el proceso electoral dos mil veintiuno-dos mil veintidós (2020-2021)</w:t>
      </w:r>
      <w:r w:rsidR="0058188E">
        <w:rPr>
          <w:rFonts w:ascii="Arial" w:hAnsi="Arial" w:cs="Arial"/>
          <w:bCs/>
          <w:lang w:eastAsia="es-MX"/>
        </w:rPr>
        <w:t>.</w:t>
      </w:r>
      <w:r w:rsidRPr="0035000C">
        <w:rPr>
          <w:rFonts w:ascii="Arial" w:hAnsi="Arial" w:cs="Arial"/>
          <w:bCs/>
          <w:lang w:eastAsia="es-MX"/>
        </w:rPr>
        <w:t xml:space="preserve"> </w:t>
      </w:r>
    </w:p>
    <w:p w14:paraId="505AE9D0" w14:textId="77777777" w:rsidR="0035000C" w:rsidRPr="0035000C" w:rsidRDefault="0035000C" w:rsidP="0035000C">
      <w:pPr>
        <w:spacing w:after="160" w:line="360" w:lineRule="auto"/>
        <w:jc w:val="both"/>
        <w:rPr>
          <w:rFonts w:ascii="Arial" w:eastAsiaTheme="minorHAnsi" w:hAnsi="Arial" w:cs="Arial"/>
          <w:lang w:val="es-MX" w:eastAsia="en-US"/>
        </w:rPr>
      </w:pPr>
      <w:r>
        <w:rPr>
          <w:rFonts w:ascii="Arial" w:eastAsiaTheme="minorHAnsi" w:hAnsi="Arial" w:cs="Arial"/>
          <w:lang w:val="es-MX" w:eastAsia="en-US"/>
        </w:rPr>
        <w:t>En</w:t>
      </w:r>
      <w:r w:rsidRPr="0035000C">
        <w:rPr>
          <w:rFonts w:ascii="Arial" w:eastAsiaTheme="minorHAnsi" w:hAnsi="Arial" w:cs="Arial"/>
          <w:lang w:val="es-MX" w:eastAsia="en-US"/>
        </w:rPr>
        <w:t xml:space="preserve"> segundo término, la medida legislativa bajo estudio tampoco satisface la condición </w:t>
      </w:r>
      <w:r w:rsidRPr="0035000C">
        <w:rPr>
          <w:rFonts w:ascii="Arial" w:eastAsiaTheme="minorHAnsi" w:hAnsi="Arial" w:cs="Arial"/>
          <w:i/>
          <w:iCs/>
          <w:lang w:val="es-MX" w:eastAsia="en-US"/>
        </w:rPr>
        <w:t>(ii)</w:t>
      </w:r>
      <w:r w:rsidRPr="0035000C">
        <w:rPr>
          <w:rFonts w:ascii="Arial" w:eastAsiaTheme="minorHAnsi" w:hAnsi="Arial" w:cs="Arial"/>
          <w:lang w:val="es-MX" w:eastAsia="en-US"/>
        </w:rPr>
        <w:t xml:space="preserve">, ya que suprime completamente toda dimensión o ámbito del derecho humano fundamental del derecho a votar y ser votado relacionado con la diputación migrante, es decir, elimina los ámbitos de validez del derecho de que se trata: el personal (los derechohabientes o titulares del derecho); el material (el contenido esencial del derecho); el temporal (la vigencia del derecho) y </w:t>
      </w:r>
      <w:r w:rsidR="00565E10">
        <w:rPr>
          <w:rFonts w:ascii="Arial" w:eastAsiaTheme="minorHAnsi" w:hAnsi="Arial" w:cs="Arial"/>
          <w:lang w:val="es-MX" w:eastAsia="en-US"/>
        </w:rPr>
        <w:t xml:space="preserve">el </w:t>
      </w:r>
      <w:r w:rsidRPr="0035000C">
        <w:rPr>
          <w:rFonts w:ascii="Arial" w:eastAsiaTheme="minorHAnsi" w:hAnsi="Arial" w:cs="Arial"/>
          <w:lang w:val="es-MX" w:eastAsia="en-US"/>
        </w:rPr>
        <w:t>territorial (el dominio espacial del derecho).</w:t>
      </w:r>
    </w:p>
    <w:p w14:paraId="4AC8C048" w14:textId="77777777" w:rsidR="0035000C" w:rsidRPr="0035000C" w:rsidRDefault="0035000C" w:rsidP="0035000C">
      <w:pPr>
        <w:spacing w:after="160" w:line="360" w:lineRule="auto"/>
        <w:jc w:val="both"/>
        <w:rPr>
          <w:rFonts w:ascii="Arial" w:eastAsiaTheme="minorHAnsi" w:hAnsi="Arial" w:cs="Arial"/>
          <w:lang w:val="es-MX" w:eastAsia="en-US"/>
        </w:rPr>
      </w:pPr>
      <w:r w:rsidRPr="0035000C">
        <w:rPr>
          <w:rFonts w:ascii="Arial" w:eastAsiaTheme="minorHAnsi" w:hAnsi="Arial" w:cs="Arial"/>
          <w:lang w:val="es-MX" w:eastAsia="en-US"/>
        </w:rPr>
        <w:t xml:space="preserve">En tercer lugar, no se cumple con la condición </w:t>
      </w:r>
      <w:r w:rsidRPr="0035000C">
        <w:rPr>
          <w:rFonts w:ascii="Arial" w:eastAsiaTheme="minorHAnsi" w:hAnsi="Arial" w:cs="Arial"/>
          <w:i/>
          <w:iCs/>
          <w:lang w:val="es-MX" w:eastAsia="en-US"/>
        </w:rPr>
        <w:t>(iii)</w:t>
      </w:r>
      <w:r w:rsidRPr="0035000C">
        <w:rPr>
          <w:rFonts w:ascii="Arial" w:eastAsiaTheme="minorHAnsi" w:hAnsi="Arial" w:cs="Arial"/>
          <w:lang w:val="es-MX" w:eastAsia="en-US"/>
        </w:rPr>
        <w:t xml:space="preserve">, </w:t>
      </w:r>
      <w:r w:rsidR="00565E10">
        <w:rPr>
          <w:rFonts w:ascii="Arial" w:eastAsiaTheme="minorHAnsi" w:hAnsi="Arial" w:cs="Arial"/>
          <w:lang w:val="es-MX" w:eastAsia="en-US"/>
        </w:rPr>
        <w:t>puesto</w:t>
      </w:r>
      <w:r w:rsidRPr="0035000C">
        <w:rPr>
          <w:rFonts w:ascii="Arial" w:eastAsiaTheme="minorHAnsi" w:hAnsi="Arial" w:cs="Arial"/>
          <w:lang w:val="es-MX" w:eastAsia="en-US"/>
        </w:rPr>
        <w:t xml:space="preserve"> que el Congreso de la Ciudad de México, al emitir el acto derogatorio que eliminó la regulación de la diputación migrante, intentó justificar la medida de manera genérica</w:t>
      </w:r>
      <w:r w:rsidR="00565E10">
        <w:rPr>
          <w:rFonts w:ascii="Arial" w:eastAsiaTheme="minorHAnsi" w:hAnsi="Arial" w:cs="Arial"/>
          <w:lang w:val="es-MX" w:eastAsia="en-US"/>
        </w:rPr>
        <w:t>, es decir por</w:t>
      </w:r>
      <w:r w:rsidRPr="0035000C">
        <w:rPr>
          <w:rFonts w:ascii="Arial" w:eastAsiaTheme="minorHAnsi" w:hAnsi="Arial" w:cs="Arial"/>
          <w:lang w:val="es-MX" w:eastAsia="en-US"/>
        </w:rPr>
        <w:t xml:space="preserve"> razones </w:t>
      </w:r>
      <w:r w:rsidR="00565E10">
        <w:rPr>
          <w:rFonts w:ascii="Arial" w:eastAsiaTheme="minorHAnsi" w:hAnsi="Arial" w:cs="Arial"/>
          <w:lang w:val="es-MX" w:eastAsia="en-US"/>
        </w:rPr>
        <w:t xml:space="preserve">como </w:t>
      </w:r>
      <w:r>
        <w:rPr>
          <w:rFonts w:ascii="Arial" w:eastAsiaTheme="minorHAnsi" w:hAnsi="Arial" w:cs="Arial"/>
          <w:lang w:val="es-MX" w:eastAsia="en-US"/>
        </w:rPr>
        <w:t>la</w:t>
      </w:r>
      <w:r w:rsidRPr="0035000C">
        <w:rPr>
          <w:rFonts w:ascii="Arial" w:eastAsiaTheme="minorHAnsi" w:hAnsi="Arial" w:cs="Arial"/>
          <w:lang w:val="es-MX" w:eastAsia="en-US"/>
        </w:rPr>
        <w:t xml:space="preserve"> dificultad</w:t>
      </w:r>
      <w:r>
        <w:rPr>
          <w:rFonts w:ascii="Arial" w:eastAsiaTheme="minorHAnsi" w:hAnsi="Arial" w:cs="Arial"/>
          <w:lang w:val="es-MX" w:eastAsia="en-US"/>
        </w:rPr>
        <w:t xml:space="preserve"> de implementar la figura, </w:t>
      </w:r>
      <w:r w:rsidR="00565E10">
        <w:rPr>
          <w:rFonts w:ascii="Arial" w:eastAsiaTheme="minorHAnsi" w:hAnsi="Arial" w:cs="Arial"/>
          <w:lang w:val="es-MX" w:eastAsia="en-US"/>
        </w:rPr>
        <w:t>y por</w:t>
      </w:r>
      <w:r>
        <w:rPr>
          <w:rFonts w:ascii="Arial" w:eastAsiaTheme="minorHAnsi" w:hAnsi="Arial" w:cs="Arial"/>
          <w:lang w:val="es-MX" w:eastAsia="en-US"/>
        </w:rPr>
        <w:t xml:space="preserve"> razones </w:t>
      </w:r>
      <w:r w:rsidRPr="0035000C">
        <w:rPr>
          <w:rFonts w:ascii="Arial" w:eastAsiaTheme="minorHAnsi" w:hAnsi="Arial" w:cs="Arial"/>
          <w:lang w:val="es-MX" w:eastAsia="en-US"/>
        </w:rPr>
        <w:t>económicas</w:t>
      </w:r>
      <w:r>
        <w:rPr>
          <w:rFonts w:ascii="Arial" w:eastAsiaTheme="minorHAnsi" w:hAnsi="Arial" w:cs="Arial"/>
          <w:lang w:val="es-MX" w:eastAsia="en-US"/>
        </w:rPr>
        <w:t xml:space="preserve">, </w:t>
      </w:r>
      <w:r w:rsidRPr="0035000C">
        <w:rPr>
          <w:rFonts w:ascii="Arial" w:eastAsiaTheme="minorHAnsi" w:hAnsi="Arial" w:cs="Arial"/>
          <w:lang w:val="es-MX" w:eastAsia="en-US"/>
        </w:rPr>
        <w:t>además de considerar que la medida estaba dentro del ámbito de la potestad legislativa de la legislatura ordinaria, tal como se observa de la siguiente transcripción del dictamen legislativo respectivo:</w:t>
      </w:r>
    </w:p>
    <w:p w14:paraId="12855D54" w14:textId="77777777" w:rsidR="0035000C" w:rsidRPr="0035000C" w:rsidRDefault="0035000C" w:rsidP="0035000C">
      <w:pPr>
        <w:ind w:left="708"/>
        <w:jc w:val="both"/>
        <w:rPr>
          <w:rFonts w:ascii="Arial" w:hAnsi="Arial" w:cs="Arial"/>
        </w:rPr>
      </w:pPr>
      <w:bookmarkStart w:id="36" w:name="_Hlk35884686"/>
      <w:r w:rsidRPr="0035000C">
        <w:rPr>
          <w:rFonts w:ascii="Arial" w:hAnsi="Arial" w:cs="Arial"/>
        </w:rPr>
        <w:t xml:space="preserve">La iniciativa de Constitución </w:t>
      </w:r>
      <w:bookmarkEnd w:id="36"/>
      <w:r w:rsidRPr="0035000C">
        <w:rPr>
          <w:rFonts w:ascii="Arial" w:hAnsi="Arial" w:cs="Arial"/>
        </w:rPr>
        <w:t>Política de la CDMX presentada por el entonces Jefe de Gobierno del Distrito Federal, Miguel Ángel Espinosa a la Asamblea Constituyente de la CDMX, proponía en el artículo 34 apartado B, numeral 1, inciso b), lo siguiente:</w:t>
      </w:r>
    </w:p>
    <w:p w14:paraId="215A2AD2" w14:textId="77777777" w:rsidR="0035000C" w:rsidRPr="0035000C" w:rsidRDefault="0035000C" w:rsidP="0035000C">
      <w:pPr>
        <w:ind w:left="708"/>
        <w:jc w:val="both"/>
        <w:rPr>
          <w:rFonts w:ascii="Arial" w:hAnsi="Arial" w:cs="Arial"/>
        </w:rPr>
      </w:pPr>
    </w:p>
    <w:p w14:paraId="1B2982D2" w14:textId="77777777" w:rsidR="0035000C" w:rsidRPr="0035000C" w:rsidRDefault="0035000C" w:rsidP="0035000C">
      <w:pPr>
        <w:ind w:left="708"/>
        <w:jc w:val="both"/>
        <w:rPr>
          <w:rFonts w:ascii="Arial" w:hAnsi="Arial" w:cs="Arial"/>
        </w:rPr>
      </w:pPr>
      <w:r w:rsidRPr="0035000C">
        <w:rPr>
          <w:rFonts w:ascii="Arial" w:hAnsi="Arial" w:cs="Arial"/>
          <w:b/>
        </w:rPr>
        <w:t>b)</w:t>
      </w:r>
      <w:r w:rsidRPr="0035000C">
        <w:rPr>
          <w:rFonts w:ascii="Arial" w:hAnsi="Arial" w:cs="Arial"/>
        </w:rPr>
        <w:t xml:space="preserve"> Las candidaturas de personas originarias de la ciudad residentes del extranjero tendrán derecho a la representación proporcional mediante la integración de una lista del exterior siempre que obtengan, en su conjunto, al menos el tres por ciento de la votación valida emitida. El número de curules correspondientes será determinado por la asignación de escaños que mediante el principio de representación proporcional lleve a cabo la autoridad administrativa electoral, en términos de lo que establezca la ley de la materia. Estas candidaturas tendrán derecho a decidir sus formas asociativas de participación para postular a sus representantes ante el Congreso local, las cuales serán reconocidas por las autoridades electorales conforme a lo que la ley determine.</w:t>
      </w:r>
    </w:p>
    <w:p w14:paraId="228C8589" w14:textId="77777777" w:rsidR="0035000C" w:rsidRPr="0035000C" w:rsidRDefault="0035000C" w:rsidP="0035000C">
      <w:pPr>
        <w:ind w:left="708"/>
        <w:jc w:val="both"/>
        <w:rPr>
          <w:rFonts w:ascii="Arial" w:hAnsi="Arial" w:cs="Arial"/>
          <w:b/>
        </w:rPr>
      </w:pPr>
    </w:p>
    <w:p w14:paraId="03EBAB0B" w14:textId="77777777" w:rsidR="0035000C" w:rsidRPr="0035000C" w:rsidRDefault="0035000C" w:rsidP="0035000C">
      <w:pPr>
        <w:ind w:left="708"/>
        <w:jc w:val="both"/>
        <w:rPr>
          <w:rFonts w:ascii="Arial" w:hAnsi="Arial" w:cs="Arial"/>
        </w:rPr>
      </w:pPr>
      <w:r w:rsidRPr="0035000C">
        <w:rPr>
          <w:rFonts w:ascii="Arial" w:hAnsi="Arial" w:cs="Arial"/>
        </w:rPr>
        <w:t xml:space="preserve">Como lo refiere la Diputada Gómez Otegui, </w:t>
      </w:r>
      <w:r w:rsidRPr="0035000C">
        <w:rPr>
          <w:rFonts w:ascii="Arial" w:hAnsi="Arial" w:cs="Arial"/>
          <w:b/>
        </w:rPr>
        <w:t>en el texto definitivo de la Constitución Política de la Ciudad de México, el párrafo no quedó incorporado. El texto arriba transcrito expresa el reconocimiento del derecho a votar y ser votado a los migrantes de la Ciudad de México, más no a la regulación expresa de la figura del Diputado Migrante</w:t>
      </w:r>
      <w:r w:rsidRPr="0035000C">
        <w:rPr>
          <w:rFonts w:ascii="Arial" w:hAnsi="Arial" w:cs="Arial"/>
        </w:rPr>
        <w:t>.</w:t>
      </w:r>
    </w:p>
    <w:p w14:paraId="030D8969" w14:textId="77777777" w:rsidR="0035000C" w:rsidRPr="0035000C" w:rsidRDefault="0035000C" w:rsidP="0035000C">
      <w:pPr>
        <w:ind w:left="708"/>
        <w:jc w:val="both"/>
        <w:rPr>
          <w:rFonts w:ascii="Arial" w:hAnsi="Arial" w:cs="Arial"/>
        </w:rPr>
      </w:pPr>
    </w:p>
    <w:p w14:paraId="395D2E67" w14:textId="77777777" w:rsidR="0035000C" w:rsidRPr="0035000C" w:rsidRDefault="0035000C" w:rsidP="0035000C">
      <w:pPr>
        <w:ind w:left="708"/>
        <w:jc w:val="both"/>
        <w:rPr>
          <w:rFonts w:ascii="Arial" w:hAnsi="Arial" w:cs="Arial"/>
        </w:rPr>
      </w:pPr>
      <w:r w:rsidRPr="0035000C">
        <w:rPr>
          <w:rFonts w:ascii="Arial" w:hAnsi="Arial" w:cs="Arial"/>
        </w:rPr>
        <w:t xml:space="preserve">La introducción del Diputado Migrante en el texto de los artículos 4 apartado B fracción III. 6 fracción I, 13, 76 y Vigésimo Quinto Transitorio del Código de Instituciones y Procedimientos electorales de la Ciudad de México, lo realizó el legislador local. Como se ha argumentado, la Constitución Política de la Ciudad de México, </w:t>
      </w:r>
      <w:r w:rsidRPr="0035000C">
        <w:rPr>
          <w:rFonts w:ascii="Arial" w:hAnsi="Arial" w:cs="Arial"/>
          <w:b/>
        </w:rPr>
        <w:t>sólo expresa el reconocimiento del derecho a votar y ser votado a los migrantes de la Ciudad de México, y no a la regulación expresa de la figura del Diputado Migrante.</w:t>
      </w:r>
      <w:r w:rsidRPr="0035000C">
        <w:rPr>
          <w:rFonts w:ascii="Arial" w:hAnsi="Arial" w:cs="Arial"/>
        </w:rPr>
        <w:t xml:space="preserve"> Sin embargo, la Asamblea Legislativa del Distrito Federal VII Legislatura, en uso de sus facultades, en el decreto por el que se abroga el Código de Instituciones y Procedimiento Electorales de la Ciudad de México, publicado en la Gaceta Oficial de la Ciudad de México el 7 de junio de 2017, interpretó la voluntad del legislador constituyente, para establecer la figura del “Diputado Migrante”, en los artículos mencionados.</w:t>
      </w:r>
    </w:p>
    <w:p w14:paraId="46C9F42B" w14:textId="77777777" w:rsidR="0035000C" w:rsidRPr="0035000C" w:rsidRDefault="0035000C" w:rsidP="0035000C">
      <w:pPr>
        <w:ind w:left="708"/>
        <w:jc w:val="both"/>
        <w:rPr>
          <w:rFonts w:ascii="Arial" w:hAnsi="Arial" w:cs="Arial"/>
        </w:rPr>
      </w:pPr>
    </w:p>
    <w:p w14:paraId="4CA902CB" w14:textId="77777777" w:rsidR="0035000C" w:rsidRPr="0035000C" w:rsidRDefault="0035000C" w:rsidP="0035000C">
      <w:pPr>
        <w:ind w:left="708"/>
        <w:jc w:val="both"/>
        <w:rPr>
          <w:rFonts w:ascii="Arial" w:hAnsi="Arial" w:cs="Arial"/>
        </w:rPr>
      </w:pPr>
      <w:r w:rsidRPr="0035000C">
        <w:rPr>
          <w:rFonts w:ascii="Arial" w:hAnsi="Arial" w:cs="Arial"/>
        </w:rPr>
        <w:t xml:space="preserve">Para esta Comisión Dictaminadora, no es conducente para los efectos del presente Dictamen, hacer análisis alguno acerca del señalamiento de la Diputada proponente quien califica como exceso del legislador local introducir en la legislación la Diputación Migrante; porque </w:t>
      </w:r>
      <w:r w:rsidRPr="0035000C">
        <w:rPr>
          <w:rFonts w:ascii="Arial" w:hAnsi="Arial" w:cs="Arial"/>
          <w:b/>
        </w:rPr>
        <w:t>al tratarse de una figura que forma parte de la legislación electoral local vigente, la Dictaminadora parte de tal consideración para determinar la viabilidad de su derogación, es decir, solo se puede derogar lo que está en vigor</w:t>
      </w:r>
      <w:r w:rsidRPr="0035000C">
        <w:rPr>
          <w:rFonts w:ascii="Arial" w:hAnsi="Arial" w:cs="Arial"/>
        </w:rPr>
        <w:t>.</w:t>
      </w:r>
    </w:p>
    <w:p w14:paraId="0ADCF22D" w14:textId="77777777" w:rsidR="0035000C" w:rsidRPr="0035000C" w:rsidRDefault="0035000C" w:rsidP="0035000C">
      <w:pPr>
        <w:ind w:left="708"/>
        <w:jc w:val="both"/>
        <w:rPr>
          <w:rFonts w:ascii="Arial" w:hAnsi="Arial" w:cs="Arial"/>
        </w:rPr>
      </w:pPr>
    </w:p>
    <w:p w14:paraId="59436650" w14:textId="77777777" w:rsidR="0035000C" w:rsidRPr="0035000C" w:rsidRDefault="0035000C" w:rsidP="0035000C">
      <w:pPr>
        <w:ind w:left="708"/>
        <w:jc w:val="both"/>
        <w:rPr>
          <w:rFonts w:ascii="Arial" w:hAnsi="Arial" w:cs="Arial"/>
        </w:rPr>
      </w:pPr>
      <w:r w:rsidRPr="0035000C">
        <w:rPr>
          <w:rFonts w:ascii="Arial" w:hAnsi="Arial" w:cs="Arial"/>
        </w:rPr>
        <w:t xml:space="preserve">En esa tesitura, considera la Dictaminadora que atendiendo a los diversos argumentos planteados por la Diputada Gómez Otegui en la exposición de motivos de su iniciativa, </w:t>
      </w:r>
      <w:r w:rsidRPr="0035000C">
        <w:rPr>
          <w:rFonts w:ascii="Arial" w:hAnsi="Arial" w:cs="Arial"/>
          <w:b/>
        </w:rPr>
        <w:t>acerca de las dificultades y costo económico para la implementación de la referida figura; tomando en cuenta que no se trata de una figura establecida por mandato directo y expreso de la Asamblea Constituyente, sino por el legislador ordinario, correlativa a la libertad configurativa de las y los legisladores locales, se estiman procedentes las reformas y derogación de las disposiciones planteadas en el contenido de la iniciativa que se dictamina, para suprimir la figura del “Diputado Migrante”</w:t>
      </w:r>
      <w:r w:rsidRPr="0035000C">
        <w:rPr>
          <w:rFonts w:ascii="Arial" w:hAnsi="Arial" w:cs="Arial"/>
        </w:rPr>
        <w:t xml:space="preserve"> de los contenidos del Código de Instituciones y Procedimientos Electorales de la Ciudad de México.</w:t>
      </w:r>
    </w:p>
    <w:p w14:paraId="09B8ED39" w14:textId="77777777" w:rsidR="0035000C" w:rsidRPr="0035000C" w:rsidRDefault="0035000C" w:rsidP="0035000C">
      <w:pPr>
        <w:spacing w:after="160" w:line="360" w:lineRule="auto"/>
        <w:jc w:val="both"/>
        <w:rPr>
          <w:rFonts w:ascii="Arial" w:hAnsi="Arial" w:cs="Arial"/>
          <w:bCs/>
          <w:lang w:eastAsia="es-MX"/>
        </w:rPr>
      </w:pPr>
    </w:p>
    <w:p w14:paraId="1671553D" w14:textId="77777777" w:rsidR="0035000C" w:rsidRPr="0035000C" w:rsidRDefault="0035000C" w:rsidP="0035000C">
      <w:pPr>
        <w:spacing w:after="160" w:line="360" w:lineRule="auto"/>
        <w:jc w:val="both"/>
        <w:rPr>
          <w:rFonts w:ascii="Arial" w:eastAsiaTheme="minorHAnsi" w:hAnsi="Arial" w:cs="Arial"/>
          <w:lang w:val="es-MX" w:eastAsia="en-US"/>
        </w:rPr>
      </w:pPr>
      <w:r>
        <w:rPr>
          <w:rFonts w:ascii="Arial" w:eastAsiaTheme="minorHAnsi" w:hAnsi="Arial" w:cs="Arial"/>
          <w:lang w:val="es-MX" w:eastAsia="en-US"/>
        </w:rPr>
        <w:t>A</w:t>
      </w:r>
      <w:r w:rsidRPr="0035000C">
        <w:rPr>
          <w:rFonts w:ascii="Arial" w:eastAsiaTheme="minorHAnsi" w:hAnsi="Arial" w:cs="Arial"/>
          <w:lang w:val="es-MX" w:eastAsia="en-US"/>
        </w:rPr>
        <w:t xml:space="preserve"> juicio de esta Sala Superior, </w:t>
      </w:r>
      <w:r>
        <w:rPr>
          <w:rFonts w:ascii="Arial" w:eastAsiaTheme="minorHAnsi" w:hAnsi="Arial" w:cs="Arial"/>
          <w:lang w:val="es-MX" w:eastAsia="en-US"/>
        </w:rPr>
        <w:t xml:space="preserve">esas razones </w:t>
      </w:r>
      <w:r w:rsidRPr="0035000C">
        <w:rPr>
          <w:rFonts w:ascii="Arial" w:eastAsiaTheme="minorHAnsi" w:hAnsi="Arial" w:cs="Arial"/>
          <w:lang w:val="es-MX" w:eastAsia="en-US"/>
        </w:rPr>
        <w:t xml:space="preserve">no son suficientes para justificar la derogación de </w:t>
      </w:r>
      <w:r>
        <w:rPr>
          <w:rFonts w:ascii="Arial" w:eastAsiaTheme="minorHAnsi" w:hAnsi="Arial" w:cs="Arial"/>
          <w:lang w:val="es-MX" w:eastAsia="en-US"/>
        </w:rPr>
        <w:t xml:space="preserve">ese </w:t>
      </w:r>
      <w:r w:rsidRPr="0035000C">
        <w:rPr>
          <w:rFonts w:ascii="Arial" w:eastAsiaTheme="minorHAnsi" w:hAnsi="Arial" w:cs="Arial"/>
          <w:lang w:val="es-MX" w:eastAsia="en-US"/>
        </w:rPr>
        <w:t>derecho humano fundamental</w:t>
      </w:r>
      <w:r>
        <w:rPr>
          <w:rFonts w:ascii="Arial" w:eastAsiaTheme="minorHAnsi" w:hAnsi="Arial" w:cs="Arial"/>
          <w:lang w:val="es-MX" w:eastAsia="en-US"/>
        </w:rPr>
        <w:t xml:space="preserve"> que, además, es consistente con una decisión política adoptada respecto de reconocer como integrantes del proyecto subestatal de la Ciudad de México a las personas originarias que residen en el extranjero</w:t>
      </w:r>
      <w:r w:rsidRPr="0035000C">
        <w:rPr>
          <w:rFonts w:ascii="Arial" w:eastAsiaTheme="minorHAnsi" w:hAnsi="Arial" w:cs="Arial"/>
          <w:lang w:val="es-MX" w:eastAsia="en-US"/>
        </w:rPr>
        <w:t>.</w:t>
      </w:r>
    </w:p>
    <w:p w14:paraId="14DFBB1D" w14:textId="77777777" w:rsidR="0035000C" w:rsidRPr="0035000C" w:rsidRDefault="0035000C" w:rsidP="0035000C">
      <w:pPr>
        <w:spacing w:after="160" w:line="360" w:lineRule="auto"/>
        <w:jc w:val="both"/>
        <w:rPr>
          <w:rFonts w:ascii="Arial" w:eastAsiaTheme="minorHAnsi" w:hAnsi="Arial" w:cs="Arial"/>
          <w:lang w:val="es-MX" w:eastAsia="en-US"/>
        </w:rPr>
      </w:pPr>
      <w:r w:rsidRPr="0035000C">
        <w:rPr>
          <w:rFonts w:ascii="Arial" w:eastAsiaTheme="minorHAnsi" w:hAnsi="Arial" w:cs="Arial"/>
          <w:lang w:val="es-MX" w:eastAsia="en-US"/>
        </w:rPr>
        <w:t>Se afirma lo anterior</w:t>
      </w:r>
      <w:r>
        <w:rPr>
          <w:rFonts w:ascii="Arial" w:eastAsiaTheme="minorHAnsi" w:hAnsi="Arial" w:cs="Arial"/>
          <w:lang w:val="es-MX" w:eastAsia="en-US"/>
        </w:rPr>
        <w:t xml:space="preserve">, </w:t>
      </w:r>
      <w:r w:rsidR="00565E10">
        <w:rPr>
          <w:rFonts w:ascii="Arial" w:eastAsiaTheme="minorHAnsi" w:hAnsi="Arial" w:cs="Arial"/>
          <w:lang w:val="es-MX" w:eastAsia="en-US"/>
        </w:rPr>
        <w:t>ya</w:t>
      </w:r>
      <w:r w:rsidRPr="0035000C">
        <w:rPr>
          <w:rFonts w:ascii="Arial" w:eastAsiaTheme="minorHAnsi" w:hAnsi="Arial" w:cs="Arial"/>
          <w:lang w:val="es-MX" w:eastAsia="en-US"/>
        </w:rPr>
        <w:t xml:space="preserve"> que, si bien es cierto que el Congreso de la Ciudad de México act</w:t>
      </w:r>
      <w:r w:rsidR="00565E10">
        <w:rPr>
          <w:rFonts w:ascii="Arial" w:eastAsiaTheme="minorHAnsi" w:hAnsi="Arial" w:cs="Arial"/>
          <w:lang w:val="es-MX" w:eastAsia="en-US"/>
        </w:rPr>
        <w:t>uó</w:t>
      </w:r>
      <w:r w:rsidRPr="0035000C">
        <w:rPr>
          <w:rFonts w:ascii="Arial" w:eastAsiaTheme="minorHAnsi" w:hAnsi="Arial" w:cs="Arial"/>
          <w:lang w:val="es-MX" w:eastAsia="en-US"/>
        </w:rPr>
        <w:t xml:space="preserve"> en ejercicio de su competencia legislativa —lo cual no está en cuestión— no es menos cierto que no desarrolló ponderación alguna ni algún otro tipo de razonamiento justificatorio que mostrara, siquiera plausiblemente, que las razones en contra de mantener la regulación de ese derecho humano fundamental superaban el peso de las razones en favor de mantenerlo.</w:t>
      </w:r>
    </w:p>
    <w:p w14:paraId="6619F29E" w14:textId="77777777" w:rsidR="0035000C" w:rsidRPr="0035000C" w:rsidRDefault="0035000C" w:rsidP="0035000C">
      <w:pPr>
        <w:spacing w:after="160" w:line="360" w:lineRule="auto"/>
        <w:jc w:val="both"/>
        <w:rPr>
          <w:rFonts w:ascii="Arial" w:eastAsiaTheme="minorHAnsi" w:hAnsi="Arial" w:cs="Arial"/>
          <w:lang w:val="es-MX" w:eastAsia="en-US"/>
        </w:rPr>
      </w:pPr>
      <w:r w:rsidRPr="0035000C">
        <w:rPr>
          <w:rFonts w:ascii="Arial" w:eastAsiaTheme="minorHAnsi" w:hAnsi="Arial" w:cs="Arial"/>
          <w:lang w:val="es-MX" w:eastAsia="en-US"/>
        </w:rPr>
        <w:t>Incluso, este órgano jurisdiccional federal no advierte que el dictamen legislativo respectivo esté respaldado por evidencia empírica alguna sobre el supuesto costo económico del derecho, cuando</w:t>
      </w:r>
      <w:r w:rsidR="00650434">
        <w:rPr>
          <w:rFonts w:ascii="Arial" w:eastAsiaTheme="minorHAnsi" w:hAnsi="Arial" w:cs="Arial"/>
          <w:lang w:val="es-MX" w:eastAsia="en-US"/>
        </w:rPr>
        <w:t xml:space="preserve"> </w:t>
      </w:r>
      <w:r w:rsidRPr="0035000C">
        <w:rPr>
          <w:rFonts w:ascii="Arial" w:eastAsiaTheme="minorHAnsi" w:hAnsi="Arial" w:cs="Arial"/>
          <w:lang w:val="es-MX" w:eastAsia="en-US"/>
        </w:rPr>
        <w:t xml:space="preserve">las consideraciones a partir de directrices no pueden estar por encima de consideraciones basadas en derechos, lo que indica un serio déficit argumentativo en el proceder del órgano legislativo local al derogar la </w:t>
      </w:r>
      <w:r w:rsidR="0058188E">
        <w:rPr>
          <w:rFonts w:ascii="Arial" w:eastAsiaTheme="minorHAnsi" w:hAnsi="Arial" w:cs="Arial"/>
          <w:lang w:val="es-MX" w:eastAsia="en-US"/>
        </w:rPr>
        <w:t xml:space="preserve">figura </w:t>
      </w:r>
      <w:r w:rsidRPr="0035000C">
        <w:rPr>
          <w:rFonts w:ascii="Arial" w:eastAsiaTheme="minorHAnsi" w:hAnsi="Arial" w:cs="Arial"/>
          <w:lang w:val="es-MX" w:eastAsia="en-US"/>
        </w:rPr>
        <w:t>de la diputación migrante.</w:t>
      </w:r>
    </w:p>
    <w:p w14:paraId="0C7D8240" w14:textId="77777777" w:rsidR="0035000C" w:rsidRPr="0035000C" w:rsidRDefault="0035000C" w:rsidP="0035000C">
      <w:pPr>
        <w:spacing w:after="160" w:line="360" w:lineRule="auto"/>
        <w:jc w:val="both"/>
        <w:rPr>
          <w:rFonts w:ascii="Arial" w:eastAsiaTheme="minorHAnsi" w:hAnsi="Arial" w:cs="Arial"/>
          <w:lang w:val="es-MX" w:eastAsia="en-US"/>
        </w:rPr>
      </w:pPr>
      <w:r w:rsidRPr="0035000C">
        <w:rPr>
          <w:rFonts w:ascii="Arial" w:eastAsiaTheme="minorHAnsi" w:hAnsi="Arial" w:cs="Arial"/>
          <w:lang w:val="es-MX" w:eastAsia="en-US"/>
        </w:rPr>
        <w:t>Lo anterior es así, incluso tomando en cuenta que, tratándose de los actos legislativos, las obligaciones de fundamentación y motivación, por regla general, se atenúan, conforme a la tesis 68 plenaria jurisprudencial sustentada por la Suprema Corte de Justicia de la Nación, de rubro y texto siguientes:</w:t>
      </w:r>
      <w:r w:rsidRPr="0035000C">
        <w:rPr>
          <w:rFonts w:ascii="Arial" w:eastAsiaTheme="minorHAnsi" w:hAnsi="Arial" w:cs="Arial"/>
          <w:vertAlign w:val="superscript"/>
          <w:lang w:val="es-MX" w:eastAsia="en-US"/>
        </w:rPr>
        <w:footnoteReference w:id="60"/>
      </w:r>
      <w:r w:rsidRPr="0035000C">
        <w:rPr>
          <w:rFonts w:ascii="Arial" w:eastAsiaTheme="minorHAnsi" w:hAnsi="Arial" w:cs="Arial"/>
          <w:lang w:val="es-MX" w:eastAsia="en-US"/>
        </w:rPr>
        <w:t xml:space="preserve"> </w:t>
      </w:r>
    </w:p>
    <w:p w14:paraId="45FA857A" w14:textId="77777777" w:rsidR="0035000C" w:rsidRDefault="0035000C" w:rsidP="0035000C">
      <w:pPr>
        <w:spacing w:after="160"/>
        <w:ind w:left="567" w:right="567"/>
        <w:jc w:val="both"/>
        <w:rPr>
          <w:rFonts w:ascii="Arial" w:eastAsiaTheme="minorHAnsi" w:hAnsi="Arial" w:cs="Arial"/>
          <w:lang w:val="es-MX" w:eastAsia="en-US"/>
        </w:rPr>
      </w:pPr>
      <w:r w:rsidRPr="0035000C">
        <w:rPr>
          <w:rFonts w:ascii="Arial" w:eastAsiaTheme="minorHAnsi" w:hAnsi="Arial" w:cs="Arial"/>
          <w:b/>
          <w:sz w:val="21"/>
          <w:lang w:val="es-MX" w:eastAsia="en-US"/>
        </w:rPr>
        <w:t>FUNDAMENTACION Y MOTIVACION DE LOS ACTOS DE AUTORIDAD LEGISLATIVA.</w:t>
      </w:r>
      <w:r w:rsidRPr="0035000C">
        <w:rPr>
          <w:rFonts w:ascii="Arial" w:eastAsiaTheme="minorHAnsi" w:hAnsi="Arial" w:cs="Arial"/>
          <w:sz w:val="21"/>
          <w:lang w:val="es-MX" w:eastAsia="en-US"/>
        </w:rPr>
        <w:t xml:space="preserve"> </w:t>
      </w:r>
      <w:r w:rsidRPr="0035000C">
        <w:rPr>
          <w:rFonts w:ascii="Arial" w:eastAsiaTheme="minorHAnsi" w:hAnsi="Arial" w:cs="Arial"/>
          <w:lang w:val="es-MX" w:eastAsia="en-US"/>
        </w:rPr>
        <w:t>Por fundamentación y motivación de un acto legislativo, se debe entender la circunstancia de que el Congreso que expide la ley, constitucionalmente esté facultado para ello, ya que estos requisitos, en tratándose de actos legislativos, se satisfacen cuando aquél actúa dentro de los límites de las atribuciones que la constitución correspondiente le confiere (fundamentación), y cuando las leyes que emite se refieren a relaciones sociales que reclaman ser jurídicamente reguladas (motivación); sin que esto implique que todas y cada una de las disposiciones que integran estos ordenamientos deben ser necesariamente materia de una motivación específica.</w:t>
      </w:r>
    </w:p>
    <w:p w14:paraId="36DF63F3" w14:textId="77777777" w:rsidR="0035000C" w:rsidRPr="00A33520" w:rsidRDefault="0035000C" w:rsidP="0035000C">
      <w:pPr>
        <w:spacing w:before="240" w:after="240" w:line="360" w:lineRule="auto"/>
        <w:jc w:val="both"/>
        <w:rPr>
          <w:rFonts w:ascii="Arial" w:hAnsi="Arial" w:cs="Arial"/>
          <w:color w:val="000000"/>
          <w:lang w:eastAsia="es-MX"/>
        </w:rPr>
      </w:pPr>
      <w:r>
        <w:rPr>
          <w:rFonts w:ascii="Arial" w:hAnsi="Arial" w:cs="Arial"/>
          <w:color w:val="000000"/>
          <w:lang w:eastAsia="es-MX"/>
        </w:rPr>
        <w:t xml:space="preserve">Ahora bien, para este </w:t>
      </w:r>
      <w:r w:rsidR="008C0D8D">
        <w:rPr>
          <w:rFonts w:ascii="Arial" w:hAnsi="Arial" w:cs="Arial"/>
          <w:color w:val="000000"/>
          <w:lang w:eastAsia="es-MX"/>
        </w:rPr>
        <w:t>T</w:t>
      </w:r>
      <w:r>
        <w:rPr>
          <w:rFonts w:ascii="Arial" w:hAnsi="Arial" w:cs="Arial"/>
          <w:color w:val="000000"/>
          <w:lang w:eastAsia="es-MX"/>
        </w:rPr>
        <w:t>ribunal resulta de relevancia destacar que la</w:t>
      </w:r>
      <w:r w:rsidRPr="00A33520">
        <w:rPr>
          <w:rFonts w:ascii="Arial" w:hAnsi="Arial" w:cs="Arial"/>
          <w:color w:val="000000"/>
          <w:lang w:eastAsia="es-MX"/>
        </w:rPr>
        <w:t xml:space="preserve"> derogación de estas normas representa la supresión de</w:t>
      </w:r>
      <w:r>
        <w:rPr>
          <w:rFonts w:ascii="Arial" w:hAnsi="Arial" w:cs="Arial"/>
          <w:color w:val="000000"/>
          <w:lang w:eastAsia="es-MX"/>
        </w:rPr>
        <w:t xml:space="preserve"> un derecho especial de representación de un grupo, </w:t>
      </w:r>
      <w:r w:rsidRPr="00A33520">
        <w:rPr>
          <w:rFonts w:ascii="Arial" w:hAnsi="Arial" w:cs="Arial"/>
          <w:color w:val="000000"/>
          <w:lang w:eastAsia="es-MX"/>
        </w:rPr>
        <w:t>lo que implica un retroceso en el avance logrado en la Ciudad de México</w:t>
      </w:r>
      <w:r>
        <w:rPr>
          <w:rFonts w:ascii="Arial" w:hAnsi="Arial" w:cs="Arial"/>
          <w:color w:val="000000"/>
          <w:lang w:eastAsia="es-MX"/>
        </w:rPr>
        <w:t xml:space="preserve"> y, además, un retroceso en la decisión política adoptada respecto de reconocer a las diásporas como integrantes de la Ciudad de México. </w:t>
      </w:r>
    </w:p>
    <w:p w14:paraId="330A37D2" w14:textId="77777777" w:rsidR="0035000C" w:rsidRDefault="0035000C" w:rsidP="0035000C">
      <w:pPr>
        <w:spacing w:before="240" w:after="240" w:line="360" w:lineRule="auto"/>
        <w:jc w:val="both"/>
        <w:rPr>
          <w:rFonts w:ascii="Arial" w:hAnsi="Arial" w:cs="Arial"/>
          <w:shd w:val="clear" w:color="auto" w:fill="FFFFFF"/>
        </w:rPr>
      </w:pPr>
      <w:r>
        <w:rPr>
          <w:rFonts w:ascii="Arial" w:hAnsi="Arial" w:cs="Arial"/>
          <w:color w:val="000000"/>
          <w:lang w:eastAsia="es-MX"/>
        </w:rPr>
        <w:t>Para esta Sala Superior resulta insuficiente la motivación que ofreció el legislador local respecto de por qué suprimió esa figura</w:t>
      </w:r>
      <w:r w:rsidR="00650434">
        <w:rPr>
          <w:rFonts w:ascii="Arial" w:hAnsi="Arial" w:cs="Arial"/>
          <w:color w:val="000000"/>
          <w:lang w:eastAsia="es-MX"/>
        </w:rPr>
        <w:t xml:space="preserve"> ya </w:t>
      </w:r>
      <w:r>
        <w:rPr>
          <w:rFonts w:ascii="Arial" w:hAnsi="Arial" w:cs="Arial"/>
          <w:color w:val="000000"/>
          <w:lang w:eastAsia="es-MX"/>
        </w:rPr>
        <w:t xml:space="preserve">que, </w:t>
      </w:r>
      <w:r>
        <w:rPr>
          <w:rFonts w:ascii="Arial" w:hAnsi="Arial" w:cs="Arial"/>
          <w:shd w:val="clear" w:color="auto" w:fill="FFFFFF"/>
        </w:rPr>
        <w:t xml:space="preserve">tratándose de derechos de </w:t>
      </w:r>
      <w:r w:rsidR="00FB4E8E">
        <w:rPr>
          <w:rFonts w:ascii="Arial" w:hAnsi="Arial" w:cs="Arial"/>
          <w:shd w:val="clear" w:color="auto" w:fill="FFFFFF"/>
        </w:rPr>
        <w:t xml:space="preserve">participación y </w:t>
      </w:r>
      <w:r>
        <w:rPr>
          <w:rFonts w:ascii="Arial" w:hAnsi="Arial" w:cs="Arial"/>
          <w:shd w:val="clear" w:color="auto" w:fill="FFFFFF"/>
        </w:rPr>
        <w:t xml:space="preserve">representación dirigidos a un grupo subrepresentado y minoritario, para que se pueda retroceder en el reconocimiento de un derecho humano es necesario ofrecer mayor argumentación a la que ofreció el legislador. </w:t>
      </w:r>
    </w:p>
    <w:p w14:paraId="2A0C4543" w14:textId="77777777" w:rsidR="0035000C" w:rsidRDefault="0035000C" w:rsidP="0035000C">
      <w:pPr>
        <w:spacing w:before="240" w:after="240" w:line="360" w:lineRule="auto"/>
        <w:jc w:val="both"/>
        <w:rPr>
          <w:rFonts w:ascii="Arial" w:hAnsi="Arial" w:cs="Arial"/>
          <w:shd w:val="clear" w:color="auto" w:fill="FFFFFF"/>
        </w:rPr>
      </w:pPr>
      <w:r>
        <w:rPr>
          <w:rFonts w:ascii="Arial" w:hAnsi="Arial" w:cs="Arial"/>
          <w:shd w:val="clear" w:color="auto" w:fill="FFFFFF"/>
        </w:rPr>
        <w:t>Por otro lado, esta Sala Superior advierte que</w:t>
      </w:r>
      <w:r w:rsidR="00650434">
        <w:rPr>
          <w:rFonts w:ascii="Arial" w:hAnsi="Arial" w:cs="Arial"/>
          <w:shd w:val="clear" w:color="auto" w:fill="FFFFFF"/>
        </w:rPr>
        <w:t>,</w:t>
      </w:r>
      <w:r>
        <w:rPr>
          <w:rFonts w:ascii="Arial" w:hAnsi="Arial" w:cs="Arial"/>
          <w:shd w:val="clear" w:color="auto" w:fill="FFFFFF"/>
        </w:rPr>
        <w:t xml:space="preserve"> si lo que motivó al legislador a suprimir la figura fue una situación de complejidad económica, existían otras alternativas antes que suprimirla. Por ejemplo, podría haberse postergado su implementación al próximo proceso electoral, lo cual, además, habría sido acorde con lo que la propia Ciudad de México, en su Constitución, se ha obligado. </w:t>
      </w:r>
    </w:p>
    <w:p w14:paraId="33C9EA3E" w14:textId="06DE8C42" w:rsidR="0035000C" w:rsidRPr="000962A3" w:rsidRDefault="0035000C" w:rsidP="0035000C">
      <w:pPr>
        <w:spacing w:before="240" w:after="240" w:line="360" w:lineRule="auto"/>
        <w:jc w:val="both"/>
        <w:rPr>
          <w:rFonts w:ascii="Arial" w:hAnsi="Arial" w:cs="Arial"/>
          <w:shd w:val="clear" w:color="auto" w:fill="FFFFFF"/>
        </w:rPr>
      </w:pPr>
      <w:r>
        <w:rPr>
          <w:rFonts w:ascii="Arial" w:hAnsi="Arial" w:cs="Arial"/>
          <w:shd w:val="clear" w:color="auto" w:fill="FFFFFF"/>
        </w:rPr>
        <w:t xml:space="preserve">Concretamente, en </w:t>
      </w:r>
      <w:r w:rsidRPr="00A33520">
        <w:rPr>
          <w:rFonts w:ascii="Arial" w:hAnsi="Arial" w:cs="Arial"/>
          <w:color w:val="000000"/>
          <w:lang w:eastAsia="es-MX"/>
        </w:rPr>
        <w:t>el artículo 5 inciso A</w:t>
      </w:r>
      <w:r w:rsidR="00462452">
        <w:rPr>
          <w:rFonts w:ascii="Arial" w:hAnsi="Arial" w:cs="Arial"/>
          <w:color w:val="000000"/>
          <w:lang w:eastAsia="es-MX"/>
        </w:rPr>
        <w:t>,</w:t>
      </w:r>
      <w:r w:rsidRPr="00A33520">
        <w:rPr>
          <w:rFonts w:ascii="Arial" w:hAnsi="Arial" w:cs="Arial"/>
          <w:color w:val="000000"/>
          <w:lang w:eastAsia="es-MX"/>
        </w:rPr>
        <w:t xml:space="preserve"> numeral 1</w:t>
      </w:r>
      <w:r>
        <w:rPr>
          <w:rFonts w:ascii="Arial" w:hAnsi="Arial" w:cs="Arial"/>
          <w:color w:val="000000"/>
          <w:lang w:eastAsia="es-MX"/>
        </w:rPr>
        <w:t>,</w:t>
      </w:r>
      <w:r w:rsidRPr="00A33520">
        <w:rPr>
          <w:rFonts w:ascii="Arial" w:hAnsi="Arial" w:cs="Arial"/>
          <w:color w:val="000000"/>
          <w:lang w:eastAsia="es-MX"/>
        </w:rPr>
        <w:t xml:space="preserve"> señala como principio de progresividad de los derechos que:</w:t>
      </w:r>
    </w:p>
    <w:p w14:paraId="642C0A43" w14:textId="77777777" w:rsidR="0035000C" w:rsidRPr="00A33520" w:rsidRDefault="0035000C" w:rsidP="0035000C">
      <w:pPr>
        <w:spacing w:after="100" w:afterAutospacing="1" w:line="276" w:lineRule="auto"/>
        <w:ind w:left="426" w:right="333"/>
        <w:jc w:val="both"/>
        <w:rPr>
          <w:rFonts w:ascii="Arial" w:hAnsi="Arial" w:cs="Arial"/>
          <w:i/>
          <w:color w:val="000000"/>
          <w:lang w:eastAsia="es-MX"/>
        </w:rPr>
      </w:pPr>
      <w:r w:rsidRPr="00A33520">
        <w:rPr>
          <w:rFonts w:ascii="Arial" w:hAnsi="Arial" w:cs="Arial"/>
          <w:i/>
          <w:color w:val="000000"/>
          <w:lang w:eastAsia="es-MX"/>
        </w:rPr>
        <w:t>“Las autoridades adoptarán medidas legislativas, administrativas, judiciales, económicas y las que sean necesarias hasta el máximo de recursos públicos de que dispongan, a fin de lograr progresivamente la plena efectividad de los derechos reconocidos en esta Constitución. El logro progresivo requiere de una utilización eficaz de los recursos de que dispongan y tomando en cuenta el grado de desarrollo de la ciudad”.</w:t>
      </w:r>
    </w:p>
    <w:p w14:paraId="08929FF5" w14:textId="77777777" w:rsidR="0035000C" w:rsidRPr="0035000C" w:rsidRDefault="0035000C" w:rsidP="0035000C">
      <w:pPr>
        <w:spacing w:before="240" w:after="240" w:line="360" w:lineRule="auto"/>
        <w:jc w:val="both"/>
        <w:rPr>
          <w:rFonts w:ascii="Arial" w:hAnsi="Arial" w:cs="Arial"/>
          <w:color w:val="000000"/>
          <w:lang w:eastAsia="es-MX"/>
        </w:rPr>
      </w:pPr>
      <w:r>
        <w:rPr>
          <w:rFonts w:ascii="Arial" w:hAnsi="Arial" w:cs="Arial"/>
          <w:color w:val="000000"/>
          <w:lang w:eastAsia="es-MX"/>
        </w:rPr>
        <w:t>Sin embargo, esta Sala Superior considera que, ante la complejidad económica de implementar la figura de diputación migrante para este proceso electoral, la solución de suprimir esa figura resulta desproporcionado y, por lo tanto, vulnera el principio de progresividad de los derechos humanos.</w:t>
      </w:r>
    </w:p>
    <w:p w14:paraId="7C0F37E4" w14:textId="77777777" w:rsidR="0035000C" w:rsidRPr="0035000C" w:rsidRDefault="0035000C" w:rsidP="0035000C">
      <w:pPr>
        <w:spacing w:after="160" w:line="360" w:lineRule="auto"/>
        <w:jc w:val="both"/>
        <w:rPr>
          <w:rFonts w:ascii="Arial" w:eastAsiaTheme="minorHAnsi" w:hAnsi="Arial" w:cs="Arial"/>
          <w:lang w:val="es-MX" w:eastAsia="en-US"/>
        </w:rPr>
      </w:pPr>
      <w:r>
        <w:rPr>
          <w:rFonts w:ascii="Arial" w:eastAsiaTheme="minorHAnsi" w:hAnsi="Arial" w:cs="Arial"/>
          <w:lang w:val="es-MX" w:eastAsia="en-US"/>
        </w:rPr>
        <w:t xml:space="preserve">Finalmente en cuanto a este punto, a </w:t>
      </w:r>
      <w:r w:rsidRPr="0035000C">
        <w:rPr>
          <w:rFonts w:ascii="Arial" w:eastAsiaTheme="minorHAnsi" w:hAnsi="Arial" w:cs="Arial"/>
          <w:lang w:val="es-MX" w:eastAsia="en-US"/>
        </w:rPr>
        <w:t>juicio de esta Sala Superior, se requiere de una argumentación reforzada, ya que, tratándose de una supuesta medida regresiva de carácter legislativo, como la que ahora se examina, el órgano legislativo tiene la carga argumentativa en el sentido de mostrar que la medida es constitucional. En el caso, no lo hizo.</w:t>
      </w:r>
    </w:p>
    <w:p w14:paraId="6EE02760" w14:textId="77777777" w:rsidR="0035000C" w:rsidRDefault="0035000C" w:rsidP="0035000C">
      <w:pPr>
        <w:spacing w:after="160" w:line="360" w:lineRule="auto"/>
        <w:jc w:val="both"/>
        <w:rPr>
          <w:rFonts w:ascii="Arial" w:eastAsiaTheme="minorHAnsi" w:hAnsi="Arial" w:cs="Arial"/>
          <w:lang w:val="es-MX" w:eastAsia="en-US"/>
        </w:rPr>
      </w:pPr>
      <w:r w:rsidRPr="0035000C">
        <w:rPr>
          <w:rFonts w:ascii="Arial" w:eastAsiaTheme="minorHAnsi" w:hAnsi="Arial" w:cs="Arial"/>
          <w:lang w:val="es-MX" w:eastAsia="en-US"/>
        </w:rPr>
        <w:t>De lo anterior, a manera de corolario, se sigue</w:t>
      </w:r>
      <w:r>
        <w:rPr>
          <w:rFonts w:ascii="Arial" w:eastAsiaTheme="minorHAnsi" w:hAnsi="Arial" w:cs="Arial"/>
          <w:lang w:val="es-MX" w:eastAsia="en-US"/>
        </w:rPr>
        <w:t xml:space="preserve"> </w:t>
      </w:r>
      <w:r w:rsidRPr="0035000C">
        <w:rPr>
          <w:rFonts w:ascii="Arial" w:eastAsiaTheme="minorHAnsi" w:hAnsi="Arial" w:cs="Arial"/>
          <w:lang w:val="es-MX" w:eastAsia="en-US"/>
        </w:rPr>
        <w:t xml:space="preserve">que la medida legislativa no cumple con la condición </w:t>
      </w:r>
      <w:r w:rsidRPr="0035000C">
        <w:rPr>
          <w:rFonts w:ascii="Arial" w:eastAsiaTheme="minorHAnsi" w:hAnsi="Arial" w:cs="Arial"/>
          <w:i/>
          <w:iCs/>
          <w:lang w:val="es-MX" w:eastAsia="en-US"/>
        </w:rPr>
        <w:t>(iv)</w:t>
      </w:r>
      <w:r w:rsidRPr="0035000C">
        <w:rPr>
          <w:rFonts w:ascii="Arial" w:eastAsiaTheme="minorHAnsi" w:hAnsi="Arial" w:cs="Arial"/>
          <w:lang w:val="es-MX" w:eastAsia="en-US"/>
        </w:rPr>
        <w:t xml:space="preserve">, pues la derogación </w:t>
      </w:r>
      <w:r w:rsidR="00650434">
        <w:rPr>
          <w:rFonts w:ascii="Arial" w:eastAsiaTheme="minorHAnsi" w:hAnsi="Arial" w:cs="Arial"/>
          <w:lang w:val="es-MX" w:eastAsia="en-US"/>
        </w:rPr>
        <w:t xml:space="preserve">de </w:t>
      </w:r>
      <w:r w:rsidRPr="0035000C">
        <w:rPr>
          <w:rFonts w:ascii="Arial" w:eastAsiaTheme="minorHAnsi" w:hAnsi="Arial" w:cs="Arial"/>
          <w:lang w:val="es-MX" w:eastAsia="en-US"/>
        </w:rPr>
        <w:t>la diputación migrante obedeció, según el dictamen legislativo aprobado, a razones económicas que, además de ser insuficientes para justificar la medida, no se transparentaron en el dictamen, sino que la medida estuvo rodeada por una gran opacidad.</w:t>
      </w:r>
    </w:p>
    <w:p w14:paraId="28539054" w14:textId="77777777" w:rsidR="006E7308" w:rsidRPr="0035000C" w:rsidRDefault="006E7308" w:rsidP="0035000C">
      <w:pPr>
        <w:spacing w:after="160" w:line="360" w:lineRule="auto"/>
        <w:jc w:val="both"/>
        <w:rPr>
          <w:rFonts w:ascii="Arial" w:eastAsiaTheme="minorHAnsi" w:hAnsi="Arial" w:cs="Arial"/>
          <w:lang w:val="es-MX" w:eastAsia="en-US"/>
        </w:rPr>
      </w:pPr>
      <w:r w:rsidRPr="00EB766C">
        <w:rPr>
          <w:rFonts w:ascii="Arial" w:eastAsiaTheme="minorHAnsi" w:hAnsi="Arial" w:cs="Arial"/>
          <w:lang w:val="es-MX" w:eastAsia="en-US"/>
        </w:rPr>
        <w:t>Al respecto, la Primera Sala de la Suprema Corte de Justicia de la Nación</w:t>
      </w:r>
      <w:r w:rsidR="00EB0D00" w:rsidRPr="00EB766C">
        <w:rPr>
          <w:rFonts w:ascii="Arial" w:eastAsiaTheme="minorHAnsi" w:hAnsi="Arial" w:cs="Arial"/>
          <w:lang w:val="es-MX" w:eastAsia="en-US"/>
        </w:rPr>
        <w:t>,</w:t>
      </w:r>
      <w:r w:rsidRPr="00EB766C">
        <w:rPr>
          <w:rFonts w:ascii="Arial" w:eastAsiaTheme="minorHAnsi" w:hAnsi="Arial" w:cs="Arial"/>
          <w:lang w:val="es-MX" w:eastAsia="en-US"/>
        </w:rPr>
        <w:t xml:space="preserve"> al resolver el Amparo en Revisión 750/2015</w:t>
      </w:r>
      <w:r w:rsidR="00EB0D00" w:rsidRPr="00EB766C">
        <w:rPr>
          <w:rFonts w:ascii="Arial" w:eastAsiaTheme="minorHAnsi" w:hAnsi="Arial" w:cs="Arial"/>
          <w:lang w:val="es-MX" w:eastAsia="en-US"/>
        </w:rPr>
        <w:t>,</w:t>
      </w:r>
      <w:r w:rsidRPr="00EB766C">
        <w:rPr>
          <w:rFonts w:ascii="Arial" w:eastAsiaTheme="minorHAnsi" w:hAnsi="Arial" w:cs="Arial"/>
          <w:lang w:val="es-MX" w:eastAsia="en-US"/>
        </w:rPr>
        <w:t xml:space="preserve"> consideró que cuando haya un retroceso en el reconocimiento de un derecho humano debido a la complejidad económica, este retroceso solo se puede considerar justificado si: a) se acredita la falta de recursos; b) se demuestra que se realizaron todos los esfuerzos necesarios para conseguirlo y, sin embargo, esto no se logró y, finalmente c) se demuestra que se aplicó el máximo de los recursos o que los recursos disponibles tuvieron que aplicarse para tutelar otro derecho humano que, en ese momento, resultaba prioritario. En el caso, esta Sala Superior considera que no se actualizan estas condiciones para tener por justificada la decisión que adoptó el Congreso de la Ciudad de México.</w:t>
      </w:r>
      <w:r>
        <w:rPr>
          <w:rFonts w:ascii="Arial" w:eastAsiaTheme="minorHAnsi" w:hAnsi="Arial" w:cs="Arial"/>
          <w:lang w:val="es-MX" w:eastAsia="en-US"/>
        </w:rPr>
        <w:t xml:space="preserve"> </w:t>
      </w:r>
    </w:p>
    <w:p w14:paraId="28D4A322" w14:textId="77777777" w:rsidR="0035000C" w:rsidRPr="0035000C" w:rsidRDefault="0035000C" w:rsidP="0035000C">
      <w:pPr>
        <w:spacing w:after="160" w:line="360" w:lineRule="auto"/>
        <w:jc w:val="both"/>
        <w:rPr>
          <w:rFonts w:ascii="Arial" w:eastAsiaTheme="minorHAnsi" w:hAnsi="Arial" w:cs="Arial"/>
          <w:lang w:val="es-MX" w:eastAsia="en-US"/>
        </w:rPr>
      </w:pPr>
      <w:r w:rsidRPr="0035000C">
        <w:rPr>
          <w:rFonts w:ascii="Arial" w:eastAsiaTheme="minorHAnsi" w:hAnsi="Arial" w:cs="Arial"/>
          <w:lang w:val="es-MX" w:eastAsia="en-US"/>
        </w:rPr>
        <w:t xml:space="preserve">Consecuentemente, la medida legislativa bajo estudio tampoco cumple con la condición </w:t>
      </w:r>
      <w:r w:rsidRPr="0035000C">
        <w:rPr>
          <w:rFonts w:ascii="Arial" w:eastAsiaTheme="minorHAnsi" w:hAnsi="Arial" w:cs="Arial"/>
          <w:i/>
          <w:iCs/>
          <w:lang w:val="es-MX" w:eastAsia="en-US"/>
        </w:rPr>
        <w:t>(v)</w:t>
      </w:r>
      <w:r w:rsidRPr="0035000C">
        <w:rPr>
          <w:rFonts w:ascii="Arial" w:eastAsiaTheme="minorHAnsi" w:hAnsi="Arial" w:cs="Arial"/>
          <w:lang w:val="es-MX" w:eastAsia="en-US"/>
        </w:rPr>
        <w:t xml:space="preserve">, ya que, como se anticipó, el Congreso de la Ciudad de México no generó un equilibrio razonable de los derechos o bienes constitucionales en juego, sino que eliminó injustificadamente el derecho a votar y ser votado de las ciudadanas y ciudadanos mexicanos originarios de la Ciudad de México y residentes en el extranjero en relación con la diputación migrante para el proceso electoral 2020-2021. </w:t>
      </w:r>
    </w:p>
    <w:p w14:paraId="0083272C" w14:textId="77777777" w:rsidR="0035000C" w:rsidRPr="0035000C" w:rsidRDefault="0035000C" w:rsidP="0035000C">
      <w:pPr>
        <w:spacing w:after="160" w:line="360" w:lineRule="auto"/>
        <w:jc w:val="both"/>
        <w:rPr>
          <w:rFonts w:ascii="Arial" w:eastAsiaTheme="minorHAnsi" w:hAnsi="Arial" w:cs="Arial"/>
          <w:lang w:val="es-MX" w:eastAsia="en-US"/>
        </w:rPr>
      </w:pPr>
      <w:r w:rsidRPr="0035000C">
        <w:rPr>
          <w:rFonts w:ascii="Arial" w:eastAsiaTheme="minorHAnsi" w:hAnsi="Arial" w:cs="Arial"/>
          <w:lang w:val="es-MX" w:eastAsia="en-US"/>
        </w:rPr>
        <w:t xml:space="preserve">Adicionalmente, el Congreso local de la Ciudad de México no incluyó, dentro del procedimiento legislativo respectivo, ningún proceso deliberativo que incluyera a las personas afectadas por la medida regresiva. </w:t>
      </w:r>
    </w:p>
    <w:p w14:paraId="428271F7" w14:textId="77777777" w:rsidR="005F00EC" w:rsidRDefault="005F00EC" w:rsidP="00F24B0F">
      <w:pPr>
        <w:spacing w:before="240" w:after="240" w:line="360" w:lineRule="auto"/>
        <w:jc w:val="both"/>
        <w:rPr>
          <w:rFonts w:ascii="Arial" w:hAnsi="Arial" w:cs="Arial"/>
          <w:color w:val="000000"/>
          <w:lang w:eastAsia="es-MX"/>
        </w:rPr>
      </w:pPr>
      <w:r>
        <w:rPr>
          <w:rFonts w:ascii="Arial" w:hAnsi="Arial" w:cs="Arial"/>
          <w:color w:val="000000"/>
          <w:lang w:eastAsia="es-MX"/>
        </w:rPr>
        <w:t>Por todo lo anterior, esta Sala Superior considera que el acto legislativo que ahora se analiza resulta inconstitucional, dado que vulnera el principio de progresividad de los derechos humanos.</w:t>
      </w:r>
    </w:p>
    <w:p w14:paraId="215AE64D" w14:textId="77777777" w:rsidR="00817035" w:rsidRPr="00EB766C" w:rsidRDefault="00817035" w:rsidP="00817035">
      <w:pPr>
        <w:spacing w:before="240" w:after="240" w:line="360" w:lineRule="auto"/>
        <w:jc w:val="both"/>
        <w:rPr>
          <w:rFonts w:ascii="Arial" w:eastAsia="Arial" w:hAnsi="Arial" w:cs="Arial"/>
          <w:color w:val="222222"/>
        </w:rPr>
      </w:pPr>
      <w:r w:rsidRPr="00EB766C">
        <w:rPr>
          <w:rFonts w:ascii="Arial" w:eastAsia="Arial" w:hAnsi="Arial" w:cs="Arial"/>
          <w:color w:val="222222"/>
        </w:rPr>
        <w:t>Por último, esta Sala Superior considera importante señalar que con la supresión de la figura de la diputación migrante no s</w:t>
      </w:r>
      <w:r w:rsidR="00650434">
        <w:rPr>
          <w:rFonts w:ascii="Arial" w:eastAsia="Arial" w:hAnsi="Arial" w:cs="Arial"/>
          <w:color w:val="222222"/>
        </w:rPr>
        <w:t>o</w:t>
      </w:r>
      <w:r w:rsidRPr="00EB766C">
        <w:rPr>
          <w:rFonts w:ascii="Arial" w:eastAsia="Arial" w:hAnsi="Arial" w:cs="Arial"/>
          <w:color w:val="222222"/>
        </w:rPr>
        <w:t>lo se vulneró el principio de progresividad de los derechos humanos, sino que se retrocedió en la decisión política de reconocer a las personas originarias de la Ciudad de México como integrantes de ella</w:t>
      </w:r>
      <w:r w:rsidR="00650434">
        <w:rPr>
          <w:rFonts w:ascii="Arial" w:eastAsia="Arial" w:hAnsi="Arial" w:cs="Arial"/>
          <w:color w:val="222222"/>
        </w:rPr>
        <w:t>,</w:t>
      </w:r>
      <w:r w:rsidRPr="00EB766C">
        <w:rPr>
          <w:rFonts w:ascii="Arial" w:eastAsia="Arial" w:hAnsi="Arial" w:cs="Arial"/>
          <w:color w:val="222222"/>
        </w:rPr>
        <w:t xml:space="preserve"> a pesar de no residir ahí. </w:t>
      </w:r>
    </w:p>
    <w:p w14:paraId="3741E78C" w14:textId="1D4DA6FA" w:rsidR="00817035" w:rsidRDefault="00817035" w:rsidP="00F24B0F">
      <w:pPr>
        <w:spacing w:before="240" w:after="240" w:line="360" w:lineRule="auto"/>
        <w:jc w:val="both"/>
        <w:rPr>
          <w:rFonts w:ascii="Arial" w:eastAsia="Arial" w:hAnsi="Arial" w:cs="Arial"/>
          <w:color w:val="222222"/>
        </w:rPr>
      </w:pPr>
      <w:r w:rsidRPr="00EB766C">
        <w:rPr>
          <w:rFonts w:ascii="Arial" w:eastAsia="Arial" w:hAnsi="Arial" w:cs="Arial"/>
          <w:color w:val="222222"/>
        </w:rPr>
        <w:t xml:space="preserve">Dado que se trata del reconocimiento de un derecho especial en función del grupo y sigue la misma lógica de los principios multiculturales, la supresión de la figura de la diputación migrante vulneró </w:t>
      </w:r>
      <w:r w:rsidR="00385930" w:rsidRPr="00EB766C">
        <w:rPr>
          <w:rFonts w:ascii="Arial" w:eastAsia="Arial" w:hAnsi="Arial" w:cs="Arial"/>
          <w:color w:val="222222"/>
        </w:rPr>
        <w:t>gravemente</w:t>
      </w:r>
      <w:r w:rsidRPr="00EB766C">
        <w:rPr>
          <w:rFonts w:ascii="Arial" w:eastAsia="Arial" w:hAnsi="Arial" w:cs="Arial"/>
          <w:color w:val="222222"/>
        </w:rPr>
        <w:t xml:space="preserve"> </w:t>
      </w:r>
      <w:r w:rsidR="008868BF" w:rsidRPr="00EB766C">
        <w:rPr>
          <w:rFonts w:ascii="Arial" w:eastAsia="Arial" w:hAnsi="Arial" w:cs="Arial"/>
          <w:color w:val="222222"/>
        </w:rPr>
        <w:t>no solo el principio constitucional de progresividad de los derechos humanos</w:t>
      </w:r>
      <w:r w:rsidR="005A10C6" w:rsidRPr="00EB766C">
        <w:rPr>
          <w:rFonts w:ascii="Arial" w:eastAsia="Arial" w:hAnsi="Arial" w:cs="Arial"/>
          <w:color w:val="222222"/>
        </w:rPr>
        <w:t>, sino también</w:t>
      </w:r>
      <w:r w:rsidR="008868BF" w:rsidRPr="00EB766C">
        <w:rPr>
          <w:rFonts w:ascii="Arial" w:eastAsia="Arial" w:hAnsi="Arial" w:cs="Arial"/>
          <w:color w:val="222222"/>
        </w:rPr>
        <w:t xml:space="preserve"> </w:t>
      </w:r>
      <w:r w:rsidRPr="00EB766C">
        <w:rPr>
          <w:rFonts w:ascii="Arial" w:eastAsia="Arial" w:hAnsi="Arial" w:cs="Arial"/>
          <w:color w:val="222222"/>
        </w:rPr>
        <w:t xml:space="preserve">una serie de expectativas generadas </w:t>
      </w:r>
      <w:r w:rsidR="002F71EC" w:rsidRPr="00EB766C">
        <w:rPr>
          <w:rFonts w:ascii="Arial" w:eastAsia="Arial" w:hAnsi="Arial" w:cs="Arial"/>
          <w:color w:val="222222"/>
        </w:rPr>
        <w:t>a partir del</w:t>
      </w:r>
      <w:r w:rsidRPr="00EB766C">
        <w:rPr>
          <w:rFonts w:ascii="Arial" w:eastAsia="Arial" w:hAnsi="Arial" w:cs="Arial"/>
          <w:color w:val="222222"/>
        </w:rPr>
        <w:t xml:space="preserve"> reconocimiento de ese derecho</w:t>
      </w:r>
      <w:r w:rsidR="009B66C6" w:rsidRPr="00EB766C">
        <w:rPr>
          <w:rFonts w:ascii="Arial" w:eastAsia="Arial" w:hAnsi="Arial" w:cs="Arial"/>
          <w:color w:val="222222"/>
        </w:rPr>
        <w:t xml:space="preserve"> </w:t>
      </w:r>
      <w:r w:rsidR="005C6173" w:rsidRPr="00EB766C">
        <w:rPr>
          <w:rFonts w:ascii="Arial" w:eastAsia="Arial" w:hAnsi="Arial" w:cs="Arial"/>
          <w:color w:val="222222"/>
        </w:rPr>
        <w:t xml:space="preserve">entre </w:t>
      </w:r>
      <w:r w:rsidR="008A2149" w:rsidRPr="00EB766C">
        <w:rPr>
          <w:rFonts w:ascii="Arial" w:eastAsia="Arial" w:hAnsi="Arial" w:cs="Arial"/>
          <w:color w:val="222222"/>
        </w:rPr>
        <w:t>la ciudadanía migrante</w:t>
      </w:r>
      <w:r w:rsidR="00831090" w:rsidRPr="00EB766C">
        <w:rPr>
          <w:rFonts w:ascii="Arial" w:eastAsia="Arial" w:hAnsi="Arial" w:cs="Arial"/>
          <w:color w:val="222222"/>
        </w:rPr>
        <w:t>,</w:t>
      </w:r>
      <w:r w:rsidR="008A2149" w:rsidRPr="00EB766C">
        <w:rPr>
          <w:rFonts w:ascii="Arial" w:eastAsia="Arial" w:hAnsi="Arial" w:cs="Arial"/>
          <w:color w:val="222222"/>
        </w:rPr>
        <w:t xml:space="preserve"> originaria </w:t>
      </w:r>
      <w:r w:rsidRPr="00EB766C">
        <w:rPr>
          <w:rFonts w:ascii="Arial" w:eastAsia="Arial" w:hAnsi="Arial" w:cs="Arial"/>
          <w:color w:val="222222"/>
        </w:rPr>
        <w:t>de la Ciudad de México</w:t>
      </w:r>
      <w:r w:rsidR="00831090" w:rsidRPr="00EB766C">
        <w:rPr>
          <w:rFonts w:ascii="Arial" w:eastAsia="Arial" w:hAnsi="Arial" w:cs="Arial"/>
          <w:color w:val="222222"/>
        </w:rPr>
        <w:t>,</w:t>
      </w:r>
      <w:r w:rsidRPr="00EB766C">
        <w:rPr>
          <w:rFonts w:ascii="Arial" w:eastAsia="Arial" w:hAnsi="Arial" w:cs="Arial"/>
          <w:color w:val="222222"/>
        </w:rPr>
        <w:t xml:space="preserve"> </w:t>
      </w:r>
      <w:r w:rsidR="00C47CBF" w:rsidRPr="00EB766C">
        <w:rPr>
          <w:rFonts w:ascii="Arial" w:eastAsia="Arial" w:hAnsi="Arial" w:cs="Arial"/>
          <w:color w:val="222222"/>
        </w:rPr>
        <w:t xml:space="preserve">titular del derecho, </w:t>
      </w:r>
      <w:r w:rsidR="00831090" w:rsidRPr="00EB766C">
        <w:rPr>
          <w:rFonts w:ascii="Arial" w:eastAsia="Arial" w:hAnsi="Arial" w:cs="Arial"/>
          <w:color w:val="222222"/>
        </w:rPr>
        <w:t xml:space="preserve">es decir, de </w:t>
      </w:r>
      <w:r w:rsidRPr="00EB766C">
        <w:rPr>
          <w:rFonts w:ascii="Arial" w:eastAsia="Arial" w:hAnsi="Arial" w:cs="Arial"/>
          <w:color w:val="222222"/>
        </w:rPr>
        <w:t>la diáspora mexicana</w:t>
      </w:r>
      <w:r w:rsidR="00040903" w:rsidRPr="00EB766C">
        <w:rPr>
          <w:rFonts w:ascii="Arial" w:eastAsia="Arial" w:hAnsi="Arial" w:cs="Arial"/>
          <w:color w:val="222222"/>
        </w:rPr>
        <w:t>,</w:t>
      </w:r>
      <w:r w:rsidRPr="00EB766C">
        <w:rPr>
          <w:rFonts w:ascii="Arial" w:eastAsia="Arial" w:hAnsi="Arial" w:cs="Arial"/>
          <w:color w:val="222222"/>
        </w:rPr>
        <w:t xml:space="preserve"> </w:t>
      </w:r>
      <w:r w:rsidR="0041293B" w:rsidRPr="00EB766C">
        <w:rPr>
          <w:rFonts w:ascii="Arial" w:eastAsia="Arial" w:hAnsi="Arial" w:cs="Arial"/>
          <w:color w:val="222222"/>
        </w:rPr>
        <w:t>integrante de la</w:t>
      </w:r>
      <w:r w:rsidR="00040903" w:rsidRPr="00EB766C">
        <w:rPr>
          <w:rFonts w:ascii="Arial" w:eastAsia="Arial" w:hAnsi="Arial" w:cs="Arial"/>
          <w:color w:val="222222"/>
        </w:rPr>
        <w:t xml:space="preserve"> nación mexicana</w:t>
      </w:r>
      <w:r w:rsidR="005C4DDC" w:rsidRPr="00EB766C">
        <w:rPr>
          <w:rFonts w:ascii="Arial" w:eastAsia="Arial" w:hAnsi="Arial" w:cs="Arial"/>
          <w:color w:val="222222"/>
        </w:rPr>
        <w:t xml:space="preserve"> en el marco de una democracia constitucional incluyente</w:t>
      </w:r>
      <w:r w:rsidRPr="00EB766C">
        <w:rPr>
          <w:rFonts w:ascii="Arial" w:eastAsia="Arial" w:hAnsi="Arial" w:cs="Arial"/>
          <w:color w:val="222222"/>
        </w:rPr>
        <w:t>.</w:t>
      </w:r>
      <w:r w:rsidRPr="00136B43">
        <w:rPr>
          <w:rFonts w:ascii="Arial" w:eastAsia="Arial" w:hAnsi="Arial" w:cs="Arial"/>
          <w:color w:val="222222"/>
        </w:rPr>
        <w:t xml:space="preserve"> </w:t>
      </w:r>
    </w:p>
    <w:p w14:paraId="5DFD35D7" w14:textId="6ADAE1B9" w:rsidR="00D832AD" w:rsidRPr="009104F9" w:rsidRDefault="00343700" w:rsidP="0040186D">
      <w:pPr>
        <w:spacing w:line="360" w:lineRule="auto"/>
        <w:jc w:val="both"/>
        <w:rPr>
          <w:rFonts w:ascii="Arial" w:eastAsiaTheme="minorHAnsi" w:hAnsi="Arial" w:cs="Arial"/>
          <w:lang w:val="es-MX" w:eastAsia="en-US"/>
        </w:rPr>
      </w:pPr>
      <w:r w:rsidRPr="009104F9">
        <w:rPr>
          <w:rFonts w:ascii="Arial" w:eastAsiaTheme="minorHAnsi" w:hAnsi="Arial" w:cs="Arial"/>
          <w:lang w:val="es-MX" w:eastAsia="en-US"/>
        </w:rPr>
        <w:t xml:space="preserve">Consecuentemente, </w:t>
      </w:r>
      <w:r w:rsidR="00707CFE" w:rsidRPr="009104F9">
        <w:rPr>
          <w:rFonts w:ascii="Arial" w:eastAsiaTheme="minorHAnsi" w:hAnsi="Arial" w:cs="Arial"/>
          <w:lang w:val="es-MX" w:eastAsia="en-US"/>
        </w:rPr>
        <w:t xml:space="preserve">para este órgano jurisdiccional federal, </w:t>
      </w:r>
      <w:r w:rsidRPr="009104F9">
        <w:rPr>
          <w:rFonts w:ascii="Arial" w:eastAsiaTheme="minorHAnsi" w:hAnsi="Arial" w:cs="Arial"/>
          <w:lang w:val="es-MX" w:eastAsia="en-US"/>
        </w:rPr>
        <w:t xml:space="preserve">es preciso realizar las siguientes consideraciones sobre </w:t>
      </w:r>
      <w:r w:rsidR="0040186D" w:rsidRPr="009104F9">
        <w:rPr>
          <w:rFonts w:ascii="Arial" w:eastAsiaTheme="minorHAnsi" w:hAnsi="Arial" w:cs="Arial"/>
          <w:lang w:val="es-MX" w:eastAsia="en-US"/>
        </w:rPr>
        <w:t xml:space="preserve">los efectos extensivos de la </w:t>
      </w:r>
      <w:r w:rsidR="00D0087C" w:rsidRPr="009104F9">
        <w:rPr>
          <w:rFonts w:ascii="Arial" w:eastAsiaTheme="minorHAnsi" w:hAnsi="Arial" w:cs="Arial"/>
          <w:lang w:val="es-MX" w:eastAsia="en-US"/>
        </w:rPr>
        <w:t xml:space="preserve">tutela jurisdiccional </w:t>
      </w:r>
      <w:r w:rsidR="008B2D1B" w:rsidRPr="009104F9">
        <w:rPr>
          <w:rFonts w:ascii="Arial" w:eastAsiaTheme="minorHAnsi" w:hAnsi="Arial" w:cs="Arial"/>
          <w:lang w:val="es-MX" w:eastAsia="en-US"/>
        </w:rPr>
        <w:t xml:space="preserve">de la presente ejecutoria </w:t>
      </w:r>
      <w:r w:rsidR="00D0087C" w:rsidRPr="009104F9">
        <w:rPr>
          <w:rFonts w:ascii="Arial" w:eastAsiaTheme="minorHAnsi" w:hAnsi="Arial" w:cs="Arial"/>
          <w:lang w:val="es-MX" w:eastAsia="en-US"/>
        </w:rPr>
        <w:t xml:space="preserve">en favor </w:t>
      </w:r>
      <w:r w:rsidR="00383D57" w:rsidRPr="009104F9">
        <w:rPr>
          <w:rFonts w:ascii="Arial" w:eastAsiaTheme="minorHAnsi" w:hAnsi="Arial" w:cs="Arial"/>
          <w:lang w:val="es-MX" w:eastAsia="en-US"/>
        </w:rPr>
        <w:t>de</w:t>
      </w:r>
      <w:r w:rsidR="001416F6" w:rsidRPr="009104F9">
        <w:rPr>
          <w:rFonts w:ascii="Arial" w:eastAsiaTheme="minorHAnsi" w:hAnsi="Arial" w:cs="Arial"/>
          <w:lang w:val="es-MX" w:eastAsia="en-US"/>
        </w:rPr>
        <w:t xml:space="preserve">l </w:t>
      </w:r>
      <w:r w:rsidR="008E10A1" w:rsidRPr="009104F9">
        <w:rPr>
          <w:rFonts w:ascii="Arial" w:eastAsiaTheme="minorHAnsi" w:hAnsi="Arial" w:cs="Arial"/>
          <w:lang w:val="es-MX" w:eastAsia="en-US"/>
        </w:rPr>
        <w:t xml:space="preserve">titular del derecho de </w:t>
      </w:r>
      <w:r w:rsidR="001416F6" w:rsidRPr="009104F9">
        <w:rPr>
          <w:rFonts w:ascii="Arial" w:eastAsiaTheme="minorHAnsi" w:hAnsi="Arial" w:cs="Arial"/>
          <w:lang w:val="es-MX" w:eastAsia="en-US"/>
        </w:rPr>
        <w:t xml:space="preserve">grupo de que se trata, es decir, </w:t>
      </w:r>
      <w:r w:rsidR="008E10A1" w:rsidRPr="009104F9">
        <w:rPr>
          <w:rFonts w:ascii="Arial" w:eastAsiaTheme="minorHAnsi" w:hAnsi="Arial" w:cs="Arial"/>
          <w:lang w:val="es-MX" w:eastAsia="en-US"/>
        </w:rPr>
        <w:t>la ciudadanía originaria</w:t>
      </w:r>
      <w:r w:rsidR="00104F56" w:rsidRPr="009104F9">
        <w:rPr>
          <w:rFonts w:ascii="Arial" w:eastAsiaTheme="minorHAnsi" w:hAnsi="Arial" w:cs="Arial"/>
          <w:lang w:val="es-MX" w:eastAsia="en-US"/>
        </w:rPr>
        <w:t xml:space="preserve"> de la Ciudad de México residente en el extranjero</w:t>
      </w:r>
      <w:r w:rsidR="008E10A1" w:rsidRPr="009104F9">
        <w:rPr>
          <w:rFonts w:ascii="Arial" w:eastAsiaTheme="minorHAnsi" w:hAnsi="Arial" w:cs="Arial"/>
          <w:lang w:val="es-MX" w:eastAsia="en-US"/>
        </w:rPr>
        <w:t xml:space="preserve"> </w:t>
      </w:r>
      <w:r w:rsidR="0040186D" w:rsidRPr="009104F9">
        <w:rPr>
          <w:rFonts w:ascii="Arial" w:eastAsiaTheme="minorHAnsi" w:hAnsi="Arial" w:cs="Arial"/>
          <w:lang w:val="es-MX" w:eastAsia="en-US"/>
        </w:rPr>
        <w:t>.</w:t>
      </w:r>
    </w:p>
    <w:p w14:paraId="3E90FEDD" w14:textId="77777777" w:rsidR="0040186D" w:rsidRPr="009104F9" w:rsidRDefault="0040186D" w:rsidP="0040186D">
      <w:pPr>
        <w:spacing w:line="360" w:lineRule="auto"/>
        <w:jc w:val="both"/>
        <w:rPr>
          <w:rFonts w:ascii="Arial" w:eastAsiaTheme="minorHAnsi" w:hAnsi="Arial" w:cs="Arial"/>
          <w:lang w:val="es-MX" w:eastAsia="en-US"/>
        </w:rPr>
      </w:pPr>
    </w:p>
    <w:p w14:paraId="03ABD1EC" w14:textId="4B054966" w:rsidR="00F42B98" w:rsidRPr="009104F9" w:rsidRDefault="00F42B98" w:rsidP="0040186D">
      <w:pPr>
        <w:spacing w:line="360" w:lineRule="auto"/>
        <w:jc w:val="both"/>
        <w:rPr>
          <w:rFonts w:ascii="Arial" w:eastAsiaTheme="minorHAnsi" w:hAnsi="Arial" w:cs="Arial"/>
          <w:lang w:val="es-MX" w:eastAsia="en-US"/>
        </w:rPr>
      </w:pPr>
      <w:r w:rsidRPr="009104F9">
        <w:rPr>
          <w:rFonts w:ascii="Arial" w:eastAsiaTheme="minorHAnsi" w:hAnsi="Arial" w:cs="Arial"/>
          <w:lang w:val="es-MX" w:eastAsia="en-US"/>
        </w:rPr>
        <w:t xml:space="preserve">Cuando en un caso como en el presente, se afecta un contexto normativo específico como es la posibilidad de elegir a </w:t>
      </w:r>
      <w:r w:rsidRPr="009104F9">
        <w:rPr>
          <w:rFonts w:ascii="Arial" w:eastAsiaTheme="minorHAnsi" w:hAnsi="Arial" w:cs="Arial"/>
          <w:i/>
          <w:lang w:val="es-MX" w:eastAsia="en-US"/>
        </w:rPr>
        <w:t>diputaciones migrantes</w:t>
      </w:r>
      <w:r w:rsidRPr="009104F9">
        <w:rPr>
          <w:rFonts w:ascii="Arial" w:eastAsiaTheme="minorHAnsi" w:hAnsi="Arial" w:cs="Arial"/>
          <w:lang w:val="es-MX" w:eastAsia="en-US"/>
        </w:rPr>
        <w:t xml:space="preserve"> dentro del proceso electoral 2020-2021 para renovar el Congreso de la </w:t>
      </w:r>
      <w:r w:rsidR="00D0087C" w:rsidRPr="009104F9">
        <w:rPr>
          <w:rFonts w:ascii="Arial" w:eastAsiaTheme="minorHAnsi" w:hAnsi="Arial" w:cs="Arial"/>
          <w:lang w:val="es-MX" w:eastAsia="en-US"/>
        </w:rPr>
        <w:t>Ciudad de México</w:t>
      </w:r>
      <w:r w:rsidRPr="009104F9">
        <w:rPr>
          <w:rFonts w:ascii="Arial" w:eastAsiaTheme="minorHAnsi" w:hAnsi="Arial" w:cs="Arial"/>
          <w:lang w:val="es-MX" w:eastAsia="en-US"/>
        </w:rPr>
        <w:t>, se está ante una figura en la que pueden ser electas distintas personas que se encontraban identificadas de manera autoaplicativa desde la expedición de las normas respectivas en el código local.</w:t>
      </w:r>
    </w:p>
    <w:p w14:paraId="2B69CBF2" w14:textId="77777777" w:rsidR="00561259" w:rsidRPr="009104F9" w:rsidRDefault="00561259" w:rsidP="0040186D">
      <w:pPr>
        <w:spacing w:line="360" w:lineRule="auto"/>
        <w:jc w:val="both"/>
        <w:rPr>
          <w:rFonts w:ascii="Arial" w:eastAsiaTheme="minorHAnsi" w:hAnsi="Arial" w:cs="Arial"/>
          <w:lang w:val="es-MX" w:eastAsia="en-US"/>
        </w:rPr>
      </w:pPr>
    </w:p>
    <w:p w14:paraId="71A10C98" w14:textId="0A459B77" w:rsidR="00F42B98" w:rsidRPr="009104F9" w:rsidRDefault="00F42B98" w:rsidP="0040186D">
      <w:pPr>
        <w:spacing w:line="360" w:lineRule="auto"/>
        <w:jc w:val="both"/>
        <w:rPr>
          <w:rFonts w:ascii="Arial" w:eastAsiaTheme="minorHAnsi" w:hAnsi="Arial" w:cs="Arial"/>
          <w:lang w:val="es-MX" w:eastAsia="en-US"/>
        </w:rPr>
      </w:pPr>
      <w:r w:rsidRPr="009104F9">
        <w:rPr>
          <w:rFonts w:ascii="Arial" w:eastAsiaTheme="minorHAnsi" w:hAnsi="Arial" w:cs="Arial"/>
          <w:lang w:val="es-MX" w:eastAsia="en-US"/>
        </w:rPr>
        <w:t xml:space="preserve">Precisamente, esa especial posición construye una colectividad con interés legítimo que debe ser tratada igual, en tanto sus miembros se encuentran en la misma circunstancia fáctica y bajo una situación jurídica común, generada por la aplicación de las normas que regulaban la modalidad de </w:t>
      </w:r>
      <w:r w:rsidRPr="009104F9">
        <w:rPr>
          <w:rFonts w:ascii="Arial" w:eastAsiaTheme="minorHAnsi" w:hAnsi="Arial" w:cs="Arial"/>
          <w:i/>
          <w:lang w:val="es-MX" w:eastAsia="en-US"/>
        </w:rPr>
        <w:t>diputación migrante</w:t>
      </w:r>
      <w:r w:rsidRPr="009104F9">
        <w:rPr>
          <w:rFonts w:ascii="Arial" w:eastAsiaTheme="minorHAnsi" w:hAnsi="Arial" w:cs="Arial"/>
          <w:lang w:val="es-MX" w:eastAsia="en-US"/>
        </w:rPr>
        <w:t>, lo cual justifica que los efectos sean extensivos a quienes formen parte de ese colectivo.</w:t>
      </w:r>
    </w:p>
    <w:p w14:paraId="680B9A27" w14:textId="77777777" w:rsidR="00561259" w:rsidRPr="009104F9" w:rsidRDefault="00561259" w:rsidP="0040186D">
      <w:pPr>
        <w:spacing w:line="360" w:lineRule="auto"/>
        <w:jc w:val="both"/>
        <w:rPr>
          <w:rFonts w:ascii="Arial" w:eastAsiaTheme="minorHAnsi" w:hAnsi="Arial" w:cs="Arial"/>
          <w:lang w:val="es-MX" w:eastAsia="en-US"/>
        </w:rPr>
      </w:pPr>
    </w:p>
    <w:p w14:paraId="4A6D1675" w14:textId="37BCC64C" w:rsidR="00F42B98" w:rsidRPr="009104F9" w:rsidRDefault="00F42B98" w:rsidP="0040186D">
      <w:pPr>
        <w:spacing w:line="360" w:lineRule="auto"/>
        <w:jc w:val="both"/>
        <w:rPr>
          <w:rFonts w:ascii="Arial" w:eastAsiaTheme="minorHAnsi" w:hAnsi="Arial" w:cs="Arial"/>
          <w:lang w:val="es-MX" w:eastAsia="en-US"/>
        </w:rPr>
      </w:pPr>
      <w:r w:rsidRPr="009104F9">
        <w:rPr>
          <w:rFonts w:ascii="Arial" w:eastAsiaTheme="minorHAnsi" w:hAnsi="Arial" w:cs="Arial"/>
          <w:lang w:val="es-MX" w:eastAsia="en-US"/>
        </w:rPr>
        <w:t xml:space="preserve">Estos efectos </w:t>
      </w:r>
      <w:r w:rsidRPr="009104F9">
        <w:rPr>
          <w:rFonts w:ascii="Arial" w:eastAsiaTheme="minorHAnsi" w:hAnsi="Arial" w:cs="Arial"/>
          <w:i/>
          <w:lang w:val="es-MX" w:eastAsia="en-US"/>
        </w:rPr>
        <w:t>inter comunis</w:t>
      </w:r>
      <w:r w:rsidRPr="009104F9">
        <w:rPr>
          <w:rFonts w:ascii="Arial" w:eastAsiaTheme="minorHAnsi" w:hAnsi="Arial" w:cs="Arial"/>
          <w:lang w:val="es-MX" w:eastAsia="en-US"/>
        </w:rPr>
        <w:t xml:space="preserve"> </w:t>
      </w:r>
      <w:r w:rsidR="00EC086E" w:rsidRPr="009104F9">
        <w:rPr>
          <w:rFonts w:ascii="Arial" w:eastAsiaTheme="minorHAnsi" w:hAnsi="Arial" w:cs="Arial"/>
          <w:lang w:val="es-MX" w:eastAsia="en-US"/>
        </w:rPr>
        <w:t>tienen por objeto</w:t>
      </w:r>
      <w:r w:rsidRPr="009104F9">
        <w:rPr>
          <w:rFonts w:ascii="Arial" w:eastAsiaTheme="minorHAnsi" w:hAnsi="Arial" w:cs="Arial"/>
          <w:lang w:val="es-MX" w:eastAsia="en-US"/>
        </w:rPr>
        <w:t xml:space="preserve"> evitar una vulneración al principio de igualdad, </w:t>
      </w:r>
      <w:r w:rsidR="00BB520E" w:rsidRPr="009104F9">
        <w:rPr>
          <w:rFonts w:ascii="Arial" w:eastAsiaTheme="minorHAnsi" w:hAnsi="Arial" w:cs="Arial"/>
          <w:lang w:val="es-MX" w:eastAsia="en-US"/>
        </w:rPr>
        <w:t>reconocido en el artículo 1</w:t>
      </w:r>
      <w:r w:rsidR="009D2F02" w:rsidRPr="009104F9">
        <w:rPr>
          <w:rFonts w:ascii="Arial" w:eastAsiaTheme="minorHAnsi" w:hAnsi="Arial" w:cs="Arial"/>
          <w:lang w:val="es-MX" w:eastAsia="en-US"/>
        </w:rPr>
        <w:t xml:space="preserve">º </w:t>
      </w:r>
      <w:r w:rsidR="00BB520E" w:rsidRPr="009104F9">
        <w:rPr>
          <w:rFonts w:ascii="Arial" w:eastAsiaTheme="minorHAnsi" w:hAnsi="Arial" w:cs="Arial"/>
          <w:lang w:val="es-MX" w:eastAsia="en-US"/>
        </w:rPr>
        <w:t>constitucional</w:t>
      </w:r>
      <w:r w:rsidR="00F32552" w:rsidRPr="009104F9">
        <w:rPr>
          <w:rFonts w:ascii="Arial" w:eastAsiaTheme="minorHAnsi" w:hAnsi="Arial" w:cs="Arial"/>
          <w:lang w:val="es-MX" w:eastAsia="en-US"/>
        </w:rPr>
        <w:t>.</w:t>
      </w:r>
      <w:r w:rsidR="00BB520E" w:rsidRPr="009104F9">
        <w:rPr>
          <w:rFonts w:ascii="Arial" w:eastAsiaTheme="minorHAnsi" w:hAnsi="Arial" w:cs="Arial"/>
          <w:lang w:val="es-MX" w:eastAsia="en-US"/>
        </w:rPr>
        <w:t xml:space="preserve"> </w:t>
      </w:r>
      <w:r w:rsidR="00F32552" w:rsidRPr="009104F9">
        <w:rPr>
          <w:rFonts w:ascii="Arial" w:eastAsiaTheme="minorHAnsi" w:hAnsi="Arial" w:cs="Arial"/>
          <w:lang w:val="es-MX" w:eastAsia="en-US"/>
        </w:rPr>
        <w:t>D</w:t>
      </w:r>
      <w:r w:rsidRPr="009104F9">
        <w:rPr>
          <w:rFonts w:ascii="Arial" w:eastAsiaTheme="minorHAnsi" w:hAnsi="Arial" w:cs="Arial"/>
          <w:lang w:val="es-MX" w:eastAsia="en-US"/>
        </w:rPr>
        <w:t xml:space="preserve">e ahí que los mismos deban ser aplicados a todas las personas que se ubican en la hipótesis de participación política bajo la modalidad derogada, </w:t>
      </w:r>
      <w:r w:rsidR="00BD0289" w:rsidRPr="009104F9">
        <w:rPr>
          <w:rFonts w:ascii="Arial" w:eastAsiaTheme="minorHAnsi" w:hAnsi="Arial" w:cs="Arial"/>
          <w:lang w:val="es-MX" w:eastAsia="en-US"/>
        </w:rPr>
        <w:t xml:space="preserve">es decir, la diputación migrante, </w:t>
      </w:r>
      <w:r w:rsidRPr="009104F9">
        <w:rPr>
          <w:rFonts w:ascii="Arial" w:eastAsiaTheme="minorHAnsi" w:hAnsi="Arial" w:cs="Arial"/>
          <w:lang w:val="es-MX" w:eastAsia="en-US"/>
        </w:rPr>
        <w:t>sin que ello implique darle efectos generales a la declaración de inconstitucionalidad de esa supresión.</w:t>
      </w:r>
    </w:p>
    <w:p w14:paraId="60032789" w14:textId="77777777" w:rsidR="00561259" w:rsidRPr="009104F9" w:rsidRDefault="00561259" w:rsidP="0040186D">
      <w:pPr>
        <w:spacing w:line="360" w:lineRule="auto"/>
        <w:jc w:val="both"/>
        <w:rPr>
          <w:rFonts w:ascii="Arial" w:eastAsiaTheme="minorHAnsi" w:hAnsi="Arial" w:cs="Arial"/>
          <w:lang w:val="es-MX" w:eastAsia="en-US"/>
        </w:rPr>
      </w:pPr>
    </w:p>
    <w:p w14:paraId="470B827C" w14:textId="65174867" w:rsidR="00FF1120" w:rsidRPr="00817035" w:rsidRDefault="00F42B98" w:rsidP="0040186D">
      <w:pPr>
        <w:spacing w:line="360" w:lineRule="auto"/>
        <w:jc w:val="both"/>
        <w:rPr>
          <w:rFonts w:ascii="Arial" w:eastAsia="Arial" w:hAnsi="Arial" w:cs="Arial"/>
          <w:color w:val="222222"/>
        </w:rPr>
      </w:pPr>
      <w:r w:rsidRPr="009104F9">
        <w:rPr>
          <w:rFonts w:ascii="Arial" w:eastAsiaTheme="minorHAnsi" w:hAnsi="Arial" w:cs="Arial"/>
          <w:lang w:val="es-MX" w:eastAsia="en-US"/>
        </w:rPr>
        <w:t xml:space="preserve">Estos efectos tienen su fundamento en el principio </w:t>
      </w:r>
      <w:r w:rsidRPr="009104F9">
        <w:rPr>
          <w:rFonts w:ascii="Arial" w:eastAsiaTheme="minorHAnsi" w:hAnsi="Arial" w:cs="Arial"/>
          <w:i/>
          <w:iCs/>
          <w:lang w:val="es-MX" w:eastAsia="en-US"/>
        </w:rPr>
        <w:t>consecuencialista</w:t>
      </w:r>
      <w:r w:rsidRPr="009104F9">
        <w:rPr>
          <w:rFonts w:ascii="Arial" w:eastAsiaTheme="minorHAnsi" w:hAnsi="Arial" w:cs="Arial"/>
          <w:lang w:val="es-MX" w:eastAsia="en-US"/>
        </w:rPr>
        <w:t xml:space="preserve"> conforme al cual es preferible determinar en sede judicial constitucional que los efectos beneficien a toda la ciudadanía que pretende ejercer su derecho a la participación política en el proceso electoral local </w:t>
      </w:r>
      <w:r w:rsidR="005F5A22" w:rsidRPr="009104F9">
        <w:rPr>
          <w:rFonts w:ascii="Arial" w:eastAsiaTheme="minorHAnsi" w:hAnsi="Arial" w:cs="Arial"/>
          <w:lang w:val="es-MX" w:eastAsia="en-US"/>
        </w:rPr>
        <w:t xml:space="preserve">respectivo </w:t>
      </w:r>
      <w:r w:rsidRPr="009104F9">
        <w:rPr>
          <w:rFonts w:ascii="Arial" w:eastAsiaTheme="minorHAnsi" w:hAnsi="Arial" w:cs="Arial"/>
          <w:lang w:val="es-MX" w:eastAsia="en-US"/>
        </w:rPr>
        <w:t xml:space="preserve">y, particularmente, el derecho al sufragio tanto activo como pasivo en relación con la institución de la </w:t>
      </w:r>
      <w:r w:rsidRPr="009104F9">
        <w:rPr>
          <w:rFonts w:ascii="Arial" w:eastAsiaTheme="minorHAnsi" w:hAnsi="Arial" w:cs="Arial"/>
          <w:i/>
          <w:lang w:val="es-MX" w:eastAsia="en-US"/>
        </w:rPr>
        <w:t>diputación migrante</w:t>
      </w:r>
      <w:r w:rsidRPr="009104F9">
        <w:rPr>
          <w:rFonts w:ascii="Arial" w:eastAsiaTheme="minorHAnsi" w:hAnsi="Arial" w:cs="Arial"/>
          <w:lang w:val="es-MX" w:eastAsia="en-US"/>
        </w:rPr>
        <w:t>, pues con ello se garantiza el ejercicio de un derecho humano fundamental, en condiciones de seguridad y certeza jurídica, propiciando igualdad y equidad en la contienda</w:t>
      </w:r>
      <w:r w:rsidR="0040186D" w:rsidRPr="009104F9">
        <w:rPr>
          <w:rFonts w:ascii="Arial" w:eastAsiaTheme="minorHAnsi" w:hAnsi="Arial" w:cs="Arial"/>
          <w:lang w:val="es-MX" w:eastAsia="en-US"/>
        </w:rPr>
        <w:t>.</w:t>
      </w:r>
    </w:p>
    <w:p w14:paraId="765CBBF3" w14:textId="77777777" w:rsidR="00EB25A9" w:rsidRPr="00EB766C" w:rsidRDefault="0028058F" w:rsidP="00E043F5">
      <w:pPr>
        <w:spacing w:before="240" w:after="240" w:line="360" w:lineRule="auto"/>
        <w:jc w:val="both"/>
        <w:rPr>
          <w:rFonts w:ascii="Arial" w:hAnsi="Arial" w:cs="Arial"/>
        </w:rPr>
      </w:pPr>
      <w:r>
        <w:rPr>
          <w:rFonts w:ascii="Arial" w:hAnsi="Arial" w:cs="Arial"/>
        </w:rPr>
        <w:t>De ahí que se</w:t>
      </w:r>
      <w:r w:rsidR="00E043F5" w:rsidRPr="00E043F5">
        <w:rPr>
          <w:rFonts w:ascii="Arial" w:hAnsi="Arial" w:cs="Arial"/>
        </w:rPr>
        <w:t xml:space="preserve"> </w:t>
      </w:r>
      <w:r w:rsidR="00DB758D" w:rsidRPr="00EB766C">
        <w:rPr>
          <w:rFonts w:ascii="Arial" w:hAnsi="Arial" w:cs="Arial"/>
        </w:rPr>
        <w:t>modifica</w:t>
      </w:r>
      <w:r w:rsidR="00E043F5" w:rsidRPr="00E043F5">
        <w:rPr>
          <w:rFonts w:ascii="Arial" w:hAnsi="Arial" w:cs="Arial"/>
        </w:rPr>
        <w:t xml:space="preserve"> la determinación impugnada</w:t>
      </w:r>
      <w:r w:rsidR="00DB758D">
        <w:rPr>
          <w:rFonts w:ascii="Arial" w:hAnsi="Arial" w:cs="Arial"/>
        </w:rPr>
        <w:t xml:space="preserve"> según las razones aquí </w:t>
      </w:r>
      <w:r w:rsidR="00DB758D" w:rsidRPr="00EB766C">
        <w:rPr>
          <w:rFonts w:ascii="Arial" w:hAnsi="Arial" w:cs="Arial"/>
        </w:rPr>
        <w:t>expuestas.</w:t>
      </w:r>
    </w:p>
    <w:p w14:paraId="5EA34E2A" w14:textId="77777777" w:rsidR="00EF7A07" w:rsidRPr="00D72782" w:rsidRDefault="00D72782" w:rsidP="00D72782">
      <w:pPr>
        <w:pStyle w:val="Ttulo1"/>
        <w:spacing w:before="240" w:beforeAutospacing="0" w:after="240" w:afterAutospacing="0"/>
        <w:rPr>
          <w:rFonts w:ascii="Arial Negrita" w:eastAsiaTheme="minorHAnsi" w:hAnsi="Arial Negrita" w:cs="Arial"/>
          <w:caps w:val="0"/>
          <w:szCs w:val="24"/>
        </w:rPr>
      </w:pPr>
      <w:bookmarkStart w:id="37" w:name="_Toc48404891"/>
      <w:r>
        <w:rPr>
          <w:rFonts w:ascii="Arial Negrita" w:eastAsiaTheme="minorHAnsi" w:hAnsi="Arial Negrita" w:cs="Arial"/>
          <w:caps w:val="0"/>
          <w:szCs w:val="24"/>
        </w:rPr>
        <w:t xml:space="preserve">6. </w:t>
      </w:r>
      <w:r w:rsidR="00EF7A07" w:rsidRPr="00D72782">
        <w:rPr>
          <w:rFonts w:ascii="Arial Negrita" w:eastAsiaTheme="minorHAnsi" w:hAnsi="Arial Negrita" w:cs="Arial"/>
          <w:caps w:val="0"/>
          <w:szCs w:val="24"/>
        </w:rPr>
        <w:t>EFECTOS</w:t>
      </w:r>
      <w:bookmarkEnd w:id="37"/>
    </w:p>
    <w:p w14:paraId="39FA88E2" w14:textId="77777777" w:rsidR="00EF7A07" w:rsidRPr="00EB766C" w:rsidRDefault="00EF7A07" w:rsidP="00EF7A07">
      <w:pPr>
        <w:spacing w:before="240" w:after="240" w:line="360" w:lineRule="auto"/>
        <w:jc w:val="both"/>
        <w:rPr>
          <w:rFonts w:ascii="Arial" w:eastAsia="Calibri" w:hAnsi="Arial" w:cs="Arial"/>
        </w:rPr>
      </w:pPr>
      <w:r w:rsidRPr="00EB766C">
        <w:rPr>
          <w:rFonts w:ascii="Arial" w:eastAsia="Calibri" w:hAnsi="Arial" w:cs="Arial"/>
        </w:rPr>
        <w:t xml:space="preserve">De acuerdo con lo antes razonado, esta Sala Superior </w:t>
      </w:r>
      <w:r w:rsidR="00B469B6" w:rsidRPr="00EB766C">
        <w:rPr>
          <w:rFonts w:ascii="Arial" w:eastAsia="Calibri" w:hAnsi="Arial" w:cs="Arial"/>
        </w:rPr>
        <w:t xml:space="preserve">determina </w:t>
      </w:r>
      <w:r w:rsidRPr="00EB766C">
        <w:rPr>
          <w:rFonts w:ascii="Arial" w:eastAsia="Calibri" w:hAnsi="Arial" w:cs="Arial"/>
        </w:rPr>
        <w:t xml:space="preserve">modificar la sentencia impugnada </w:t>
      </w:r>
      <w:r w:rsidR="009D458A" w:rsidRPr="00EB766C">
        <w:rPr>
          <w:rFonts w:ascii="Arial" w:eastAsia="Calibri" w:hAnsi="Arial" w:cs="Arial"/>
        </w:rPr>
        <w:t xml:space="preserve">con </w:t>
      </w:r>
      <w:r w:rsidR="00F66409" w:rsidRPr="00EB766C">
        <w:rPr>
          <w:rFonts w:ascii="Arial" w:eastAsia="Calibri" w:hAnsi="Arial" w:cs="Arial"/>
        </w:rPr>
        <w:t>l</w:t>
      </w:r>
      <w:r w:rsidR="00C811D9" w:rsidRPr="00EB766C">
        <w:rPr>
          <w:rFonts w:ascii="Arial" w:eastAsia="Calibri" w:hAnsi="Arial" w:cs="Arial"/>
        </w:rPr>
        <w:t>os efectos siguientes</w:t>
      </w:r>
      <w:r w:rsidRPr="00EB766C">
        <w:rPr>
          <w:rFonts w:ascii="Arial" w:eastAsia="Calibri" w:hAnsi="Arial" w:cs="Arial"/>
        </w:rPr>
        <w:t>:</w:t>
      </w:r>
      <w:r w:rsidR="00DB1E14" w:rsidRPr="00EB766C">
        <w:rPr>
          <w:rStyle w:val="Refdenotaalpie"/>
          <w:rFonts w:ascii="Arial" w:eastAsia="Calibri" w:hAnsi="Arial" w:cs="Arial"/>
        </w:rPr>
        <w:footnoteReference w:id="61"/>
      </w:r>
      <w:r w:rsidRPr="00EB766C">
        <w:rPr>
          <w:rFonts w:ascii="Arial" w:eastAsia="Calibri" w:hAnsi="Arial" w:cs="Arial"/>
        </w:rPr>
        <w:t xml:space="preserve"> </w:t>
      </w:r>
    </w:p>
    <w:p w14:paraId="5B6227F5" w14:textId="77777777" w:rsidR="00F66409" w:rsidRPr="00EB766C" w:rsidRDefault="00F66409" w:rsidP="00991F83">
      <w:pPr>
        <w:pStyle w:val="Prrafodelista"/>
        <w:numPr>
          <w:ilvl w:val="0"/>
          <w:numId w:val="11"/>
        </w:numPr>
        <w:spacing w:before="240" w:after="240" w:line="360" w:lineRule="auto"/>
        <w:jc w:val="both"/>
        <w:rPr>
          <w:rFonts w:ascii="Arial" w:hAnsi="Arial" w:cs="Arial"/>
          <w:lang w:eastAsia="es-MX"/>
        </w:rPr>
      </w:pPr>
      <w:r w:rsidRPr="00EB766C">
        <w:rPr>
          <w:rFonts w:ascii="Arial" w:hAnsi="Arial" w:cs="Arial"/>
          <w:lang w:eastAsia="es-MX"/>
        </w:rPr>
        <w:t xml:space="preserve">Se </w:t>
      </w:r>
      <w:r w:rsidRPr="00EB766C">
        <w:rPr>
          <w:rFonts w:ascii="Arial" w:hAnsi="Arial" w:cs="Arial"/>
          <w:b/>
          <w:bCs/>
          <w:lang w:eastAsia="es-MX"/>
        </w:rPr>
        <w:t>inaplica</w:t>
      </w:r>
      <w:r w:rsidR="00DB758D" w:rsidRPr="00EB766C">
        <w:rPr>
          <w:rFonts w:ascii="Arial" w:hAnsi="Arial" w:cs="Arial"/>
          <w:lang w:eastAsia="es-MX"/>
        </w:rPr>
        <w:t>, para el proceso electoral 2020-2021</w:t>
      </w:r>
      <w:r w:rsidR="00C811D9" w:rsidRPr="00EB766C">
        <w:rPr>
          <w:rFonts w:ascii="Arial" w:hAnsi="Arial" w:cs="Arial"/>
          <w:lang w:eastAsia="es-MX"/>
        </w:rPr>
        <w:t>,</w:t>
      </w:r>
      <w:r w:rsidR="00DB758D" w:rsidRPr="00EB766C">
        <w:rPr>
          <w:rFonts w:ascii="Arial" w:hAnsi="Arial" w:cs="Arial"/>
          <w:lang w:eastAsia="es-MX"/>
        </w:rPr>
        <w:t xml:space="preserve"> el </w:t>
      </w:r>
      <w:r w:rsidR="00EF7A07" w:rsidRPr="00EB766C">
        <w:rPr>
          <w:rFonts w:ascii="Arial" w:hAnsi="Arial" w:cs="Arial"/>
          <w:lang w:eastAsia="es-MX"/>
        </w:rPr>
        <w:t>decreto legislativo que derogó la figura de diputación migrante</w:t>
      </w:r>
      <w:r w:rsidR="00AE4C7E" w:rsidRPr="00EB766C">
        <w:rPr>
          <w:rFonts w:ascii="Arial" w:hAnsi="Arial" w:cs="Arial"/>
          <w:lang w:eastAsia="es-MX"/>
        </w:rPr>
        <w:t>,</w:t>
      </w:r>
      <w:r w:rsidR="00DB758D" w:rsidRPr="00EB766C">
        <w:rPr>
          <w:rFonts w:ascii="Arial" w:hAnsi="Arial" w:cs="Arial"/>
          <w:lang w:eastAsia="es-MX"/>
        </w:rPr>
        <w:t xml:space="preserve"> por considerarlo inconstitucional</w:t>
      </w:r>
      <w:r w:rsidR="00EF7A07" w:rsidRPr="00EB766C">
        <w:rPr>
          <w:rFonts w:ascii="Arial" w:hAnsi="Arial" w:cs="Arial"/>
          <w:lang w:eastAsia="es-MX"/>
        </w:rPr>
        <w:t xml:space="preserve">; </w:t>
      </w:r>
    </w:p>
    <w:p w14:paraId="5FA3C462" w14:textId="77777777" w:rsidR="00EF7A07" w:rsidRPr="00EB766C" w:rsidRDefault="00F66409" w:rsidP="00991F83">
      <w:pPr>
        <w:pStyle w:val="Prrafodelista"/>
        <w:numPr>
          <w:ilvl w:val="0"/>
          <w:numId w:val="11"/>
        </w:numPr>
        <w:spacing w:before="240" w:after="240" w:line="360" w:lineRule="auto"/>
        <w:jc w:val="both"/>
        <w:rPr>
          <w:rFonts w:ascii="Arial" w:hAnsi="Arial" w:cs="Arial"/>
          <w:lang w:eastAsia="es-MX"/>
        </w:rPr>
      </w:pPr>
      <w:r w:rsidRPr="00EB766C">
        <w:rPr>
          <w:rFonts w:ascii="Arial" w:hAnsi="Arial" w:cs="Arial"/>
          <w:lang w:eastAsia="es-MX"/>
        </w:rPr>
        <w:t xml:space="preserve">Se dispone la </w:t>
      </w:r>
      <w:r w:rsidR="004129A3" w:rsidRPr="00EB766C">
        <w:rPr>
          <w:rFonts w:ascii="Arial" w:hAnsi="Arial" w:cs="Arial"/>
          <w:b/>
          <w:bCs/>
          <w:lang w:eastAsia="es-MX"/>
        </w:rPr>
        <w:t>reviviscencia</w:t>
      </w:r>
      <w:r w:rsidRPr="00EB766C">
        <w:rPr>
          <w:rFonts w:ascii="Arial" w:hAnsi="Arial" w:cs="Arial"/>
          <w:lang w:eastAsia="es-MX"/>
        </w:rPr>
        <w:t xml:space="preserve"> de los artículos 4, apartado B, fracción III; 6, fracción I, 13</w:t>
      </w:r>
      <w:r w:rsidR="00AE2343" w:rsidRPr="00EB766C">
        <w:rPr>
          <w:rFonts w:ascii="Arial" w:hAnsi="Arial" w:cs="Arial"/>
          <w:lang w:eastAsia="es-MX"/>
        </w:rPr>
        <w:t>,</w:t>
      </w:r>
      <w:r w:rsidRPr="00EB766C">
        <w:rPr>
          <w:rFonts w:ascii="Arial" w:hAnsi="Arial" w:cs="Arial"/>
          <w:lang w:eastAsia="es-MX"/>
        </w:rPr>
        <w:t xml:space="preserve"> 76 y Vigésimo Quinto Transitorio del </w:t>
      </w:r>
      <w:r w:rsidRPr="00EB766C">
        <w:rPr>
          <w:rFonts w:ascii="Arial" w:hAnsi="Arial" w:cs="Arial"/>
        </w:rPr>
        <w:t xml:space="preserve">Código de Instituciones y Procedimientos </w:t>
      </w:r>
      <w:r w:rsidR="00AE2343" w:rsidRPr="00EB766C">
        <w:rPr>
          <w:rFonts w:ascii="Arial" w:hAnsi="Arial" w:cs="Arial"/>
        </w:rPr>
        <w:t>E</w:t>
      </w:r>
      <w:r w:rsidRPr="00EB766C">
        <w:rPr>
          <w:rFonts w:ascii="Arial" w:hAnsi="Arial" w:cs="Arial"/>
        </w:rPr>
        <w:t>lectorales de la Ciudad de México</w:t>
      </w:r>
      <w:r w:rsidRPr="00EB766C">
        <w:rPr>
          <w:rFonts w:ascii="Arial" w:hAnsi="Arial" w:cs="Arial"/>
          <w:lang w:eastAsia="es-MX"/>
        </w:rPr>
        <w:t xml:space="preserve"> </w:t>
      </w:r>
      <w:r w:rsidR="000444CD" w:rsidRPr="00EB766C">
        <w:rPr>
          <w:rFonts w:ascii="Arial" w:hAnsi="Arial" w:cs="Arial"/>
          <w:lang w:eastAsia="es-MX"/>
        </w:rPr>
        <w:t xml:space="preserve">únicamente </w:t>
      </w:r>
      <w:r w:rsidRPr="00EB766C">
        <w:rPr>
          <w:rFonts w:ascii="Arial" w:hAnsi="Arial" w:cs="Arial"/>
          <w:lang w:eastAsia="es-MX"/>
        </w:rPr>
        <w:t xml:space="preserve">para el proceso electoral 2020-2021, </w:t>
      </w:r>
      <w:r w:rsidR="00EF7A07" w:rsidRPr="00EB766C">
        <w:rPr>
          <w:rFonts w:ascii="Arial" w:hAnsi="Arial" w:cs="Arial"/>
          <w:lang w:eastAsia="es-MX"/>
        </w:rPr>
        <w:t xml:space="preserve">y </w:t>
      </w:r>
    </w:p>
    <w:p w14:paraId="28B1D066" w14:textId="77777777" w:rsidR="00EF7A07" w:rsidRPr="00EB766C" w:rsidRDefault="00F66409" w:rsidP="00991F83">
      <w:pPr>
        <w:pStyle w:val="Prrafodelista"/>
        <w:numPr>
          <w:ilvl w:val="0"/>
          <w:numId w:val="11"/>
        </w:numPr>
        <w:spacing w:before="240" w:after="240" w:line="360" w:lineRule="auto"/>
        <w:jc w:val="both"/>
        <w:rPr>
          <w:rFonts w:ascii="Arial" w:hAnsi="Arial" w:cs="Arial"/>
          <w:lang w:eastAsia="es-MX"/>
        </w:rPr>
      </w:pPr>
      <w:r w:rsidRPr="00EB766C">
        <w:rPr>
          <w:rFonts w:ascii="Arial" w:hAnsi="Arial" w:cs="Arial"/>
          <w:lang w:eastAsia="es-MX"/>
        </w:rPr>
        <w:t xml:space="preserve">Se </w:t>
      </w:r>
      <w:r w:rsidRPr="00EB766C">
        <w:rPr>
          <w:rFonts w:ascii="Arial" w:hAnsi="Arial" w:cs="Arial"/>
          <w:b/>
          <w:bCs/>
          <w:lang w:eastAsia="es-MX"/>
        </w:rPr>
        <w:t>o</w:t>
      </w:r>
      <w:r w:rsidR="00C811D9" w:rsidRPr="00EB766C">
        <w:rPr>
          <w:rFonts w:ascii="Arial" w:hAnsi="Arial" w:cs="Arial"/>
          <w:b/>
          <w:bCs/>
          <w:lang w:eastAsia="es-MX"/>
        </w:rPr>
        <w:t>rdena</w:t>
      </w:r>
      <w:r w:rsidR="00EF7A07" w:rsidRPr="00EB766C">
        <w:rPr>
          <w:rFonts w:ascii="Arial" w:hAnsi="Arial" w:cs="Arial"/>
          <w:lang w:eastAsia="es-MX"/>
        </w:rPr>
        <w:t xml:space="preserve"> al OPLE de la Ciudad de México a continuar con los trabajos que estime pertinentes, necesarios y suficientes a fin de implementar esta figura</w:t>
      </w:r>
      <w:r w:rsidR="00DB758D" w:rsidRPr="00EB766C">
        <w:rPr>
          <w:rFonts w:ascii="Arial" w:hAnsi="Arial" w:cs="Arial"/>
          <w:lang w:eastAsia="es-MX"/>
        </w:rPr>
        <w:t xml:space="preserve">, en los términos </w:t>
      </w:r>
      <w:r w:rsidR="00AE2343" w:rsidRPr="00EB766C">
        <w:rPr>
          <w:rFonts w:ascii="Arial" w:hAnsi="Arial" w:cs="Arial"/>
          <w:lang w:eastAsia="es-MX"/>
        </w:rPr>
        <w:t xml:space="preserve">de las normas que en virtud de la presente ejecutoria cobran </w:t>
      </w:r>
      <w:r w:rsidR="007972F8" w:rsidRPr="00EB766C">
        <w:rPr>
          <w:rFonts w:ascii="Arial" w:hAnsi="Arial" w:cs="Arial"/>
          <w:lang w:eastAsia="es-MX"/>
        </w:rPr>
        <w:t>reviviscencia</w:t>
      </w:r>
      <w:r w:rsidR="00DB758D" w:rsidRPr="00EB766C">
        <w:rPr>
          <w:rFonts w:ascii="Arial" w:hAnsi="Arial" w:cs="Arial"/>
          <w:lang w:eastAsia="es-MX"/>
        </w:rPr>
        <w:t xml:space="preserve">. </w:t>
      </w:r>
    </w:p>
    <w:p w14:paraId="4894A901" w14:textId="77777777" w:rsidR="002B400D" w:rsidRPr="00EB766C" w:rsidRDefault="00DB758D" w:rsidP="002B400D">
      <w:pPr>
        <w:pStyle w:val="Ttulo1"/>
        <w:spacing w:before="240" w:beforeAutospacing="0" w:after="240" w:afterAutospacing="0"/>
        <w:ind w:firstLine="708"/>
        <w:rPr>
          <w:rFonts w:eastAsiaTheme="minorHAnsi" w:cs="Arial"/>
          <w:szCs w:val="24"/>
        </w:rPr>
      </w:pPr>
      <w:bookmarkStart w:id="38" w:name="_Toc48404892"/>
      <w:r w:rsidRPr="00EB766C">
        <w:rPr>
          <w:rFonts w:eastAsiaTheme="minorHAnsi" w:cs="Arial"/>
          <w:szCs w:val="24"/>
        </w:rPr>
        <w:t>7</w:t>
      </w:r>
      <w:r w:rsidR="002B400D" w:rsidRPr="00EB766C">
        <w:rPr>
          <w:rFonts w:eastAsiaTheme="minorHAnsi" w:cs="Arial"/>
          <w:szCs w:val="24"/>
        </w:rPr>
        <w:t>. RESOLUTIVO</w:t>
      </w:r>
      <w:bookmarkEnd w:id="38"/>
    </w:p>
    <w:p w14:paraId="0A245DF0" w14:textId="77777777" w:rsidR="002B400D" w:rsidRPr="00125C3A" w:rsidRDefault="002B400D" w:rsidP="002B400D">
      <w:pPr>
        <w:spacing w:before="240" w:after="240" w:line="360" w:lineRule="auto"/>
        <w:jc w:val="both"/>
        <w:rPr>
          <w:rFonts w:ascii="Arial" w:eastAsiaTheme="minorHAnsi" w:hAnsi="Arial" w:cs="Arial"/>
          <w:lang w:val="es-MX" w:eastAsia="es-MX"/>
        </w:rPr>
      </w:pPr>
      <w:r w:rsidRPr="00EB766C">
        <w:rPr>
          <w:rFonts w:ascii="Arial" w:eastAsiaTheme="minorHAnsi" w:hAnsi="Arial" w:cs="Arial"/>
          <w:b/>
          <w:bCs/>
          <w:lang w:val="es-MX" w:eastAsia="es-MX"/>
        </w:rPr>
        <w:t xml:space="preserve">ÚNICO. </w:t>
      </w:r>
      <w:r w:rsidRPr="00EB766C">
        <w:rPr>
          <w:rFonts w:ascii="Arial" w:eastAsiaTheme="minorHAnsi" w:hAnsi="Arial" w:cs="Arial"/>
          <w:lang w:val="es-MX" w:eastAsia="es-MX"/>
        </w:rPr>
        <w:t xml:space="preserve">Se </w:t>
      </w:r>
      <w:r w:rsidR="00DB758D" w:rsidRPr="00EB766C">
        <w:rPr>
          <w:rFonts w:ascii="Arial" w:eastAsiaTheme="minorHAnsi" w:hAnsi="Arial" w:cs="Arial"/>
          <w:b/>
          <w:lang w:val="es-MX" w:eastAsia="es-MX"/>
        </w:rPr>
        <w:t>modifica</w:t>
      </w:r>
      <w:r w:rsidR="001C4628" w:rsidRPr="00EB766C">
        <w:rPr>
          <w:rFonts w:ascii="Arial" w:eastAsiaTheme="minorHAnsi" w:hAnsi="Arial" w:cs="Arial"/>
          <w:b/>
          <w:lang w:val="es-MX" w:eastAsia="es-MX"/>
        </w:rPr>
        <w:t>,</w:t>
      </w:r>
      <w:r w:rsidR="00125C3A" w:rsidRPr="00EB766C">
        <w:rPr>
          <w:rFonts w:ascii="Arial" w:eastAsiaTheme="minorHAnsi" w:hAnsi="Arial" w:cs="Arial"/>
          <w:b/>
          <w:lang w:val="es-MX" w:eastAsia="es-MX"/>
        </w:rPr>
        <w:t xml:space="preserve"> </w:t>
      </w:r>
      <w:r w:rsidR="00125C3A" w:rsidRPr="00EB766C">
        <w:rPr>
          <w:rFonts w:ascii="Arial" w:eastAsiaTheme="minorHAnsi" w:hAnsi="Arial" w:cs="Arial"/>
          <w:lang w:val="es-MX" w:eastAsia="es-MX"/>
        </w:rPr>
        <w:t xml:space="preserve">por las razones expuestas </w:t>
      </w:r>
      <w:r w:rsidR="00FF6363" w:rsidRPr="00EB766C">
        <w:rPr>
          <w:rFonts w:ascii="Arial" w:eastAsiaTheme="minorHAnsi" w:hAnsi="Arial" w:cs="Arial"/>
          <w:lang w:val="es-MX" w:eastAsia="es-MX"/>
        </w:rPr>
        <w:t xml:space="preserve">y </w:t>
      </w:r>
      <w:r w:rsidR="00FF6363" w:rsidRPr="00FA4C60">
        <w:rPr>
          <w:rFonts w:ascii="Arial" w:eastAsiaTheme="minorHAnsi" w:hAnsi="Arial" w:cs="Arial"/>
          <w:b/>
          <w:bCs/>
          <w:lang w:val="es-MX" w:eastAsia="es-MX"/>
        </w:rPr>
        <w:t>efectos</w:t>
      </w:r>
      <w:r w:rsidR="00FF6363" w:rsidRPr="00EB766C">
        <w:rPr>
          <w:rFonts w:ascii="Arial" w:eastAsiaTheme="minorHAnsi" w:hAnsi="Arial" w:cs="Arial"/>
          <w:lang w:val="es-MX" w:eastAsia="es-MX"/>
        </w:rPr>
        <w:t xml:space="preserve"> precisados </w:t>
      </w:r>
      <w:r w:rsidR="00125C3A" w:rsidRPr="00EB766C">
        <w:rPr>
          <w:rFonts w:ascii="Arial" w:eastAsiaTheme="minorHAnsi" w:hAnsi="Arial" w:cs="Arial"/>
          <w:lang w:val="es-MX" w:eastAsia="es-MX"/>
        </w:rPr>
        <w:t xml:space="preserve">en la presente ejecutoria, lo resuelto por la Sala Regional </w:t>
      </w:r>
      <w:r w:rsidR="0042673D" w:rsidRPr="00EB766C">
        <w:rPr>
          <w:rFonts w:ascii="Arial" w:eastAsiaTheme="minorHAnsi" w:hAnsi="Arial" w:cs="Arial"/>
          <w:lang w:val="es-MX" w:eastAsia="es-MX"/>
        </w:rPr>
        <w:t>Ciudad de México</w:t>
      </w:r>
      <w:r w:rsidR="00125C3A" w:rsidRPr="00EB766C">
        <w:rPr>
          <w:rFonts w:ascii="Arial" w:eastAsiaTheme="minorHAnsi" w:hAnsi="Arial" w:cs="Arial"/>
          <w:lang w:val="es-MX" w:eastAsia="es-MX"/>
        </w:rPr>
        <w:t xml:space="preserve"> en el expediente </w:t>
      </w:r>
      <w:r w:rsidR="00125C3A" w:rsidRPr="00EB766C">
        <w:rPr>
          <w:rFonts w:ascii="Arial" w:eastAsiaTheme="minorHAnsi" w:hAnsi="Arial" w:cs="Arial"/>
          <w:b/>
          <w:lang w:val="es-MX" w:eastAsia="es-MX"/>
        </w:rPr>
        <w:t>SCM-JDC-27/2020</w:t>
      </w:r>
      <w:r w:rsidR="00125C3A" w:rsidRPr="00EB766C">
        <w:rPr>
          <w:rFonts w:ascii="Arial" w:eastAsiaTheme="minorHAnsi" w:hAnsi="Arial" w:cs="Arial"/>
          <w:lang w:val="es-MX" w:eastAsia="es-MX"/>
        </w:rPr>
        <w:t>.</w:t>
      </w:r>
    </w:p>
    <w:p w14:paraId="30347A1C" w14:textId="77777777" w:rsidR="002B400D" w:rsidRPr="00A07264" w:rsidRDefault="002B400D" w:rsidP="002B400D">
      <w:pPr>
        <w:spacing w:before="100" w:beforeAutospacing="1" w:after="100" w:afterAutospacing="1" w:line="360" w:lineRule="auto"/>
        <w:jc w:val="both"/>
        <w:rPr>
          <w:rFonts w:ascii="Arial" w:eastAsiaTheme="minorHAnsi" w:hAnsi="Arial" w:cs="Arial"/>
          <w:lang w:val="es-MX" w:eastAsia="en-US"/>
        </w:rPr>
      </w:pPr>
      <w:r w:rsidRPr="00E145FC">
        <w:rPr>
          <w:rFonts w:ascii="Arial" w:eastAsiaTheme="minorHAnsi" w:hAnsi="Arial" w:cs="Arial"/>
          <w:b/>
          <w:bCs/>
          <w:lang w:val="es-MX" w:eastAsia="en-US"/>
        </w:rPr>
        <w:t>NOTIFÍQUESE</w:t>
      </w:r>
      <w:r w:rsidRPr="00E145FC">
        <w:rPr>
          <w:rFonts w:ascii="Arial" w:eastAsiaTheme="minorHAnsi" w:hAnsi="Arial" w:cs="Arial"/>
          <w:lang w:val="es-MX" w:eastAsia="en-US"/>
        </w:rPr>
        <w:t xml:space="preserve"> como en Derecho corresponda</w:t>
      </w:r>
      <w:r w:rsidRPr="00A07264">
        <w:rPr>
          <w:rFonts w:ascii="Arial" w:eastAsiaTheme="minorHAnsi" w:hAnsi="Arial" w:cs="Arial"/>
          <w:lang w:val="es-MX" w:eastAsia="en-US"/>
        </w:rPr>
        <w:t xml:space="preserve">. </w:t>
      </w:r>
    </w:p>
    <w:p w14:paraId="683D474E" w14:textId="77777777" w:rsidR="002B400D" w:rsidRPr="00F74BC1" w:rsidRDefault="002B400D" w:rsidP="002B400D">
      <w:pPr>
        <w:spacing w:before="100" w:beforeAutospacing="1" w:after="100" w:afterAutospacing="1" w:line="360" w:lineRule="auto"/>
        <w:jc w:val="both"/>
        <w:rPr>
          <w:rFonts w:ascii="Arial" w:hAnsi="Arial" w:cs="Arial"/>
          <w:bCs/>
          <w:lang w:val="es-MX" w:eastAsia="es-MX"/>
        </w:rPr>
      </w:pPr>
      <w:r w:rsidRPr="00A07264">
        <w:rPr>
          <w:rFonts w:ascii="Arial" w:hAnsi="Arial" w:cs="Arial"/>
          <w:bCs/>
          <w:lang w:val="es-MX" w:eastAsia="es-MX"/>
        </w:rPr>
        <w:t>Devuélvanse, en su caso, las constancias que correspondan y, en su oportunidad, archívese el expediente</w:t>
      </w:r>
      <w:r w:rsidRPr="00F74BC1">
        <w:rPr>
          <w:rFonts w:ascii="Arial" w:hAnsi="Arial" w:cs="Arial"/>
          <w:bCs/>
          <w:lang w:val="es-MX" w:eastAsia="es-MX"/>
        </w:rPr>
        <w:t xml:space="preserve"> como asunto total y definitivamente concluido.</w:t>
      </w:r>
    </w:p>
    <w:bookmarkEnd w:id="0"/>
    <w:p w14:paraId="11E571F3" w14:textId="77777777" w:rsidR="002B400D" w:rsidRPr="00D25CED" w:rsidRDefault="002B400D" w:rsidP="002B400D">
      <w:pPr>
        <w:spacing w:before="100" w:beforeAutospacing="1" w:after="100" w:afterAutospacing="1" w:line="336" w:lineRule="auto"/>
        <w:jc w:val="both"/>
        <w:rPr>
          <w:rFonts w:ascii="Arial" w:hAnsi="Arial" w:cs="Arial"/>
          <w:color w:val="000000"/>
          <w:lang w:val="es-MX" w:eastAsia="es-MX"/>
        </w:rPr>
      </w:pPr>
      <w:r w:rsidRPr="00E525B3">
        <w:rPr>
          <w:rFonts w:ascii="Arial" w:hAnsi="Arial" w:cs="Arial"/>
          <w:color w:val="000000"/>
          <w:lang w:val="es-MX" w:eastAsia="es-MX"/>
        </w:rPr>
        <w:t xml:space="preserve">Así lo </w:t>
      </w:r>
      <w:r w:rsidR="00125C3A">
        <w:rPr>
          <w:rFonts w:ascii="Arial" w:hAnsi="Arial" w:cs="Arial"/>
          <w:color w:val="000000"/>
          <w:lang w:val="es-MX" w:eastAsia="es-MX"/>
        </w:rPr>
        <w:t>resolvieron</w:t>
      </w:r>
      <w:r w:rsidRPr="00E525B3">
        <w:rPr>
          <w:rFonts w:ascii="Arial" w:hAnsi="Arial" w:cs="Arial"/>
          <w:color w:val="000000"/>
          <w:lang w:val="es-MX" w:eastAsia="es-MX"/>
        </w:rPr>
        <w:t xml:space="preserve"> por </w:t>
      </w:r>
      <w:r w:rsidR="00C811D9" w:rsidRPr="00C811D9">
        <w:rPr>
          <w:rFonts w:ascii="Arial" w:hAnsi="Arial" w:cs="Arial"/>
          <w:b/>
          <w:color w:val="000000"/>
          <w:lang w:val="es-MX" w:eastAsia="es-MX"/>
        </w:rPr>
        <w:t>unanimidad</w:t>
      </w:r>
      <w:r w:rsidR="00125C3A">
        <w:rPr>
          <w:rFonts w:ascii="Arial" w:hAnsi="Arial" w:cs="Arial"/>
          <w:color w:val="000000"/>
          <w:lang w:val="es-MX" w:eastAsia="es-MX"/>
        </w:rPr>
        <w:t xml:space="preserve"> </w:t>
      </w:r>
      <w:r w:rsidRPr="00E525B3">
        <w:rPr>
          <w:rFonts w:ascii="Arial" w:hAnsi="Arial" w:cs="Arial"/>
          <w:color w:val="000000"/>
          <w:lang w:val="es-MX" w:eastAsia="es-MX"/>
        </w:rPr>
        <w:t xml:space="preserve">de votos, las </w:t>
      </w:r>
      <w:r>
        <w:rPr>
          <w:rFonts w:ascii="Arial" w:hAnsi="Arial" w:cs="Arial"/>
          <w:color w:val="000000"/>
          <w:lang w:val="es-MX" w:eastAsia="es-MX"/>
        </w:rPr>
        <w:t>m</w:t>
      </w:r>
      <w:r w:rsidRPr="00E525B3">
        <w:rPr>
          <w:rFonts w:ascii="Arial" w:hAnsi="Arial" w:cs="Arial"/>
          <w:color w:val="000000"/>
          <w:lang w:val="es-MX" w:eastAsia="es-MX"/>
        </w:rPr>
        <w:t xml:space="preserve">agistradas y los </w:t>
      </w:r>
      <w:r>
        <w:rPr>
          <w:rFonts w:ascii="Arial" w:hAnsi="Arial" w:cs="Arial"/>
          <w:color w:val="000000"/>
          <w:lang w:val="es-MX" w:eastAsia="es-MX"/>
        </w:rPr>
        <w:t>m</w:t>
      </w:r>
      <w:r w:rsidRPr="00E525B3">
        <w:rPr>
          <w:rFonts w:ascii="Arial" w:hAnsi="Arial" w:cs="Arial"/>
          <w:color w:val="000000"/>
          <w:lang w:val="es-MX" w:eastAsia="es-MX"/>
        </w:rPr>
        <w:t>agistrados que integran la Sala Superior del Tribunal Electoral del Poder Judicial de la Federación,</w:t>
      </w:r>
      <w:r w:rsidR="00C811D9">
        <w:rPr>
          <w:rFonts w:ascii="Arial" w:hAnsi="Arial" w:cs="Arial"/>
          <w:color w:val="000000"/>
          <w:lang w:val="es-MX" w:eastAsia="es-MX"/>
        </w:rPr>
        <w:t xml:space="preserve"> con la ausencia del magistrado José Luis Vargas Valdez,</w:t>
      </w:r>
      <w:r w:rsidRPr="00E525B3">
        <w:rPr>
          <w:rFonts w:ascii="Arial" w:hAnsi="Arial" w:cs="Arial"/>
          <w:color w:val="000000"/>
          <w:lang w:val="es-MX" w:eastAsia="es-MX"/>
        </w:rPr>
        <w:t xml:space="preserve"> ante el </w:t>
      </w:r>
      <w:r>
        <w:rPr>
          <w:rFonts w:ascii="Arial" w:hAnsi="Arial" w:cs="Arial"/>
          <w:color w:val="000000"/>
          <w:lang w:val="es-MX" w:eastAsia="es-MX"/>
        </w:rPr>
        <w:t>s</w:t>
      </w:r>
      <w:r w:rsidRPr="00E525B3">
        <w:rPr>
          <w:rFonts w:ascii="Arial" w:hAnsi="Arial" w:cs="Arial"/>
          <w:color w:val="000000"/>
          <w:lang w:val="es-MX" w:eastAsia="es-MX"/>
        </w:rPr>
        <w:t xml:space="preserve">ecretario </w:t>
      </w:r>
      <w:r>
        <w:rPr>
          <w:rFonts w:ascii="Arial" w:hAnsi="Arial" w:cs="Arial"/>
          <w:color w:val="000000"/>
          <w:lang w:val="es-MX" w:eastAsia="es-MX"/>
        </w:rPr>
        <w:t>g</w:t>
      </w:r>
      <w:r w:rsidRPr="00E525B3">
        <w:rPr>
          <w:rFonts w:ascii="Arial" w:hAnsi="Arial" w:cs="Arial"/>
          <w:color w:val="000000"/>
          <w:lang w:val="es-MX" w:eastAsia="es-MX"/>
        </w:rPr>
        <w:t xml:space="preserve">eneral de </w:t>
      </w:r>
      <w:r>
        <w:rPr>
          <w:rFonts w:ascii="Arial" w:hAnsi="Arial" w:cs="Arial"/>
          <w:color w:val="000000"/>
          <w:lang w:val="es-MX" w:eastAsia="es-MX"/>
        </w:rPr>
        <w:t>a</w:t>
      </w:r>
      <w:r w:rsidRPr="00E525B3">
        <w:rPr>
          <w:rFonts w:ascii="Arial" w:hAnsi="Arial" w:cs="Arial"/>
          <w:color w:val="000000"/>
          <w:lang w:val="es-MX" w:eastAsia="es-MX"/>
        </w:rPr>
        <w:t xml:space="preserve">cuerdos, quien autoriza y da fe que </w:t>
      </w:r>
      <w:r w:rsidR="00125C3A">
        <w:rPr>
          <w:rFonts w:ascii="Arial" w:hAnsi="Arial" w:cs="Arial"/>
          <w:color w:val="000000"/>
          <w:lang w:val="es-MX" w:eastAsia="es-MX"/>
        </w:rPr>
        <w:t>la presente sentencia</w:t>
      </w:r>
      <w:r w:rsidRPr="00E525B3">
        <w:rPr>
          <w:rFonts w:ascii="Arial" w:hAnsi="Arial" w:cs="Arial"/>
          <w:color w:val="000000"/>
          <w:lang w:val="es-MX" w:eastAsia="es-MX"/>
        </w:rPr>
        <w:t xml:space="preserve"> se firma de manera electrónica.</w:t>
      </w:r>
    </w:p>
    <w:p w14:paraId="2A513F5C" w14:textId="77777777" w:rsidR="002B400D" w:rsidRDefault="002B400D" w:rsidP="002B400D">
      <w:pPr>
        <w:spacing w:before="100" w:beforeAutospacing="1" w:after="100" w:afterAutospacing="1" w:line="336" w:lineRule="auto"/>
        <w:jc w:val="both"/>
        <w:rPr>
          <w:rFonts w:ascii="Arial" w:hAnsi="Arial" w:cs="Arial"/>
          <w:lang w:val="es-MX" w:eastAsia="es-MX"/>
        </w:rPr>
      </w:pPr>
      <w:r w:rsidRPr="00BD6AB3">
        <w:rPr>
          <w:rFonts w:ascii="Arial" w:hAnsi="Arial" w:cs="Arial"/>
          <w:lang w:val="es-MX" w:eastAsia="es-MX"/>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09F87C39" w14:textId="77777777" w:rsidR="002B400D" w:rsidRPr="00E525B3" w:rsidRDefault="002B400D" w:rsidP="002B400D"/>
    <w:p w14:paraId="1CC25B58" w14:textId="77777777" w:rsidR="00064FD3" w:rsidRDefault="00064FD3"/>
    <w:sectPr w:rsidR="00064FD3" w:rsidSect="00213F24">
      <w:headerReference w:type="even" r:id="rId11"/>
      <w:headerReference w:type="default" r:id="rId12"/>
      <w:footerReference w:type="even" r:id="rId13"/>
      <w:footerReference w:type="default" r:id="rId14"/>
      <w:headerReference w:type="first" r:id="rId15"/>
      <w:pgSz w:w="12242" w:h="18722" w:code="14"/>
      <w:pgMar w:top="3119" w:right="1418" w:bottom="1418" w:left="2835" w:header="2552"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CA177" w14:textId="77777777" w:rsidR="005961A2" w:rsidRDefault="005961A2" w:rsidP="002B400D">
      <w:r>
        <w:separator/>
      </w:r>
    </w:p>
  </w:endnote>
  <w:endnote w:type="continuationSeparator" w:id="0">
    <w:p w14:paraId="3171F378" w14:textId="77777777" w:rsidR="005961A2" w:rsidRDefault="005961A2" w:rsidP="002B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altName w:val="Arial"/>
    <w:panose1 w:val="020B0704020202020204"/>
    <w:charset w:val="00"/>
    <w:family w:val="roman"/>
    <w:notTrueType/>
    <w:pitch w:val="default"/>
  </w:font>
  <w:font w:name="Univers">
    <w:panose1 w:val="020B0603020202030204"/>
    <w:charset w:val="00"/>
    <w:family w:val="swiss"/>
    <w:pitch w:val="variable"/>
    <w:sig w:usb0="8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686553968"/>
      <w:docPartObj>
        <w:docPartGallery w:val="Page Numbers (Bottom of Page)"/>
        <w:docPartUnique/>
      </w:docPartObj>
    </w:sdtPr>
    <w:sdtEndPr>
      <w:rPr>
        <w:rFonts w:ascii="Arial" w:hAnsi="Arial" w:cs="Arial"/>
        <w:b/>
        <w:sz w:val="24"/>
      </w:rPr>
    </w:sdtEndPr>
    <w:sdtContent>
      <w:p w14:paraId="69B18AC8" w14:textId="77777777" w:rsidR="001B2E26" w:rsidRPr="00D15A43" w:rsidRDefault="001B2E26" w:rsidP="00910446">
        <w:pPr>
          <w:pStyle w:val="Piedepgina"/>
          <w:jc w:val="center"/>
          <w:rPr>
            <w:rFonts w:ascii="Arial" w:hAnsi="Arial" w:cs="Arial"/>
            <w:b/>
            <w:szCs w:val="22"/>
          </w:rPr>
        </w:pPr>
        <w:r w:rsidRPr="00D15A43">
          <w:rPr>
            <w:rFonts w:ascii="Arial" w:hAnsi="Arial" w:cs="Arial"/>
            <w:b/>
            <w:sz w:val="28"/>
          </w:rPr>
          <w:fldChar w:fldCharType="begin"/>
        </w:r>
        <w:r w:rsidRPr="00D15A43">
          <w:rPr>
            <w:rFonts w:ascii="Arial" w:hAnsi="Arial" w:cs="Arial"/>
            <w:b/>
            <w:sz w:val="28"/>
          </w:rPr>
          <w:instrText>PAGE   \* MERGEFORMAT</w:instrText>
        </w:r>
        <w:r w:rsidRPr="00D15A43">
          <w:rPr>
            <w:rFonts w:ascii="Arial" w:hAnsi="Arial" w:cs="Arial"/>
            <w:b/>
            <w:sz w:val="28"/>
          </w:rPr>
          <w:fldChar w:fldCharType="separate"/>
        </w:r>
        <w:r w:rsidRPr="00D15A43">
          <w:rPr>
            <w:rFonts w:ascii="Arial" w:hAnsi="Arial" w:cs="Arial"/>
            <w:b/>
            <w:noProof/>
            <w:sz w:val="28"/>
          </w:rPr>
          <w:t>6</w:t>
        </w:r>
        <w:r w:rsidRPr="00D15A43">
          <w:rPr>
            <w:rFonts w:ascii="Arial" w:hAnsi="Arial" w:cs="Arial"/>
            <w:b/>
            <w:sz w:val="28"/>
          </w:rPr>
          <w:fldChar w:fldCharType="end"/>
        </w:r>
      </w:p>
    </w:sdtContent>
  </w:sdt>
  <w:p w14:paraId="5B260940" w14:textId="77777777" w:rsidR="001B2E26" w:rsidRDefault="001B2E26"/>
  <w:p w14:paraId="5D3DB9FC" w14:textId="77777777" w:rsidR="001B2E26" w:rsidRDefault="001B2E26"/>
  <w:p w14:paraId="2414DB4E" w14:textId="77777777" w:rsidR="001B2E26" w:rsidRDefault="001B2E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0C98" w14:textId="77777777" w:rsidR="001B2E26" w:rsidRDefault="001B2E26" w:rsidP="00910446">
    <w:pPr>
      <w:pStyle w:val="Piedepgina"/>
      <w:jc w:val="center"/>
      <w:rPr>
        <w:rFonts w:ascii="Univers" w:hAnsi="Univers" w:cs="Arial"/>
        <w:b/>
      </w:rPr>
    </w:pPr>
  </w:p>
  <w:p w14:paraId="6304F7A9" w14:textId="77777777" w:rsidR="001B2E26" w:rsidRPr="00D15A43" w:rsidRDefault="001B2E26" w:rsidP="00910446">
    <w:pPr>
      <w:pStyle w:val="Piedepgina"/>
      <w:jc w:val="center"/>
      <w:rPr>
        <w:rFonts w:ascii="Arial" w:hAnsi="Arial" w:cs="Arial"/>
        <w:sz w:val="28"/>
      </w:rPr>
    </w:pPr>
    <w:r w:rsidRPr="00D15A43">
      <w:rPr>
        <w:rFonts w:ascii="Arial" w:hAnsi="Arial" w:cs="Arial"/>
        <w:b/>
        <w:sz w:val="28"/>
      </w:rPr>
      <w:fldChar w:fldCharType="begin"/>
    </w:r>
    <w:r w:rsidRPr="00D15A43">
      <w:rPr>
        <w:rFonts w:ascii="Arial" w:hAnsi="Arial" w:cs="Arial"/>
        <w:b/>
        <w:sz w:val="28"/>
      </w:rPr>
      <w:instrText xml:space="preserve"> PAGE   \* MERGEFORMAT </w:instrText>
    </w:r>
    <w:r w:rsidRPr="00D15A43">
      <w:rPr>
        <w:rFonts w:ascii="Arial" w:hAnsi="Arial" w:cs="Arial"/>
        <w:b/>
        <w:sz w:val="28"/>
      </w:rPr>
      <w:fldChar w:fldCharType="separate"/>
    </w:r>
    <w:r>
      <w:rPr>
        <w:rFonts w:ascii="Arial" w:hAnsi="Arial" w:cs="Arial"/>
        <w:b/>
        <w:noProof/>
        <w:sz w:val="28"/>
      </w:rPr>
      <w:t>76</w:t>
    </w:r>
    <w:r w:rsidRPr="00D15A43">
      <w:rPr>
        <w:rFonts w:ascii="Arial" w:hAnsi="Arial" w:cs="Arial"/>
        <w:b/>
        <w:sz w:val="28"/>
      </w:rPr>
      <w:fldChar w:fldCharType="end"/>
    </w:r>
  </w:p>
  <w:p w14:paraId="509E036F" w14:textId="77777777" w:rsidR="001B2E26" w:rsidRDefault="001B2E26"/>
  <w:p w14:paraId="58F68886" w14:textId="77777777" w:rsidR="001B2E26" w:rsidRDefault="001B2E26"/>
  <w:p w14:paraId="04E0564C" w14:textId="77777777" w:rsidR="001B2E26" w:rsidRDefault="001B2E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E678C" w14:textId="77777777" w:rsidR="005961A2" w:rsidRDefault="005961A2" w:rsidP="002B400D">
      <w:r>
        <w:separator/>
      </w:r>
    </w:p>
  </w:footnote>
  <w:footnote w:type="continuationSeparator" w:id="0">
    <w:p w14:paraId="2DE7D24E" w14:textId="77777777" w:rsidR="005961A2" w:rsidRDefault="005961A2" w:rsidP="002B400D">
      <w:r>
        <w:continuationSeparator/>
      </w:r>
    </w:p>
  </w:footnote>
  <w:footnote w:id="1">
    <w:p w14:paraId="64CC2F9F" w14:textId="77777777" w:rsidR="001B2E26" w:rsidRPr="002D08D2" w:rsidRDefault="001B2E26" w:rsidP="00910446">
      <w:pPr>
        <w:pStyle w:val="Textonotapie"/>
        <w:jc w:val="both"/>
        <w:rPr>
          <w:rFonts w:ascii="Arial" w:hAnsi="Arial" w:cs="Arial"/>
          <w:lang w:val="es-MX"/>
        </w:rPr>
      </w:pPr>
      <w:r w:rsidRPr="002D08D2">
        <w:rPr>
          <w:rStyle w:val="Refdenotaalpie"/>
          <w:rFonts w:ascii="Arial" w:hAnsi="Arial" w:cs="Arial"/>
        </w:rPr>
        <w:footnoteRef/>
      </w:r>
      <w:r w:rsidRPr="002D08D2">
        <w:rPr>
          <w:rFonts w:ascii="Arial" w:hAnsi="Arial" w:cs="Arial"/>
        </w:rPr>
        <w:t xml:space="preserve"> </w:t>
      </w:r>
      <w:r w:rsidRPr="002D08D2">
        <w:rPr>
          <w:rFonts w:ascii="Arial" w:hAnsi="Arial" w:cs="Arial"/>
          <w:lang w:val="es-MX"/>
        </w:rPr>
        <w:t xml:space="preserve">Véase el artículo 30, párrafo 2, de la LGSMIME.  </w:t>
      </w:r>
    </w:p>
  </w:footnote>
  <w:footnote w:id="2">
    <w:p w14:paraId="084BC4E0" w14:textId="77777777" w:rsidR="001B2E26" w:rsidRPr="00A70A63" w:rsidRDefault="001B2E26" w:rsidP="00817035">
      <w:pPr>
        <w:pStyle w:val="Textonotapie"/>
        <w:jc w:val="both"/>
        <w:rPr>
          <w:rFonts w:ascii="Arial" w:hAnsi="Arial" w:cs="Arial"/>
          <w:lang w:val="es-MX"/>
        </w:rPr>
      </w:pPr>
      <w:r w:rsidRPr="002D08D2">
        <w:rPr>
          <w:rStyle w:val="Refdenotaalpie"/>
          <w:rFonts w:ascii="Arial" w:hAnsi="Arial" w:cs="Arial"/>
        </w:rPr>
        <w:footnoteRef/>
      </w:r>
      <w:r w:rsidRPr="002D08D2">
        <w:rPr>
          <w:rFonts w:ascii="Arial" w:hAnsi="Arial" w:cs="Arial"/>
        </w:rPr>
        <w:t xml:space="preserve"> Véase en lo aplicable las jurisprudencias </w:t>
      </w:r>
      <w:r w:rsidRPr="002D08D2">
        <w:rPr>
          <w:rFonts w:ascii="Arial" w:hAnsi="Arial" w:cs="Arial"/>
          <w:b/>
        </w:rPr>
        <w:t>15/2000</w:t>
      </w:r>
      <w:r w:rsidRPr="002D08D2">
        <w:rPr>
          <w:rFonts w:ascii="Arial" w:hAnsi="Arial" w:cs="Arial"/>
        </w:rPr>
        <w:t xml:space="preserve"> y </w:t>
      </w:r>
      <w:r w:rsidRPr="002D08D2">
        <w:rPr>
          <w:rFonts w:ascii="Arial" w:hAnsi="Arial" w:cs="Arial"/>
          <w:b/>
        </w:rPr>
        <w:t xml:space="preserve">10/2015 </w:t>
      </w:r>
      <w:r w:rsidRPr="002D08D2">
        <w:rPr>
          <w:rFonts w:ascii="Arial" w:hAnsi="Arial" w:cs="Arial"/>
        </w:rPr>
        <w:t xml:space="preserve">y de rubros: </w:t>
      </w:r>
      <w:r w:rsidRPr="0058188E">
        <w:rPr>
          <w:rFonts w:ascii="Arial" w:hAnsi="Arial" w:cs="Arial"/>
          <w:b/>
          <w:smallCaps/>
        </w:rPr>
        <w:t>PARTIDOS POL</w:t>
      </w:r>
      <w:r w:rsidRPr="0058188E">
        <w:rPr>
          <w:rFonts w:ascii="Arial" w:hAnsi="Arial" w:cs="Arial" w:hint="eastAsia"/>
          <w:b/>
          <w:smallCaps/>
        </w:rPr>
        <w:t>Í</w:t>
      </w:r>
      <w:r w:rsidRPr="0058188E">
        <w:rPr>
          <w:rFonts w:ascii="Arial" w:hAnsi="Arial" w:cs="Arial"/>
          <w:b/>
          <w:smallCaps/>
        </w:rPr>
        <w:t>TICOS NACIONALES. PUEDEN DEDUCIR ACCIONES TUITIVAS DE INTERESES DIFUSOS CONTRA LOS ACTOS DE PREPARACI</w:t>
      </w:r>
      <w:r w:rsidRPr="0058188E">
        <w:rPr>
          <w:rFonts w:ascii="Arial" w:hAnsi="Arial" w:cs="Arial" w:hint="eastAsia"/>
          <w:b/>
          <w:smallCaps/>
        </w:rPr>
        <w:t>Ó</w:t>
      </w:r>
      <w:r w:rsidRPr="0058188E">
        <w:rPr>
          <w:rFonts w:ascii="Arial" w:hAnsi="Arial" w:cs="Arial"/>
          <w:b/>
          <w:smallCaps/>
        </w:rPr>
        <w:t>N DE LAS ELECCIONES</w:t>
      </w:r>
      <w:r w:rsidRPr="0058188E">
        <w:rPr>
          <w:rFonts w:ascii="Arial" w:hAnsi="Arial" w:cs="Arial"/>
        </w:rPr>
        <w:t xml:space="preserve"> </w:t>
      </w:r>
      <w:r w:rsidRPr="00A70A63">
        <w:rPr>
          <w:rFonts w:ascii="Arial" w:hAnsi="Arial" w:cs="Arial"/>
        </w:rPr>
        <w:t xml:space="preserve">y </w:t>
      </w:r>
      <w:r w:rsidRPr="0058188E">
        <w:rPr>
          <w:rFonts w:ascii="Arial" w:hAnsi="Arial" w:cs="Arial"/>
          <w:b/>
          <w:smallCaps/>
        </w:rPr>
        <w:t>ACCIONES TUITIVAS DE INTERESES DIFUSOS. ELEMENTOS NECESARIOS PARA QUE LOS PARTIDOS POL</w:t>
      </w:r>
      <w:r w:rsidRPr="0058188E">
        <w:rPr>
          <w:rFonts w:ascii="Arial" w:hAnsi="Arial" w:cs="Arial" w:hint="eastAsia"/>
          <w:b/>
          <w:smallCaps/>
        </w:rPr>
        <w:t>Í</w:t>
      </w:r>
      <w:r w:rsidRPr="0058188E">
        <w:rPr>
          <w:rFonts w:ascii="Arial" w:hAnsi="Arial" w:cs="Arial"/>
          <w:b/>
          <w:smallCaps/>
        </w:rPr>
        <w:t>TICOS LAS PUEDAN DEDUCIR.</w:t>
      </w:r>
    </w:p>
  </w:footnote>
  <w:footnote w:id="3">
    <w:p w14:paraId="5DCC7E3E" w14:textId="77777777" w:rsidR="001B2E26" w:rsidRPr="0025003F" w:rsidRDefault="001B2E26" w:rsidP="00FF1492">
      <w:pPr>
        <w:pStyle w:val="Textonotapie"/>
        <w:jc w:val="both"/>
        <w:rPr>
          <w:rFonts w:ascii="Arial" w:hAnsi="Arial" w:cs="Arial"/>
          <w:lang w:val="es-MX"/>
        </w:rPr>
      </w:pPr>
      <w:r w:rsidRPr="00A70A63">
        <w:rPr>
          <w:rStyle w:val="Refdenotaalpie"/>
          <w:rFonts w:ascii="Arial" w:hAnsi="Arial" w:cs="Arial"/>
        </w:rPr>
        <w:footnoteRef/>
      </w:r>
      <w:r w:rsidRPr="00A70A63">
        <w:rPr>
          <w:rFonts w:ascii="Arial" w:hAnsi="Arial" w:cs="Arial"/>
        </w:rPr>
        <w:t xml:space="preserve"> </w:t>
      </w:r>
      <w:r w:rsidRPr="00A70A63">
        <w:rPr>
          <w:rFonts w:ascii="Arial" w:hAnsi="Arial" w:cs="Arial"/>
          <w:lang w:val="es-MX"/>
        </w:rPr>
        <w:t xml:space="preserve">Los escritos fueron recibidos en la oficialía de partes de la </w:t>
      </w:r>
      <w:r>
        <w:rPr>
          <w:rFonts w:ascii="Arial" w:hAnsi="Arial" w:cs="Arial"/>
          <w:lang w:val="es-MX"/>
        </w:rPr>
        <w:t>S</w:t>
      </w:r>
      <w:r w:rsidRPr="00A70A63">
        <w:rPr>
          <w:rFonts w:ascii="Arial" w:hAnsi="Arial" w:cs="Arial"/>
          <w:lang w:val="es-MX"/>
        </w:rPr>
        <w:t xml:space="preserve">ala </w:t>
      </w:r>
      <w:r>
        <w:rPr>
          <w:rFonts w:ascii="Arial" w:hAnsi="Arial" w:cs="Arial"/>
          <w:lang w:val="es-MX"/>
        </w:rPr>
        <w:t>R</w:t>
      </w:r>
      <w:r w:rsidRPr="00A70A63">
        <w:rPr>
          <w:rFonts w:ascii="Arial" w:hAnsi="Arial" w:cs="Arial"/>
          <w:lang w:val="es-MX"/>
        </w:rPr>
        <w:t xml:space="preserve">egional, el nueve de junio del presente año, esto es, al día siguiente de que se hizo la publicitación del medio de </w:t>
      </w:r>
      <w:r w:rsidRPr="0025003F">
        <w:rPr>
          <w:rFonts w:ascii="Arial" w:hAnsi="Arial" w:cs="Arial"/>
          <w:lang w:val="es-MX"/>
        </w:rPr>
        <w:t xml:space="preserve">impugnación. </w:t>
      </w:r>
    </w:p>
  </w:footnote>
  <w:footnote w:id="4">
    <w:p w14:paraId="09140B8F" w14:textId="77777777" w:rsidR="001B2E26" w:rsidRPr="0058188E" w:rsidRDefault="001B2E26" w:rsidP="00FF1492">
      <w:pPr>
        <w:pStyle w:val="Textonotapie"/>
        <w:jc w:val="both"/>
        <w:rPr>
          <w:rFonts w:ascii="Arial" w:hAnsi="Arial" w:cs="Arial"/>
          <w:lang w:val="es-MX"/>
        </w:rPr>
      </w:pPr>
      <w:r w:rsidRPr="0025003F">
        <w:rPr>
          <w:rStyle w:val="Refdenotaalpie"/>
          <w:rFonts w:ascii="Arial" w:hAnsi="Arial" w:cs="Arial"/>
        </w:rPr>
        <w:footnoteRef/>
      </w:r>
      <w:r w:rsidRPr="00650434">
        <w:rPr>
          <w:rFonts w:ascii="Arial" w:hAnsi="Arial" w:cs="Arial"/>
        </w:rPr>
        <w:t xml:space="preserve"> </w:t>
      </w:r>
      <w:r w:rsidRPr="00650434">
        <w:rPr>
          <w:rFonts w:ascii="Arial" w:hAnsi="Arial" w:cs="Arial"/>
          <w:lang w:val="es-MX"/>
        </w:rPr>
        <w:t>El escrito fue recibido en una cuenta institucional</w:t>
      </w:r>
      <w:r w:rsidRPr="002D08D2">
        <w:rPr>
          <w:rFonts w:ascii="Arial" w:hAnsi="Arial" w:cs="Arial"/>
          <w:lang w:val="es-MX"/>
        </w:rPr>
        <w:t xml:space="preserve"> y se procedió a ingresarlo a la oficialía de partes de la </w:t>
      </w:r>
      <w:r>
        <w:rPr>
          <w:rFonts w:ascii="Arial" w:hAnsi="Arial" w:cs="Arial"/>
          <w:lang w:val="es-MX"/>
        </w:rPr>
        <w:t>S</w:t>
      </w:r>
      <w:r w:rsidRPr="00A70A63">
        <w:rPr>
          <w:rFonts w:ascii="Arial" w:hAnsi="Arial" w:cs="Arial"/>
          <w:lang w:val="es-MX"/>
        </w:rPr>
        <w:t xml:space="preserve">ala </w:t>
      </w:r>
      <w:r>
        <w:rPr>
          <w:rFonts w:ascii="Arial" w:hAnsi="Arial" w:cs="Arial"/>
          <w:lang w:val="es-MX"/>
        </w:rPr>
        <w:t>R</w:t>
      </w:r>
      <w:r w:rsidRPr="00A70A63">
        <w:rPr>
          <w:rFonts w:ascii="Arial" w:hAnsi="Arial" w:cs="Arial"/>
          <w:lang w:val="es-MX"/>
        </w:rPr>
        <w:t>egional responsable.</w:t>
      </w:r>
      <w:r w:rsidRPr="0058188E">
        <w:rPr>
          <w:rFonts w:ascii="Arial" w:hAnsi="Arial" w:cs="Arial"/>
          <w:lang w:val="es-MX"/>
        </w:rPr>
        <w:t xml:space="preserve"> </w:t>
      </w:r>
    </w:p>
  </w:footnote>
  <w:footnote w:id="5">
    <w:p w14:paraId="610C2A2A" w14:textId="77777777" w:rsidR="001B2E26" w:rsidRPr="002D08D2" w:rsidRDefault="001B2E26" w:rsidP="00CA783F">
      <w:pPr>
        <w:pStyle w:val="Textonotapie"/>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 xml:space="preserve">La grabación de las audiencias consta en el expediente y se encuentra disponible en: </w:t>
      </w:r>
      <w:hyperlink r:id="rId1" w:history="1">
        <w:r w:rsidRPr="002D08D2">
          <w:rPr>
            <w:rStyle w:val="Hipervnculo"/>
            <w:rFonts w:ascii="Arial" w:hAnsi="Arial" w:cs="Arial"/>
          </w:rPr>
          <w:t>https://www.youtube.com/watch?v=MaWqy1UPILE</w:t>
        </w:r>
      </w:hyperlink>
      <w:r w:rsidRPr="002D08D2">
        <w:rPr>
          <w:rFonts w:ascii="Arial" w:hAnsi="Arial" w:cs="Arial"/>
        </w:rPr>
        <w:t xml:space="preserve"> y </w:t>
      </w:r>
      <w:hyperlink r:id="rId2" w:history="1">
        <w:r w:rsidRPr="002D08D2">
          <w:rPr>
            <w:rStyle w:val="Hipervnculo"/>
            <w:rFonts w:ascii="Arial" w:hAnsi="Arial" w:cs="Arial"/>
          </w:rPr>
          <w:t>https://www.youtube.com/watch?v=8dxEv9dK3kQ</w:t>
        </w:r>
      </w:hyperlink>
      <w:r w:rsidRPr="002D08D2">
        <w:rPr>
          <w:rFonts w:ascii="Arial" w:hAnsi="Arial" w:cs="Arial"/>
        </w:rPr>
        <w:t>.</w:t>
      </w:r>
    </w:p>
  </w:footnote>
  <w:footnote w:id="6">
    <w:p w14:paraId="2ABA7675" w14:textId="77777777" w:rsidR="001B2E26" w:rsidRPr="002D08D2" w:rsidRDefault="001B2E26" w:rsidP="002D08D2">
      <w:pPr>
        <w:pStyle w:val="Textonotapie"/>
        <w:rPr>
          <w:rFonts w:ascii="Arial" w:hAnsi="Arial" w:cs="Arial"/>
        </w:rPr>
      </w:pPr>
      <w:r w:rsidRPr="002D08D2">
        <w:rPr>
          <w:rStyle w:val="Refdenotaalpie"/>
          <w:rFonts w:ascii="Arial" w:hAnsi="Arial" w:cs="Arial"/>
        </w:rPr>
        <w:footnoteRef/>
      </w:r>
      <w:r w:rsidRPr="002D08D2">
        <w:rPr>
          <w:rFonts w:ascii="Arial" w:hAnsi="Arial" w:cs="Arial"/>
        </w:rPr>
        <w:t xml:space="preserve"> Ambos documentos se integraron al expediente respectivo.</w:t>
      </w:r>
    </w:p>
  </w:footnote>
  <w:footnote w:id="7">
    <w:p w14:paraId="4E5F413E" w14:textId="77777777" w:rsidR="001B2E26" w:rsidRPr="002D08D2" w:rsidRDefault="001B2E26" w:rsidP="00CA783F">
      <w:pPr>
        <w:pStyle w:val="Textonotapie"/>
        <w:jc w:val="both"/>
        <w:rPr>
          <w:rFonts w:ascii="Arial" w:hAnsi="Arial" w:cs="Arial"/>
        </w:rPr>
      </w:pPr>
      <w:r w:rsidRPr="002D08D2">
        <w:rPr>
          <w:rStyle w:val="Refdenotaalpie"/>
          <w:rFonts w:ascii="Arial" w:hAnsi="Arial" w:cs="Arial"/>
        </w:rPr>
        <w:footnoteRef/>
      </w:r>
      <w:r w:rsidRPr="002D08D2">
        <w:rPr>
          <w:rFonts w:ascii="Arial" w:hAnsi="Arial" w:cs="Arial"/>
        </w:rPr>
        <w:t xml:space="preserve"> Informe final de actividades y resultados del Comité especializado en torno a la figura de la Diputación Migrante (CODIM), elaborado en cumplimiento a lo dispuesto en el numeral 31, párrafo ocho del acuerdo IECM/ACU-CG-025/2019 emitido por el Consejo General del Instituto Electoral de la Ciudad de México.</w:t>
      </w:r>
    </w:p>
  </w:footnote>
  <w:footnote w:id="8">
    <w:p w14:paraId="3756C017" w14:textId="77777777" w:rsidR="001B2E26" w:rsidRDefault="001B2E26" w:rsidP="0007332B">
      <w:pPr>
        <w:pStyle w:val="Textonotapie"/>
        <w:jc w:val="both"/>
        <w:rPr>
          <w:rFonts w:ascii="Arial" w:hAnsi="Arial" w:cs="Arial"/>
        </w:rPr>
      </w:pPr>
      <w:r w:rsidRPr="002D08D2">
        <w:rPr>
          <w:rStyle w:val="Refdenotaalpie"/>
          <w:rFonts w:ascii="Arial" w:hAnsi="Arial" w:cs="Arial"/>
        </w:rPr>
        <w:footnoteRef/>
      </w:r>
      <w:r w:rsidRPr="002D08D2">
        <w:rPr>
          <w:rFonts w:ascii="Arial" w:hAnsi="Arial" w:cs="Arial"/>
        </w:rPr>
        <w:t xml:space="preserve"> Definición derivada de la presentada en el “Reglamento de la Corte Interamericana de Derechos Humanos”, artículo 2</w:t>
      </w:r>
      <w:r>
        <w:rPr>
          <w:rFonts w:ascii="Arial" w:hAnsi="Arial" w:cs="Arial"/>
        </w:rPr>
        <w:t xml:space="preserve">. </w:t>
      </w:r>
      <w:r w:rsidRPr="002D08D2">
        <w:rPr>
          <w:rFonts w:ascii="Arial" w:hAnsi="Arial" w:cs="Arial"/>
        </w:rPr>
        <w:t>°, punto 3, disponible en:</w:t>
      </w:r>
    </w:p>
    <w:p w14:paraId="161400A9" w14:textId="77777777" w:rsidR="001B2E26" w:rsidRPr="002D08D2" w:rsidRDefault="00442694" w:rsidP="0007332B">
      <w:pPr>
        <w:pStyle w:val="Textonotapie"/>
        <w:jc w:val="both"/>
        <w:rPr>
          <w:rFonts w:ascii="Arial" w:hAnsi="Arial" w:cs="Arial"/>
        </w:rPr>
      </w:pPr>
      <w:hyperlink r:id="rId3" w:history="1">
        <w:r w:rsidR="001B2E26" w:rsidRPr="002D08D2">
          <w:rPr>
            <w:rStyle w:val="Hipervnculo"/>
            <w:rFonts w:ascii="Arial" w:hAnsi="Arial" w:cs="Arial"/>
          </w:rPr>
          <w:t>https://www.corteidh.or.cr/sitios/reglamento/nov_2009_esp.pdf</w:t>
        </w:r>
      </w:hyperlink>
      <w:r w:rsidR="001B2E26" w:rsidRPr="002D08D2">
        <w:rPr>
          <w:rFonts w:ascii="Arial" w:hAnsi="Arial" w:cs="Arial"/>
        </w:rPr>
        <w:t>. Consultado el: 01/07/2020.</w:t>
      </w:r>
    </w:p>
  </w:footnote>
  <w:footnote w:id="9">
    <w:p w14:paraId="1869FFC1" w14:textId="77777777" w:rsidR="001B2E26" w:rsidRPr="002D08D2" w:rsidRDefault="001B2E26" w:rsidP="00CA783F">
      <w:pPr>
        <w:jc w:val="both"/>
        <w:rPr>
          <w:rFonts w:ascii="Arial" w:hAnsi="Arial" w:cs="Arial"/>
          <w:sz w:val="20"/>
          <w:szCs w:val="20"/>
          <w:lang w:val="es-ES_tradnl"/>
        </w:rPr>
      </w:pPr>
      <w:r w:rsidRPr="002D08D2">
        <w:rPr>
          <w:rStyle w:val="Refdenotaalpie"/>
          <w:rFonts w:ascii="Arial" w:hAnsi="Arial" w:cs="Arial"/>
          <w:sz w:val="20"/>
          <w:szCs w:val="20"/>
        </w:rPr>
        <w:footnoteRef/>
      </w:r>
      <w:r w:rsidRPr="002D08D2">
        <w:rPr>
          <w:rFonts w:ascii="Arial" w:hAnsi="Arial" w:cs="Arial"/>
          <w:sz w:val="20"/>
          <w:szCs w:val="20"/>
        </w:rPr>
        <w:t xml:space="preserve"> </w:t>
      </w:r>
      <w:r w:rsidRPr="002D08D2">
        <w:rPr>
          <w:rFonts w:ascii="Arial" w:hAnsi="Arial" w:cs="Arial"/>
          <w:sz w:val="20"/>
          <w:szCs w:val="20"/>
          <w:lang w:val="es-ES_tradnl"/>
        </w:rPr>
        <w:t xml:space="preserve">Argumentación sustentada en la jurisprudencia 8/2018, de rubro </w:t>
      </w:r>
      <w:r w:rsidRPr="0058188E">
        <w:rPr>
          <w:rFonts w:ascii="Arial" w:hAnsi="Arial" w:cs="Arial"/>
          <w:b/>
          <w:bCs/>
          <w:smallCaps/>
          <w:sz w:val="20"/>
          <w:szCs w:val="20"/>
        </w:rPr>
        <w:t>amicus curiae. es admisible en los medios de impugnación en materia electoral</w:t>
      </w:r>
      <w:r w:rsidRPr="002D08D2">
        <w:rPr>
          <w:rFonts w:ascii="Arial" w:hAnsi="Arial" w:cs="Arial"/>
          <w:sz w:val="20"/>
          <w:szCs w:val="20"/>
          <w:lang w:val="es-ES_tradnl"/>
        </w:rPr>
        <w:t xml:space="preserve">. Disponible en la </w:t>
      </w:r>
      <w:r w:rsidRPr="0058188E">
        <w:rPr>
          <w:rFonts w:ascii="Arial" w:hAnsi="Arial" w:cs="Arial"/>
          <w:bCs/>
          <w:i/>
          <w:sz w:val="20"/>
          <w:szCs w:val="20"/>
        </w:rPr>
        <w:t>Gaceta de Jurisprudencia y Tesis</w:t>
      </w:r>
      <w:r w:rsidRPr="002D08D2">
        <w:rPr>
          <w:rFonts w:ascii="Arial" w:hAnsi="Arial" w:cs="Arial"/>
          <w:bCs/>
          <w:sz w:val="20"/>
          <w:szCs w:val="20"/>
        </w:rPr>
        <w:t xml:space="preserve"> en materia electoral</w:t>
      </w:r>
      <w:r w:rsidRPr="003A1EA7">
        <w:rPr>
          <w:rFonts w:ascii="Arial" w:hAnsi="Arial" w:cs="Arial"/>
          <w:bCs/>
          <w:sz w:val="20"/>
          <w:szCs w:val="20"/>
        </w:rPr>
        <w:t xml:space="preserve"> del Tribunal Electoral del Poder Judicial de la Federación, año 10, n</w:t>
      </w:r>
      <w:r w:rsidRPr="00A70A63">
        <w:rPr>
          <w:rFonts w:ascii="Arial" w:hAnsi="Arial" w:cs="Arial"/>
          <w:bCs/>
          <w:sz w:val="20"/>
          <w:szCs w:val="20"/>
        </w:rPr>
        <w:t>úmero 21, 2018, páginas 12 y 13</w:t>
      </w:r>
      <w:r w:rsidRPr="008C0D8D">
        <w:rPr>
          <w:rFonts w:ascii="Arial" w:hAnsi="Arial" w:cs="Arial"/>
          <w:bCs/>
          <w:sz w:val="20"/>
          <w:szCs w:val="20"/>
        </w:rPr>
        <w:t xml:space="preserve">; y en: </w:t>
      </w:r>
      <w:hyperlink r:id="rId4" w:history="1">
        <w:r w:rsidRPr="002D08D2">
          <w:rPr>
            <w:rStyle w:val="Hipervnculo"/>
            <w:rFonts w:ascii="Arial" w:hAnsi="Arial" w:cs="Arial"/>
            <w:bCs/>
            <w:sz w:val="20"/>
            <w:szCs w:val="20"/>
          </w:rPr>
          <w:t>https://www.te.gob.mx/IUSEapp/tesisjur.aspx?idtesis=8/2018&amp;tpoBusqueda=S&amp;sWord=amicus,curiae</w:t>
        </w:r>
      </w:hyperlink>
    </w:p>
  </w:footnote>
  <w:footnote w:id="10">
    <w:p w14:paraId="358556F8" w14:textId="77777777" w:rsidR="001B2E26" w:rsidRPr="00650434" w:rsidRDefault="001B2E26" w:rsidP="00CA783F">
      <w:pPr>
        <w:pStyle w:val="Textonotapie"/>
        <w:jc w:val="both"/>
        <w:rPr>
          <w:rFonts w:ascii="Arial" w:hAnsi="Arial" w:cs="Arial"/>
        </w:rPr>
      </w:pPr>
      <w:r w:rsidRPr="0025003F">
        <w:rPr>
          <w:rStyle w:val="Refdenotaalpie"/>
          <w:rFonts w:ascii="Arial" w:hAnsi="Arial" w:cs="Arial"/>
        </w:rPr>
        <w:footnoteRef/>
      </w:r>
      <w:r w:rsidRPr="00650434">
        <w:rPr>
          <w:rFonts w:ascii="Arial" w:hAnsi="Arial" w:cs="Arial"/>
        </w:rPr>
        <w:t xml:space="preserve"> SUP-REC-35/2020 y SUP-JDC-1622/2019.</w:t>
      </w:r>
    </w:p>
  </w:footnote>
  <w:footnote w:id="11">
    <w:p w14:paraId="57664959" w14:textId="77777777" w:rsidR="001B2E26" w:rsidRPr="002D08D2" w:rsidRDefault="001B2E26" w:rsidP="00CA783F">
      <w:pPr>
        <w:pStyle w:val="Textonotapie"/>
        <w:jc w:val="both"/>
        <w:rPr>
          <w:rFonts w:ascii="Arial" w:hAnsi="Arial" w:cs="Arial"/>
        </w:rPr>
      </w:pPr>
      <w:r w:rsidRPr="00650434">
        <w:rPr>
          <w:rStyle w:val="Refdenotaalpie"/>
          <w:rFonts w:ascii="Arial" w:hAnsi="Arial" w:cs="Arial"/>
        </w:rPr>
        <w:footnoteRef/>
      </w:r>
      <w:r w:rsidRPr="002D08D2">
        <w:rPr>
          <w:rFonts w:ascii="Arial" w:hAnsi="Arial" w:cs="Arial"/>
        </w:rPr>
        <w:t xml:space="preserve"> SUP-REC-5/2020 y acumulados, SUP-RAP-113/2019, SUP-REC-611/2019 y SUP-REC-65/2019.</w:t>
      </w:r>
    </w:p>
  </w:footnote>
  <w:footnote w:id="12">
    <w:p w14:paraId="0A18D2B2" w14:textId="77777777" w:rsidR="001B2E26" w:rsidRPr="0058188E" w:rsidRDefault="001B2E26" w:rsidP="00CA783F">
      <w:pPr>
        <w:pStyle w:val="Textonotapie"/>
        <w:jc w:val="both"/>
        <w:rPr>
          <w:rFonts w:ascii="Arial" w:hAnsi="Arial" w:cs="Arial"/>
        </w:rPr>
      </w:pPr>
      <w:r w:rsidRPr="002D08D2">
        <w:rPr>
          <w:rStyle w:val="Refdenotaalpie"/>
          <w:rFonts w:ascii="Arial" w:hAnsi="Arial" w:cs="Arial"/>
        </w:rPr>
        <w:footnoteRef/>
      </w:r>
      <w:r w:rsidRPr="002D08D2">
        <w:rPr>
          <w:rFonts w:ascii="Arial" w:hAnsi="Arial" w:cs="Arial"/>
        </w:rPr>
        <w:t xml:space="preserve"> SUP-JDC-499/2018 y SUP-JDC-304/2018 y acumulados.</w:t>
      </w:r>
    </w:p>
  </w:footnote>
  <w:footnote w:id="13">
    <w:p w14:paraId="7557B7B3" w14:textId="77777777" w:rsidR="001B2E26" w:rsidRPr="002D08D2" w:rsidRDefault="001B2E26" w:rsidP="007959C1">
      <w:pPr>
        <w:pStyle w:val="Textonotapie"/>
        <w:jc w:val="both"/>
        <w:rPr>
          <w:rFonts w:ascii="Arial" w:hAnsi="Arial" w:cs="Arial"/>
        </w:rPr>
      </w:pPr>
      <w:r w:rsidRPr="002D08D2">
        <w:rPr>
          <w:rStyle w:val="Refdenotaalpie"/>
          <w:rFonts w:ascii="Arial" w:hAnsi="Arial" w:cs="Arial"/>
        </w:rPr>
        <w:footnoteRef/>
      </w:r>
      <w:r w:rsidRPr="002D08D2">
        <w:rPr>
          <w:rFonts w:ascii="Arial" w:hAnsi="Arial" w:cs="Arial"/>
        </w:rPr>
        <w:t xml:space="preserve"> Es decir, dejando a salvo el control abstracto de las leyes en la materia mediante las acciones de inconstitucionalidad.</w:t>
      </w:r>
    </w:p>
  </w:footnote>
  <w:footnote w:id="14">
    <w:p w14:paraId="412F4158" w14:textId="77777777" w:rsidR="001B2E26" w:rsidRPr="0058188E" w:rsidRDefault="001B2E26" w:rsidP="00795103">
      <w:pPr>
        <w:pStyle w:val="Textonotapie"/>
        <w:jc w:val="both"/>
        <w:rPr>
          <w:rFonts w:ascii="Arial" w:hAnsi="Arial" w:cs="Arial"/>
        </w:rPr>
      </w:pPr>
      <w:r w:rsidRPr="002D08D2">
        <w:rPr>
          <w:rStyle w:val="Refdenotaalpie"/>
          <w:rFonts w:ascii="Arial" w:hAnsi="Arial" w:cs="Arial"/>
        </w:rPr>
        <w:footnoteRef/>
      </w:r>
      <w:r w:rsidRPr="00A70A63">
        <w:rPr>
          <w:rFonts w:ascii="Arial" w:hAnsi="Arial" w:cs="Arial"/>
        </w:rPr>
        <w:t xml:space="preserve"> En los términos en que lo definió el </w:t>
      </w:r>
      <w:r>
        <w:rPr>
          <w:rFonts w:ascii="Arial" w:hAnsi="Arial" w:cs="Arial"/>
        </w:rPr>
        <w:t>p</w:t>
      </w:r>
      <w:r w:rsidRPr="00A70A63">
        <w:rPr>
          <w:rFonts w:ascii="Arial" w:hAnsi="Arial" w:cs="Arial"/>
        </w:rPr>
        <w:t>leno de la SCJN en el expediente Varios 912/2010.</w:t>
      </w:r>
      <w:r w:rsidRPr="0058188E">
        <w:rPr>
          <w:rFonts w:ascii="Arial" w:hAnsi="Arial" w:cs="Arial"/>
        </w:rPr>
        <w:t xml:space="preserve"> </w:t>
      </w:r>
    </w:p>
  </w:footnote>
  <w:footnote w:id="15">
    <w:p w14:paraId="4CEA956D" w14:textId="77777777" w:rsidR="001B2E26" w:rsidRPr="0058188E" w:rsidRDefault="001B2E26" w:rsidP="00C74DB3">
      <w:pPr>
        <w:pStyle w:val="Textonotapie"/>
        <w:jc w:val="both"/>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 xml:space="preserve">Ver Presno Linera, Miguel Ángel. 2002. “La titularidad del derecho de participación política” en </w:t>
      </w:r>
      <w:r w:rsidRPr="002D08D2">
        <w:rPr>
          <w:rFonts w:ascii="Arial" w:hAnsi="Arial" w:cs="Arial"/>
          <w:i/>
        </w:rPr>
        <w:t>Boletín Mexicano de Derecho Comparado</w:t>
      </w:r>
      <w:r w:rsidRPr="00E053B7">
        <w:rPr>
          <w:rFonts w:ascii="Arial" w:hAnsi="Arial" w:cs="Arial"/>
        </w:rPr>
        <w:t>, mayo-agosto, vol. XXXV, núm. 104, UNAM, p</w:t>
      </w:r>
      <w:r>
        <w:rPr>
          <w:rFonts w:ascii="Arial" w:hAnsi="Arial" w:cs="Arial"/>
        </w:rPr>
        <w:t>ágs</w:t>
      </w:r>
      <w:r w:rsidRPr="00E053B7">
        <w:rPr>
          <w:rFonts w:ascii="Arial" w:hAnsi="Arial" w:cs="Arial"/>
        </w:rPr>
        <w:t xml:space="preserve">. 517-558. Ver también Franco Cuervo, Juan José. 2018. “Los derechos político-electorales de los ciudadanos en México a la sombra de una democracia y tutela delegativas” en </w:t>
      </w:r>
      <w:r w:rsidRPr="00E053B7">
        <w:rPr>
          <w:rFonts w:ascii="Arial" w:hAnsi="Arial" w:cs="Arial"/>
          <w:i/>
        </w:rPr>
        <w:t>Revista IUS</w:t>
      </w:r>
      <w:r w:rsidRPr="00E053B7">
        <w:rPr>
          <w:rFonts w:ascii="Arial" w:hAnsi="Arial" w:cs="Arial"/>
        </w:rPr>
        <w:t>, vol. 12, núm. 42.</w:t>
      </w:r>
    </w:p>
  </w:footnote>
  <w:footnote w:id="16">
    <w:p w14:paraId="5E7342E0" w14:textId="77777777" w:rsidR="001B2E26" w:rsidRPr="00A70A63" w:rsidRDefault="001B2E26" w:rsidP="005A0ECC">
      <w:pPr>
        <w:pStyle w:val="Textonotapie"/>
        <w:jc w:val="both"/>
        <w:rPr>
          <w:rFonts w:ascii="Arial" w:hAnsi="Arial" w:cs="Arial"/>
          <w:lang w:val="en-US"/>
        </w:rPr>
      </w:pPr>
      <w:r w:rsidRPr="002D08D2">
        <w:rPr>
          <w:rStyle w:val="Refdenotaalpie"/>
          <w:rFonts w:ascii="Arial" w:hAnsi="Arial" w:cs="Arial"/>
        </w:rPr>
        <w:footnoteRef/>
      </w:r>
      <w:r w:rsidRPr="002D08D2">
        <w:rPr>
          <w:rFonts w:ascii="Arial" w:hAnsi="Arial" w:cs="Arial"/>
          <w:lang w:val="en-US"/>
        </w:rPr>
        <w:t xml:space="preserve"> Brubaker, Roger. (2005). “The diaspora”, en </w:t>
      </w:r>
      <w:r w:rsidRPr="002D08D2">
        <w:rPr>
          <w:rFonts w:ascii="Arial" w:hAnsi="Arial" w:cs="Arial"/>
          <w:i/>
          <w:lang w:val="en-US"/>
        </w:rPr>
        <w:t>Ethnic and Racial Studies</w:t>
      </w:r>
      <w:r w:rsidRPr="00A70A63">
        <w:rPr>
          <w:rFonts w:ascii="Arial" w:hAnsi="Arial" w:cs="Arial"/>
          <w:lang w:val="en-US"/>
        </w:rPr>
        <w:t>, vol. 28, num. 1, p</w:t>
      </w:r>
      <w:r>
        <w:rPr>
          <w:rFonts w:ascii="Arial" w:hAnsi="Arial" w:cs="Arial"/>
          <w:lang w:val="en-US"/>
        </w:rPr>
        <w:t>ágs</w:t>
      </w:r>
      <w:r w:rsidRPr="00A70A63">
        <w:rPr>
          <w:rFonts w:ascii="Arial" w:hAnsi="Arial" w:cs="Arial"/>
          <w:lang w:val="en-US"/>
        </w:rPr>
        <w:t xml:space="preserve">.1-19. </w:t>
      </w:r>
    </w:p>
  </w:footnote>
  <w:footnote w:id="17">
    <w:p w14:paraId="06D961C5" w14:textId="77777777" w:rsidR="001B2E26" w:rsidRPr="0025003F" w:rsidRDefault="001B2E26" w:rsidP="005A0ECC">
      <w:pPr>
        <w:pStyle w:val="Textonotapie"/>
        <w:jc w:val="both"/>
        <w:rPr>
          <w:rFonts w:ascii="Arial" w:hAnsi="Arial" w:cs="Arial"/>
        </w:rPr>
      </w:pPr>
      <w:r w:rsidRPr="0025003F">
        <w:rPr>
          <w:rStyle w:val="Refdenotaalpie"/>
          <w:rFonts w:ascii="Arial" w:hAnsi="Arial" w:cs="Arial"/>
        </w:rPr>
        <w:footnoteRef/>
      </w:r>
      <w:r w:rsidRPr="0025003F">
        <w:rPr>
          <w:rFonts w:ascii="Arial" w:hAnsi="Arial" w:cs="Arial"/>
        </w:rPr>
        <w:t xml:space="preserve"> En la literatura del multiculturalismo, se ha reconocido que prácticamente todos los </w:t>
      </w:r>
      <w:r>
        <w:rPr>
          <w:rFonts w:ascii="Arial" w:hAnsi="Arial" w:cs="Arial"/>
        </w:rPr>
        <w:t>E</w:t>
      </w:r>
      <w:r w:rsidRPr="0025003F">
        <w:rPr>
          <w:rFonts w:ascii="Arial" w:hAnsi="Arial" w:cs="Arial"/>
        </w:rPr>
        <w:t xml:space="preserve">stados cuentan con grupos culturales minoritarios </w:t>
      </w:r>
      <w:r>
        <w:rPr>
          <w:rFonts w:ascii="Arial" w:hAnsi="Arial" w:cs="Arial"/>
        </w:rPr>
        <w:t>en</w:t>
      </w:r>
      <w:r w:rsidRPr="0025003F">
        <w:rPr>
          <w:rFonts w:ascii="Arial" w:hAnsi="Arial" w:cs="Arial"/>
        </w:rPr>
        <w:t xml:space="preserve"> su interior. Existe una muy diversa tipología de los grupos culturales que suelen habitar dentro de un </w:t>
      </w:r>
      <w:r>
        <w:rPr>
          <w:rFonts w:ascii="Arial" w:hAnsi="Arial" w:cs="Arial"/>
        </w:rPr>
        <w:t>E</w:t>
      </w:r>
      <w:r w:rsidRPr="0025003F">
        <w:rPr>
          <w:rFonts w:ascii="Arial" w:hAnsi="Arial" w:cs="Arial"/>
        </w:rPr>
        <w:t>stado, sin embargo, uno de los más usuales y de los que más literatura encontramos, son los grupos poliétnicos. Un grupo poliétnico, de acuer</w:t>
      </w:r>
      <w:r w:rsidRPr="00650434">
        <w:rPr>
          <w:rFonts w:ascii="Arial" w:hAnsi="Arial" w:cs="Arial"/>
        </w:rPr>
        <w:t xml:space="preserve">do con esta corriente de estudio, son grupos de personas que descienden de gente que en el pasado migró de su país de origen y se asentó en un </w:t>
      </w:r>
      <w:r>
        <w:rPr>
          <w:rFonts w:ascii="Arial" w:hAnsi="Arial" w:cs="Arial"/>
        </w:rPr>
        <w:t>E</w:t>
      </w:r>
      <w:r w:rsidRPr="0025003F">
        <w:rPr>
          <w:rFonts w:ascii="Arial" w:hAnsi="Arial" w:cs="Arial"/>
        </w:rPr>
        <w:t xml:space="preserve">stado anfitrión. Con el tiempo, estos grupos y sus descendientes se han integrado a la cultura mayoritaria del </w:t>
      </w:r>
      <w:r>
        <w:rPr>
          <w:rFonts w:ascii="Arial" w:hAnsi="Arial" w:cs="Arial"/>
        </w:rPr>
        <w:t>E</w:t>
      </w:r>
      <w:r w:rsidRPr="0025003F">
        <w:rPr>
          <w:rFonts w:ascii="Arial" w:hAnsi="Arial" w:cs="Arial"/>
        </w:rPr>
        <w:t xml:space="preserve">stado anfitrión, pero no han abandonado por completo sus prácticas culturales originarias, ni su identidad. </w:t>
      </w:r>
    </w:p>
    <w:p w14:paraId="5C88869A" w14:textId="77777777" w:rsidR="001B2E26" w:rsidRPr="00E12123" w:rsidRDefault="001B2E26" w:rsidP="005A0ECC">
      <w:pPr>
        <w:pStyle w:val="Textonotapie"/>
        <w:jc w:val="both"/>
        <w:rPr>
          <w:rFonts w:ascii="Arial" w:hAnsi="Arial" w:cs="Arial"/>
        </w:rPr>
      </w:pPr>
      <w:r w:rsidRPr="0025003F">
        <w:rPr>
          <w:rFonts w:ascii="Arial" w:hAnsi="Arial" w:cs="Arial"/>
        </w:rPr>
        <w:t xml:space="preserve">Mientras que tienen la intención de integrarse plenamente como ciudadanas del </w:t>
      </w:r>
      <w:r>
        <w:rPr>
          <w:rFonts w:ascii="Arial" w:hAnsi="Arial" w:cs="Arial"/>
        </w:rPr>
        <w:t>E</w:t>
      </w:r>
      <w:r w:rsidRPr="0025003F">
        <w:rPr>
          <w:rFonts w:ascii="Arial" w:hAnsi="Arial" w:cs="Arial"/>
        </w:rPr>
        <w:t xml:space="preserve">stado anfitrión, también tienen la intención de que ese </w:t>
      </w:r>
      <w:r>
        <w:rPr>
          <w:rFonts w:ascii="Arial" w:hAnsi="Arial" w:cs="Arial"/>
        </w:rPr>
        <w:t>E</w:t>
      </w:r>
      <w:r w:rsidRPr="00E12123">
        <w:rPr>
          <w:rFonts w:ascii="Arial" w:hAnsi="Arial" w:cs="Arial"/>
        </w:rPr>
        <w:t>stado reconozca y acomode sus diferencias culturales por medio de arreglos institucionales o de exenciones. Por ejemplo, muchos países europeos reconocen las festividades religiosas de las personas musulmanas, de forma que hay facilidades para que estas personas pued</w:t>
      </w:r>
      <w:r w:rsidRPr="00650434">
        <w:rPr>
          <w:rFonts w:ascii="Arial" w:hAnsi="Arial" w:cs="Arial"/>
        </w:rPr>
        <w:t xml:space="preserve">an festejarlas, tanto en escuelas como en los trabajos. Asimismo, en Canadá y en </w:t>
      </w:r>
      <w:r>
        <w:rPr>
          <w:rFonts w:ascii="Arial" w:hAnsi="Arial" w:cs="Arial"/>
        </w:rPr>
        <w:t xml:space="preserve">el </w:t>
      </w:r>
      <w:r w:rsidRPr="00E12123">
        <w:rPr>
          <w:rFonts w:ascii="Arial" w:hAnsi="Arial" w:cs="Arial"/>
        </w:rPr>
        <w:t xml:space="preserve">Reino Unido se ha exceptuado a los Sijes (Sikhs) de utilizar casco de motocicleta en respeto al significado sagrado que tiene el uso de sus turbantes. </w:t>
      </w:r>
    </w:p>
    <w:p w14:paraId="7CA09915" w14:textId="77777777" w:rsidR="001B2E26" w:rsidRPr="00E12123" w:rsidRDefault="001B2E26" w:rsidP="005A0ECC">
      <w:pPr>
        <w:pStyle w:val="Textonotapie"/>
        <w:jc w:val="both"/>
        <w:rPr>
          <w:rFonts w:ascii="Arial" w:hAnsi="Arial" w:cs="Arial"/>
        </w:rPr>
      </w:pPr>
      <w:r w:rsidRPr="00E12123">
        <w:rPr>
          <w:rFonts w:ascii="Arial" w:hAnsi="Arial" w:cs="Arial"/>
        </w:rPr>
        <w:t xml:space="preserve">Estos son ejemplos de los tipos de arreglos que los </w:t>
      </w:r>
      <w:r>
        <w:rPr>
          <w:rFonts w:ascii="Arial" w:hAnsi="Arial" w:cs="Arial"/>
        </w:rPr>
        <w:t>E</w:t>
      </w:r>
      <w:r w:rsidRPr="00E12123">
        <w:rPr>
          <w:rFonts w:ascii="Arial" w:hAnsi="Arial" w:cs="Arial"/>
        </w:rPr>
        <w:t xml:space="preserve">stados anfitriones han adoptado a fin de reconocer y acomodar a los grupos poliétnicos </w:t>
      </w:r>
      <w:r>
        <w:rPr>
          <w:rFonts w:ascii="Arial" w:hAnsi="Arial" w:cs="Arial"/>
        </w:rPr>
        <w:t>en</w:t>
      </w:r>
      <w:r w:rsidRPr="00E12123">
        <w:rPr>
          <w:rFonts w:ascii="Arial" w:hAnsi="Arial" w:cs="Arial"/>
        </w:rPr>
        <w:t xml:space="preserve"> su interior. </w:t>
      </w:r>
    </w:p>
    <w:p w14:paraId="381DC459" w14:textId="77777777" w:rsidR="001B2E26" w:rsidRPr="002D08D2" w:rsidRDefault="001B2E26" w:rsidP="005A0ECC">
      <w:pPr>
        <w:pStyle w:val="Textonotapie"/>
        <w:jc w:val="both"/>
        <w:rPr>
          <w:rFonts w:ascii="Arial" w:hAnsi="Arial" w:cs="Arial"/>
          <w:lang w:val="es-MX"/>
        </w:rPr>
      </w:pPr>
      <w:r w:rsidRPr="00650434">
        <w:rPr>
          <w:rFonts w:ascii="Arial" w:hAnsi="Arial" w:cs="Arial"/>
          <w:lang w:val="en-US"/>
        </w:rPr>
        <w:t xml:space="preserve">Ver Kymlicka, Will. 2001. “Western Political Theory and Ethnic Relations in Eastern Europe” en </w:t>
      </w:r>
      <w:r w:rsidRPr="002D08D2">
        <w:rPr>
          <w:rFonts w:ascii="Arial" w:hAnsi="Arial" w:cs="Arial"/>
          <w:i/>
          <w:lang w:val="en-US"/>
        </w:rPr>
        <w:t>Can Liberal Pluralis be exported? Western political theory and ethnic relations in Eastern Europe</w:t>
      </w:r>
      <w:r w:rsidRPr="002D08D2">
        <w:rPr>
          <w:rFonts w:ascii="Arial" w:hAnsi="Arial" w:cs="Arial"/>
          <w:lang w:val="en-US"/>
        </w:rPr>
        <w:t>, Kymlicka Will y Opalski, Magda (</w:t>
      </w:r>
      <w:r w:rsidRPr="002D08D2">
        <w:rPr>
          <w:rFonts w:ascii="Arial" w:hAnsi="Arial" w:cs="Arial"/>
          <w:i/>
          <w:lang w:val="en-US"/>
        </w:rPr>
        <w:t>eds.</w:t>
      </w:r>
      <w:r w:rsidRPr="002D08D2">
        <w:rPr>
          <w:rFonts w:ascii="Arial" w:hAnsi="Arial" w:cs="Arial"/>
          <w:lang w:val="en-US"/>
        </w:rPr>
        <w:t>), Oxford University Press, Nueva York, p</w:t>
      </w:r>
      <w:r>
        <w:rPr>
          <w:rFonts w:ascii="Arial" w:hAnsi="Arial" w:cs="Arial"/>
          <w:lang w:val="en-US"/>
        </w:rPr>
        <w:t>á</w:t>
      </w:r>
      <w:r w:rsidRPr="00A35E36">
        <w:rPr>
          <w:rFonts w:ascii="Arial" w:hAnsi="Arial" w:cs="Arial"/>
          <w:lang w:val="en-US"/>
        </w:rPr>
        <w:t xml:space="preserve">gs. </w:t>
      </w:r>
      <w:r w:rsidRPr="00650434">
        <w:rPr>
          <w:rFonts w:ascii="Arial" w:hAnsi="Arial" w:cs="Arial"/>
        </w:rPr>
        <w:t xml:space="preserve">13-108; y Modood, Tariq. 2007. </w:t>
      </w:r>
      <w:r w:rsidRPr="002D08D2">
        <w:rPr>
          <w:rFonts w:ascii="Arial" w:hAnsi="Arial" w:cs="Arial"/>
          <w:i/>
        </w:rPr>
        <w:t>Multiculturalism. A civic idea</w:t>
      </w:r>
      <w:r w:rsidRPr="002D08D2">
        <w:rPr>
          <w:rFonts w:ascii="Arial" w:hAnsi="Arial" w:cs="Arial"/>
        </w:rPr>
        <w:t xml:space="preserve">, Cambridge Polity Press.   </w:t>
      </w:r>
    </w:p>
  </w:footnote>
  <w:footnote w:id="18">
    <w:p w14:paraId="69025EC6" w14:textId="77777777" w:rsidR="001B2E26" w:rsidRPr="002D08D2" w:rsidRDefault="001B2E26" w:rsidP="005A0ECC">
      <w:pPr>
        <w:rPr>
          <w:rFonts w:ascii="Arial" w:hAnsi="Arial" w:cs="Arial"/>
          <w:sz w:val="20"/>
          <w:szCs w:val="20"/>
          <w:lang w:val="es-MX" w:eastAsia="es-ES_tradnl"/>
        </w:rPr>
      </w:pPr>
      <w:r w:rsidRPr="0058188E">
        <w:rPr>
          <w:rStyle w:val="Refdenotaalpie"/>
          <w:rFonts w:ascii="Arial" w:hAnsi="Arial" w:cs="Arial"/>
          <w:sz w:val="20"/>
          <w:szCs w:val="20"/>
        </w:rPr>
        <w:footnoteRef/>
      </w:r>
      <w:r w:rsidRPr="0058188E">
        <w:rPr>
          <w:rFonts w:ascii="Arial" w:hAnsi="Arial" w:cs="Arial"/>
          <w:sz w:val="20"/>
          <w:szCs w:val="20"/>
        </w:rPr>
        <w:t xml:space="preserve"> </w:t>
      </w:r>
      <w:r w:rsidRPr="002D08D2">
        <w:rPr>
          <w:rFonts w:ascii="Arial" w:hAnsi="Arial" w:cs="Arial"/>
          <w:sz w:val="20"/>
          <w:szCs w:val="20"/>
        </w:rPr>
        <w:t xml:space="preserve">Disponible en </w:t>
      </w:r>
      <w:hyperlink r:id="rId5" w:history="1">
        <w:r w:rsidRPr="002D08D2">
          <w:rPr>
            <w:rFonts w:ascii="Arial" w:hAnsi="Arial" w:cs="Arial"/>
            <w:color w:val="0000FF"/>
            <w:sz w:val="20"/>
            <w:szCs w:val="20"/>
            <w:u w:val="single"/>
            <w:lang w:eastAsia="es-ES_tradnl"/>
          </w:rPr>
          <w:t>https://refugeesmigrants.un.org/es/declaration</w:t>
        </w:r>
      </w:hyperlink>
      <w:r>
        <w:rPr>
          <w:rFonts w:ascii="Arial" w:hAnsi="Arial" w:cs="Arial"/>
          <w:color w:val="0000FF"/>
          <w:sz w:val="20"/>
          <w:szCs w:val="20"/>
          <w:u w:val="single"/>
          <w:lang w:eastAsia="es-ES_tradnl"/>
        </w:rPr>
        <w:t>,</w:t>
      </w:r>
      <w:r w:rsidRPr="002D08D2">
        <w:rPr>
          <w:rFonts w:ascii="Arial" w:hAnsi="Arial" w:cs="Arial"/>
          <w:sz w:val="20"/>
          <w:szCs w:val="20"/>
          <w:lang w:eastAsia="es-ES_tradnl"/>
        </w:rPr>
        <w:t xml:space="preserve"> </w:t>
      </w:r>
      <w:r>
        <w:rPr>
          <w:rFonts w:ascii="Arial" w:hAnsi="Arial" w:cs="Arial"/>
          <w:sz w:val="20"/>
          <w:szCs w:val="20"/>
          <w:lang w:eastAsia="es-ES_tradnl"/>
        </w:rPr>
        <w:t>p</w:t>
      </w:r>
      <w:r w:rsidRPr="002D08D2">
        <w:rPr>
          <w:rFonts w:ascii="Arial" w:hAnsi="Arial" w:cs="Arial"/>
          <w:sz w:val="20"/>
          <w:szCs w:val="20"/>
          <w:lang w:eastAsia="es-ES_tradnl"/>
        </w:rPr>
        <w:t>árrafos 46 y 54.</w:t>
      </w:r>
      <w:r w:rsidRPr="0058188E">
        <w:rPr>
          <w:rFonts w:ascii="Arial" w:hAnsi="Arial" w:cs="Arial"/>
          <w:sz w:val="20"/>
          <w:szCs w:val="20"/>
          <w:lang w:eastAsia="es-ES_tradnl"/>
        </w:rPr>
        <w:t xml:space="preserve"> </w:t>
      </w:r>
    </w:p>
  </w:footnote>
  <w:footnote w:id="19">
    <w:p w14:paraId="1AFAC6F8" w14:textId="77777777" w:rsidR="001B2E26" w:rsidRPr="0025003F" w:rsidRDefault="001B2E26" w:rsidP="005A0ECC">
      <w:pPr>
        <w:pStyle w:val="Textonotapie"/>
        <w:jc w:val="both"/>
        <w:rPr>
          <w:rFonts w:ascii="Arial" w:hAnsi="Arial" w:cs="Arial"/>
        </w:rPr>
      </w:pPr>
      <w:r w:rsidRPr="002D08D2">
        <w:rPr>
          <w:rStyle w:val="Refdenotaalpie"/>
          <w:rFonts w:ascii="Arial" w:hAnsi="Arial" w:cs="Arial"/>
        </w:rPr>
        <w:footnoteRef/>
      </w:r>
      <w:r w:rsidRPr="002D08D2">
        <w:rPr>
          <w:rFonts w:ascii="Arial" w:hAnsi="Arial" w:cs="Arial"/>
        </w:rPr>
        <w:t xml:space="preserve"> </w:t>
      </w:r>
      <w:r>
        <w:rPr>
          <w:rFonts w:ascii="Arial" w:hAnsi="Arial" w:cs="Arial"/>
        </w:rPr>
        <w:t>V</w:t>
      </w:r>
      <w:r w:rsidRPr="002D08D2">
        <w:rPr>
          <w:rFonts w:ascii="Arial" w:hAnsi="Arial" w:cs="Arial"/>
        </w:rPr>
        <w:t xml:space="preserve">an der Herik, Larissa. 2018. “Diasporas and International Law” en </w:t>
      </w:r>
      <w:r w:rsidRPr="00A70A63">
        <w:rPr>
          <w:rFonts w:ascii="Arial" w:hAnsi="Arial" w:cs="Arial"/>
          <w:i/>
        </w:rPr>
        <w:t>ESIL Reflection</w:t>
      </w:r>
      <w:r w:rsidRPr="0025003F">
        <w:rPr>
          <w:rFonts w:ascii="Arial" w:hAnsi="Arial" w:cs="Arial"/>
        </w:rPr>
        <w:t xml:space="preserve">, vol. 7, núm. 6. </w:t>
      </w:r>
    </w:p>
  </w:footnote>
  <w:footnote w:id="20">
    <w:p w14:paraId="21AFE74C" w14:textId="77777777" w:rsidR="001B2E26" w:rsidRPr="00A35E36" w:rsidRDefault="001B2E26" w:rsidP="005A0ECC">
      <w:pPr>
        <w:pStyle w:val="Textonotapie"/>
        <w:jc w:val="both"/>
        <w:rPr>
          <w:rFonts w:ascii="Arial" w:hAnsi="Arial" w:cs="Arial"/>
        </w:rPr>
      </w:pPr>
      <w:r w:rsidRPr="00650434">
        <w:rPr>
          <w:rStyle w:val="Refdenotaalpie"/>
          <w:rFonts w:ascii="Arial" w:hAnsi="Arial" w:cs="Arial"/>
        </w:rPr>
        <w:footnoteRef/>
      </w:r>
      <w:r w:rsidRPr="00650434">
        <w:rPr>
          <w:rFonts w:ascii="Arial" w:hAnsi="Arial" w:cs="Arial"/>
        </w:rPr>
        <w:t xml:space="preserve"> Tigau, Camelia. 2014. “Las élites en la diáspora como embajadoras culturales” en Revista Mexicana de Ciencias Políticas y Sociales, vol. 59, núm. 222, sept</w:t>
      </w:r>
      <w:r>
        <w:rPr>
          <w:rFonts w:ascii="Arial" w:hAnsi="Arial" w:cs="Arial"/>
        </w:rPr>
        <w:t>.</w:t>
      </w:r>
      <w:r w:rsidRPr="00A35E36">
        <w:rPr>
          <w:rFonts w:ascii="Arial" w:hAnsi="Arial" w:cs="Arial"/>
        </w:rPr>
        <w:t>-dic</w:t>
      </w:r>
      <w:r>
        <w:rPr>
          <w:rFonts w:ascii="Arial" w:hAnsi="Arial" w:cs="Arial"/>
        </w:rPr>
        <w:t>.</w:t>
      </w:r>
      <w:r w:rsidRPr="00A35E36">
        <w:rPr>
          <w:rFonts w:ascii="Arial" w:hAnsi="Arial" w:cs="Arial"/>
        </w:rPr>
        <w:t xml:space="preserve">, México. </w:t>
      </w:r>
    </w:p>
  </w:footnote>
  <w:footnote w:id="21">
    <w:p w14:paraId="744901DC" w14:textId="77777777" w:rsidR="001B2E26" w:rsidRPr="0058188E" w:rsidRDefault="001B2E26" w:rsidP="005A0ECC">
      <w:pPr>
        <w:pStyle w:val="Textonotapie"/>
        <w:jc w:val="both"/>
        <w:rPr>
          <w:rFonts w:ascii="Arial" w:hAnsi="Arial" w:cs="Arial"/>
          <w:lang w:val="en-US"/>
        </w:rPr>
      </w:pPr>
      <w:r w:rsidRPr="00650434">
        <w:rPr>
          <w:rStyle w:val="Refdenotaalpie"/>
          <w:rFonts w:ascii="Arial" w:hAnsi="Arial" w:cs="Arial"/>
        </w:rPr>
        <w:footnoteRef/>
      </w:r>
      <w:r w:rsidRPr="00650434">
        <w:rPr>
          <w:rFonts w:ascii="Arial" w:hAnsi="Arial" w:cs="Arial"/>
          <w:lang w:val="en-US"/>
        </w:rPr>
        <w:t xml:space="preserve"> Delano, Alexandra. 2011. </w:t>
      </w:r>
      <w:r w:rsidRPr="00650434">
        <w:rPr>
          <w:rFonts w:ascii="Arial" w:hAnsi="Arial" w:cs="Arial"/>
          <w:i/>
          <w:lang w:val="en-US"/>
        </w:rPr>
        <w:t>México and its Diaspora in the United States. Policies of Emigration since 184</w:t>
      </w:r>
      <w:r w:rsidRPr="002D08D2">
        <w:rPr>
          <w:rFonts w:ascii="Arial" w:hAnsi="Arial" w:cs="Arial"/>
          <w:i/>
          <w:lang w:val="en-US"/>
        </w:rPr>
        <w:t>8</w:t>
      </w:r>
      <w:r w:rsidRPr="002D08D2">
        <w:rPr>
          <w:rFonts w:ascii="Arial" w:hAnsi="Arial" w:cs="Arial"/>
          <w:lang w:val="en-US"/>
        </w:rPr>
        <w:t xml:space="preserve">, Cambridge University Press. </w:t>
      </w:r>
    </w:p>
  </w:footnote>
  <w:footnote w:id="22">
    <w:p w14:paraId="2FD9380E" w14:textId="77777777" w:rsidR="001B2E26" w:rsidRPr="00D72782" w:rsidRDefault="001B2E26" w:rsidP="005A0ECC">
      <w:pPr>
        <w:pStyle w:val="Textonotapie"/>
        <w:jc w:val="both"/>
        <w:rPr>
          <w:rFonts w:ascii="Arial" w:hAnsi="Arial" w:cs="Arial"/>
          <w:lang w:val="es-MX"/>
        </w:rPr>
      </w:pPr>
      <w:r w:rsidRPr="002D08D2">
        <w:rPr>
          <w:rStyle w:val="Refdenotaalpie"/>
          <w:rFonts w:ascii="Arial" w:hAnsi="Arial" w:cs="Arial"/>
        </w:rPr>
        <w:footnoteRef/>
      </w:r>
      <w:r w:rsidRPr="002D08D2">
        <w:rPr>
          <w:rFonts w:ascii="Arial" w:hAnsi="Arial" w:cs="Arial"/>
          <w:lang w:val="en-US"/>
        </w:rPr>
        <w:t xml:space="preserve"> Ver Kymlicka, Will. 2001. </w:t>
      </w:r>
      <w:r w:rsidRPr="002D08D2">
        <w:rPr>
          <w:rFonts w:ascii="Arial" w:hAnsi="Arial" w:cs="Arial"/>
          <w:i/>
          <w:lang w:val="en-US"/>
        </w:rPr>
        <w:t>Politics in the Vernacular: Nationalism, Multiculturalism, and Citizenship</w:t>
      </w:r>
      <w:r w:rsidRPr="002D08D2">
        <w:rPr>
          <w:rFonts w:ascii="Arial" w:hAnsi="Arial" w:cs="Arial"/>
          <w:lang w:val="en-US"/>
        </w:rPr>
        <w:t>, Oxford University Press, p</w:t>
      </w:r>
      <w:r>
        <w:rPr>
          <w:rFonts w:ascii="Arial" w:hAnsi="Arial" w:cs="Arial"/>
          <w:lang w:val="en-US"/>
        </w:rPr>
        <w:t>ágs</w:t>
      </w:r>
      <w:r w:rsidRPr="002D08D2">
        <w:rPr>
          <w:rFonts w:ascii="Arial" w:hAnsi="Arial" w:cs="Arial"/>
          <w:lang w:val="en-US"/>
        </w:rPr>
        <w:t xml:space="preserve">. </w:t>
      </w:r>
      <w:r w:rsidRPr="00D72782">
        <w:rPr>
          <w:rFonts w:ascii="Arial" w:hAnsi="Arial" w:cs="Arial"/>
          <w:lang w:val="es-MX"/>
        </w:rPr>
        <w:t xml:space="preserve">24 y ss. </w:t>
      </w:r>
    </w:p>
  </w:footnote>
  <w:footnote w:id="23">
    <w:p w14:paraId="3B48308D" w14:textId="77777777" w:rsidR="001B2E26" w:rsidRPr="00D72782" w:rsidRDefault="001B2E26" w:rsidP="005A0ECC">
      <w:pPr>
        <w:pStyle w:val="Textonotapie"/>
        <w:jc w:val="both"/>
        <w:rPr>
          <w:rFonts w:ascii="Arial" w:hAnsi="Arial" w:cs="Arial"/>
          <w:lang w:val="es-MX"/>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 xml:space="preserve">Al respecto, es fundamental reconocer que el </w:t>
      </w:r>
      <w:r>
        <w:rPr>
          <w:rFonts w:ascii="Arial" w:hAnsi="Arial" w:cs="Arial"/>
        </w:rPr>
        <w:t>P</w:t>
      </w:r>
      <w:r w:rsidRPr="002D08D2">
        <w:rPr>
          <w:rFonts w:ascii="Arial" w:hAnsi="Arial" w:cs="Arial"/>
        </w:rPr>
        <w:t xml:space="preserve">oder </w:t>
      </w:r>
      <w:r>
        <w:rPr>
          <w:rFonts w:ascii="Arial" w:hAnsi="Arial" w:cs="Arial"/>
        </w:rPr>
        <w:t>L</w:t>
      </w:r>
      <w:r w:rsidRPr="002D08D2">
        <w:rPr>
          <w:rFonts w:ascii="Arial" w:hAnsi="Arial" w:cs="Arial"/>
        </w:rPr>
        <w:t xml:space="preserve">egislativo tiene la facultad de decidir a qué grupos sociales o minoritarios (ya sea culturalmente distinto o un grupo en desventaja) dirige ciertos derechos. </w:t>
      </w:r>
      <w:r w:rsidRPr="002D08D2">
        <w:rPr>
          <w:rFonts w:ascii="Arial" w:hAnsi="Arial" w:cs="Arial"/>
          <w:lang w:val="en-US"/>
        </w:rPr>
        <w:t>Ver Fiss, Owen. 1976. “Group</w:t>
      </w:r>
      <w:r w:rsidRPr="00A70A63">
        <w:rPr>
          <w:rFonts w:ascii="Arial" w:hAnsi="Arial" w:cs="Arial"/>
          <w:lang w:val="en-US"/>
        </w:rPr>
        <w:t xml:space="preserve">s and the Equal Protection Clause” en </w:t>
      </w:r>
      <w:r w:rsidRPr="00A70A63">
        <w:rPr>
          <w:rFonts w:ascii="Arial" w:hAnsi="Arial" w:cs="Arial"/>
          <w:i/>
          <w:lang w:val="en-US"/>
        </w:rPr>
        <w:t>Philosophy and Public Affairs</w:t>
      </w:r>
      <w:r w:rsidRPr="00A70A63">
        <w:rPr>
          <w:rFonts w:ascii="Arial" w:hAnsi="Arial" w:cs="Arial"/>
          <w:lang w:val="en-US"/>
        </w:rPr>
        <w:t>, vol. 5, num. 2, p</w:t>
      </w:r>
      <w:r>
        <w:rPr>
          <w:rFonts w:ascii="Arial" w:hAnsi="Arial" w:cs="Arial"/>
          <w:lang w:val="en-US"/>
        </w:rPr>
        <w:t>ágs</w:t>
      </w:r>
      <w:r w:rsidRPr="00A70A63">
        <w:rPr>
          <w:rFonts w:ascii="Arial" w:hAnsi="Arial" w:cs="Arial"/>
          <w:lang w:val="en-US"/>
        </w:rPr>
        <w:t xml:space="preserve">. </w:t>
      </w:r>
      <w:r w:rsidRPr="00D72782">
        <w:rPr>
          <w:rFonts w:ascii="Arial" w:hAnsi="Arial" w:cs="Arial"/>
          <w:lang w:val="es-MX"/>
        </w:rPr>
        <w:t xml:space="preserve">107-177.  </w:t>
      </w:r>
    </w:p>
  </w:footnote>
  <w:footnote w:id="24">
    <w:p w14:paraId="5B7B654A" w14:textId="77777777" w:rsidR="001B2E26" w:rsidRPr="0058188E" w:rsidRDefault="001B2E26" w:rsidP="00F828EB">
      <w:pPr>
        <w:pStyle w:val="Textonotapie"/>
        <w:jc w:val="both"/>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Ver,</w:t>
      </w:r>
      <w:r>
        <w:rPr>
          <w:rFonts w:ascii="Arial" w:hAnsi="Arial" w:cs="Arial"/>
        </w:rPr>
        <w:t xml:space="preserve"> de</w:t>
      </w:r>
      <w:r w:rsidRPr="002D08D2">
        <w:rPr>
          <w:rFonts w:ascii="Arial" w:hAnsi="Arial" w:cs="Arial"/>
        </w:rPr>
        <w:t xml:space="preserve"> entre otros, SUP-REC-1317/2018; SUP-REC-1386/2018 y SUP-REC-1933/2018.</w:t>
      </w:r>
    </w:p>
  </w:footnote>
  <w:footnote w:id="25">
    <w:p w14:paraId="27E9C072" w14:textId="77777777" w:rsidR="001B2E26" w:rsidRPr="0058188E" w:rsidRDefault="001B2E26" w:rsidP="00973B9C">
      <w:pPr>
        <w:pStyle w:val="Textonotapie"/>
        <w:jc w:val="both"/>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 xml:space="preserve">Josep Aguiló. 1999. </w:t>
      </w:r>
      <w:r w:rsidRPr="002D08D2">
        <w:rPr>
          <w:rFonts w:ascii="Arial" w:hAnsi="Arial" w:cs="Arial"/>
          <w:i/>
          <w:iCs/>
        </w:rPr>
        <w:t>Sobre la derogación. Ensayo de dinámica jurídica</w:t>
      </w:r>
      <w:r w:rsidRPr="0025003F">
        <w:rPr>
          <w:rFonts w:ascii="Arial" w:hAnsi="Arial" w:cs="Arial"/>
        </w:rPr>
        <w:t xml:space="preserve">, México: Fontamara, 1999, </w:t>
      </w:r>
      <w:r>
        <w:rPr>
          <w:rFonts w:ascii="Arial" w:hAnsi="Arial" w:cs="Arial"/>
        </w:rPr>
        <w:t>pág</w:t>
      </w:r>
      <w:r w:rsidRPr="0025003F">
        <w:rPr>
          <w:rFonts w:ascii="Arial" w:hAnsi="Arial" w:cs="Arial"/>
        </w:rPr>
        <w:t xml:space="preserve">. 91. </w:t>
      </w:r>
    </w:p>
  </w:footnote>
  <w:footnote w:id="26">
    <w:p w14:paraId="4D8892DB" w14:textId="77777777" w:rsidR="001B2E26" w:rsidRPr="0058188E" w:rsidRDefault="001B2E26" w:rsidP="00780248">
      <w:pPr>
        <w:pStyle w:val="Textonotapie"/>
        <w:jc w:val="both"/>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 xml:space="preserve">Kelsen, Hans. </w:t>
      </w:r>
      <w:r w:rsidRPr="002D08D2">
        <w:rPr>
          <w:rFonts w:ascii="Arial" w:hAnsi="Arial" w:cs="Arial"/>
          <w:i/>
          <w:iCs/>
        </w:rPr>
        <w:t>Teoría pura del derecho</w:t>
      </w:r>
      <w:r w:rsidRPr="002D08D2">
        <w:rPr>
          <w:rFonts w:ascii="Arial" w:hAnsi="Arial" w:cs="Arial"/>
        </w:rPr>
        <w:t>, tr</w:t>
      </w:r>
      <w:r>
        <w:rPr>
          <w:rFonts w:ascii="Arial" w:hAnsi="Arial" w:cs="Arial"/>
        </w:rPr>
        <w:t>ad</w:t>
      </w:r>
      <w:r w:rsidRPr="002D08D2">
        <w:rPr>
          <w:rFonts w:ascii="Arial" w:hAnsi="Arial" w:cs="Arial"/>
        </w:rPr>
        <w:t xml:space="preserve">. de Fernanda </w:t>
      </w:r>
      <w:r w:rsidRPr="0025003F">
        <w:rPr>
          <w:rFonts w:ascii="Arial" w:hAnsi="Arial" w:cs="Arial"/>
        </w:rPr>
        <w:t>Aren, Natali</w:t>
      </w:r>
      <w:r w:rsidRPr="00265004">
        <w:rPr>
          <w:rFonts w:ascii="Arial" w:hAnsi="Arial" w:cs="Arial"/>
        </w:rPr>
        <w:t xml:space="preserve">a Dassieu y Silvina Rotemberg, Colihue Universidad, Buenos Aires, 2011, §35. </w:t>
      </w:r>
    </w:p>
  </w:footnote>
  <w:footnote w:id="27">
    <w:p w14:paraId="0B76B34E" w14:textId="77777777" w:rsidR="001B2E26" w:rsidRPr="00265004" w:rsidRDefault="001B2E26" w:rsidP="00654D74">
      <w:pPr>
        <w:pStyle w:val="Textonotapie"/>
        <w:jc w:val="both"/>
        <w:rPr>
          <w:rFonts w:ascii="Arial" w:hAnsi="Arial" w:cs="Arial"/>
        </w:rPr>
      </w:pPr>
      <w:r w:rsidRPr="002D08D2">
        <w:rPr>
          <w:rStyle w:val="Refdenotaalpie"/>
          <w:rFonts w:ascii="Arial" w:hAnsi="Arial" w:cs="Arial"/>
        </w:rPr>
        <w:footnoteRef/>
      </w:r>
      <w:r w:rsidRPr="002D08D2">
        <w:rPr>
          <w:rFonts w:ascii="Arial" w:hAnsi="Arial" w:cs="Arial"/>
        </w:rPr>
        <w:t xml:space="preserve"> Puede significar el </w:t>
      </w:r>
      <w:r w:rsidRPr="002D08D2">
        <w:rPr>
          <w:rFonts w:ascii="Arial" w:hAnsi="Arial" w:cs="Arial"/>
          <w:b/>
          <w:bCs/>
        </w:rPr>
        <w:t>acto</w:t>
      </w:r>
      <w:r w:rsidRPr="002D08D2">
        <w:rPr>
          <w:rFonts w:ascii="Arial" w:hAnsi="Arial" w:cs="Arial"/>
        </w:rPr>
        <w:t xml:space="preserve"> mediante el cual la autoridad a la cual</w:t>
      </w:r>
      <w:r w:rsidRPr="0025003F">
        <w:rPr>
          <w:rFonts w:ascii="Arial" w:hAnsi="Arial" w:cs="Arial"/>
        </w:rPr>
        <w:t xml:space="preserve"> le ha sido conferida la potestad normativa deja sin efectos ciertas normas, pero también referirse a los </w:t>
      </w:r>
      <w:r w:rsidRPr="00265004">
        <w:rPr>
          <w:rFonts w:ascii="Arial" w:hAnsi="Arial" w:cs="Arial"/>
          <w:b/>
          <w:bCs/>
        </w:rPr>
        <w:t>efectos</w:t>
      </w:r>
      <w:r w:rsidRPr="00265004">
        <w:rPr>
          <w:rFonts w:ascii="Arial" w:hAnsi="Arial" w:cs="Arial"/>
        </w:rPr>
        <w:t xml:space="preserve"> que se producen como resultado de la realización de dichos actos.</w:t>
      </w:r>
    </w:p>
  </w:footnote>
  <w:footnote w:id="28">
    <w:p w14:paraId="63C95F59" w14:textId="77777777" w:rsidR="001B2E26" w:rsidRPr="0058188E" w:rsidRDefault="001B2E26" w:rsidP="007A1CDF">
      <w:pPr>
        <w:pStyle w:val="Textonotapie"/>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 xml:space="preserve">Aguiló, </w:t>
      </w:r>
      <w:r w:rsidRPr="002D08D2">
        <w:rPr>
          <w:rFonts w:ascii="Arial" w:hAnsi="Arial" w:cs="Arial"/>
          <w:i/>
          <w:iCs/>
        </w:rPr>
        <w:t>Ibid,</w:t>
      </w:r>
      <w:r w:rsidRPr="002D08D2">
        <w:rPr>
          <w:rFonts w:ascii="Arial" w:hAnsi="Arial" w:cs="Arial"/>
        </w:rPr>
        <w:t xml:space="preserve"> p</w:t>
      </w:r>
      <w:r>
        <w:rPr>
          <w:rFonts w:ascii="Arial" w:hAnsi="Arial" w:cs="Arial"/>
        </w:rPr>
        <w:t>ág</w:t>
      </w:r>
      <w:r w:rsidRPr="002D08D2">
        <w:rPr>
          <w:rFonts w:ascii="Arial" w:hAnsi="Arial" w:cs="Arial"/>
        </w:rPr>
        <w:t xml:space="preserve">. 92. </w:t>
      </w:r>
    </w:p>
  </w:footnote>
  <w:footnote w:id="29">
    <w:p w14:paraId="3F5BB306" w14:textId="77777777" w:rsidR="001B2E26" w:rsidRPr="0058188E" w:rsidRDefault="001B2E26" w:rsidP="007A1CDF">
      <w:pPr>
        <w:pStyle w:val="Textonotapie"/>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Cláusulas de la forma: “Se derogan los artículos x e y de la ley A”.</w:t>
      </w:r>
    </w:p>
  </w:footnote>
  <w:footnote w:id="30">
    <w:p w14:paraId="3BEFB0EA" w14:textId="77777777" w:rsidR="001B2E26" w:rsidRPr="0058188E" w:rsidRDefault="001B2E26" w:rsidP="007A1CDF">
      <w:pPr>
        <w:pStyle w:val="Textonotapie"/>
        <w:jc w:val="both"/>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 xml:space="preserve">Estas cláusulas no especifican las normas que pretenden derogar, sino que utilizan una forma como la siguiente: “Se derogan todas las disposiciones que se opongan a la presente ley”. </w:t>
      </w:r>
    </w:p>
  </w:footnote>
  <w:footnote w:id="31">
    <w:p w14:paraId="7562E2A3" w14:textId="77777777" w:rsidR="001B2E26" w:rsidRPr="0058188E" w:rsidRDefault="001B2E26" w:rsidP="007A1CDF">
      <w:pPr>
        <w:pStyle w:val="Textonotapie"/>
        <w:jc w:val="both"/>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En la filosofía del Derecho se ha discutido si las denominadas “normas derogatorias” son, en estricto sentido normas.</w:t>
      </w:r>
      <w:r w:rsidRPr="0025003F">
        <w:rPr>
          <w:rFonts w:ascii="Arial" w:hAnsi="Arial" w:cs="Arial"/>
        </w:rPr>
        <w:t xml:space="preserve"> Según Kelsen, las normas derogatorias son “</w:t>
      </w:r>
      <w:r w:rsidRPr="00265004">
        <w:rPr>
          <w:rFonts w:ascii="Arial" w:hAnsi="Arial" w:cs="Arial"/>
        </w:rPr>
        <w:t>normas no independientes que s</w:t>
      </w:r>
      <w:r>
        <w:rPr>
          <w:rFonts w:ascii="Arial" w:hAnsi="Arial" w:cs="Arial"/>
        </w:rPr>
        <w:t>o</w:t>
      </w:r>
      <w:r w:rsidRPr="00265004">
        <w:rPr>
          <w:rFonts w:ascii="Arial" w:hAnsi="Arial" w:cs="Arial"/>
        </w:rPr>
        <w:t>lo pueden ser entendidas conjuntamente con otras que establecen actos coactivos”, y tienen una existencia fugaz, en la medida en que, si la norma derogatoria ha cumplido su función, entonces “perderá su validez”. En cambio, pa</w:t>
      </w:r>
      <w:r w:rsidRPr="00650434">
        <w:rPr>
          <w:rFonts w:ascii="Arial" w:hAnsi="Arial" w:cs="Arial"/>
        </w:rPr>
        <w:t xml:space="preserve">ra Alchourrón y Bulygin no hay tal cosa como “normas derogatorias”. Carlos Alchourrón y Eugenio Bulygin, </w:t>
      </w:r>
      <w:bookmarkStart w:id="23" w:name="_Hlk46438028"/>
      <w:r w:rsidRPr="00650434">
        <w:rPr>
          <w:rFonts w:ascii="Arial" w:hAnsi="Arial" w:cs="Arial"/>
          <w:i/>
          <w:iCs/>
        </w:rPr>
        <w:t>Sobre la existencia de las normas jurídicas</w:t>
      </w:r>
      <w:r w:rsidRPr="002D08D2">
        <w:rPr>
          <w:rFonts w:ascii="Arial" w:hAnsi="Arial" w:cs="Arial"/>
        </w:rPr>
        <w:t>,</w:t>
      </w:r>
      <w:bookmarkEnd w:id="23"/>
      <w:r w:rsidRPr="002D08D2">
        <w:rPr>
          <w:rFonts w:ascii="Arial" w:hAnsi="Arial" w:cs="Arial"/>
        </w:rPr>
        <w:t xml:space="preserve"> México: Fontamara, 1997, p</w:t>
      </w:r>
      <w:r>
        <w:rPr>
          <w:rFonts w:ascii="Arial" w:hAnsi="Arial" w:cs="Arial"/>
        </w:rPr>
        <w:t>ág</w:t>
      </w:r>
      <w:r w:rsidRPr="00265004">
        <w:rPr>
          <w:rFonts w:ascii="Arial" w:hAnsi="Arial" w:cs="Arial"/>
        </w:rPr>
        <w:t>. 79. Por esa razón, autores, como Josep Aguiló, consideran que las cláusulas de</w:t>
      </w:r>
      <w:r w:rsidRPr="00650434">
        <w:rPr>
          <w:rFonts w:ascii="Arial" w:hAnsi="Arial" w:cs="Arial"/>
        </w:rPr>
        <w:t xml:space="preserve">rogatorias deben interpretarse como actos, más bien que como normas. Con todo, la discusión anterior no excluye la posibilidad de que los actos derogatorios estén sujetos a criterios de validez y, por lo tanto, puedan ser controlables jurisdiccionalmente. </w:t>
      </w:r>
    </w:p>
  </w:footnote>
  <w:footnote w:id="32">
    <w:p w14:paraId="6D9D7B0D" w14:textId="77777777" w:rsidR="001B2E26" w:rsidRPr="0058188E" w:rsidRDefault="001B2E26" w:rsidP="000567B5">
      <w:pPr>
        <w:pStyle w:val="Textonotapie"/>
        <w:jc w:val="both"/>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 xml:space="preserve">Alchourrón y Bulygin. 2011. </w:t>
      </w:r>
      <w:r w:rsidRPr="002D08D2">
        <w:rPr>
          <w:rFonts w:ascii="Arial" w:hAnsi="Arial" w:cs="Arial"/>
          <w:i/>
          <w:iCs/>
        </w:rPr>
        <w:t>Sobre la existencia de las normas jurídicas</w:t>
      </w:r>
      <w:r w:rsidRPr="002D08D2">
        <w:rPr>
          <w:rFonts w:ascii="Arial" w:hAnsi="Arial" w:cs="Arial"/>
        </w:rPr>
        <w:t>, Editorial Fontamara, México, p</w:t>
      </w:r>
      <w:r>
        <w:rPr>
          <w:rFonts w:ascii="Arial" w:hAnsi="Arial" w:cs="Arial"/>
        </w:rPr>
        <w:t>ág</w:t>
      </w:r>
      <w:r w:rsidRPr="002D08D2">
        <w:rPr>
          <w:rFonts w:ascii="Arial" w:hAnsi="Arial" w:cs="Arial"/>
        </w:rPr>
        <w:t>. 79.</w:t>
      </w:r>
    </w:p>
  </w:footnote>
  <w:footnote w:id="33">
    <w:p w14:paraId="4D869B08" w14:textId="77777777" w:rsidR="001B2E26" w:rsidRPr="0058188E" w:rsidRDefault="001B2E26" w:rsidP="003B2E1C">
      <w:pPr>
        <w:pStyle w:val="Textonotapie"/>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i/>
        </w:rPr>
        <w:t>Ibid</w:t>
      </w:r>
      <w:r w:rsidRPr="002D08D2">
        <w:rPr>
          <w:rFonts w:ascii="Arial" w:hAnsi="Arial" w:cs="Arial"/>
        </w:rPr>
        <w:t>., p</w:t>
      </w:r>
      <w:r>
        <w:rPr>
          <w:rFonts w:ascii="Arial" w:hAnsi="Arial" w:cs="Arial"/>
        </w:rPr>
        <w:t>ág</w:t>
      </w:r>
      <w:r w:rsidRPr="002D08D2">
        <w:rPr>
          <w:rFonts w:ascii="Arial" w:hAnsi="Arial" w:cs="Arial"/>
        </w:rPr>
        <w:t>. 80.</w:t>
      </w:r>
    </w:p>
  </w:footnote>
  <w:footnote w:id="34">
    <w:p w14:paraId="3FF65EBE" w14:textId="77777777" w:rsidR="001B2E26" w:rsidRPr="00314692" w:rsidRDefault="001B2E26" w:rsidP="007A1CDF">
      <w:pPr>
        <w:jc w:val="both"/>
        <w:rPr>
          <w:rFonts w:ascii="Arial" w:hAnsi="Arial" w:cs="Arial"/>
          <w:sz w:val="20"/>
          <w:szCs w:val="20"/>
        </w:rPr>
      </w:pPr>
      <w:r w:rsidRPr="0058188E">
        <w:rPr>
          <w:rStyle w:val="Refdenotaalpie"/>
          <w:rFonts w:ascii="Arial" w:hAnsi="Arial" w:cs="Arial"/>
          <w:sz w:val="20"/>
          <w:szCs w:val="20"/>
        </w:rPr>
        <w:footnoteRef/>
      </w:r>
      <w:r w:rsidRPr="0058188E">
        <w:rPr>
          <w:rFonts w:ascii="Arial" w:hAnsi="Arial" w:cs="Arial"/>
          <w:sz w:val="20"/>
          <w:szCs w:val="20"/>
        </w:rPr>
        <w:t xml:space="preserve"> </w:t>
      </w:r>
      <w:r w:rsidRPr="002D08D2">
        <w:rPr>
          <w:rFonts w:ascii="Arial" w:hAnsi="Arial" w:cs="Arial"/>
          <w:sz w:val="20"/>
          <w:szCs w:val="20"/>
        </w:rPr>
        <w:t>El artículo 72, inciso F, de la Constitución Federal indica claramente que la derogación está sujeta</w:t>
      </w:r>
      <w:r w:rsidRPr="00A70A63">
        <w:rPr>
          <w:rFonts w:ascii="Arial" w:hAnsi="Arial" w:cs="Arial"/>
          <w:sz w:val="20"/>
          <w:szCs w:val="20"/>
        </w:rPr>
        <w:t xml:space="preserve"> a determinada</w:t>
      </w:r>
      <w:r w:rsidRPr="008C0D8D">
        <w:rPr>
          <w:rFonts w:ascii="Arial" w:hAnsi="Arial" w:cs="Arial"/>
          <w:sz w:val="20"/>
          <w:szCs w:val="20"/>
        </w:rPr>
        <w:t>s condiciones de validez</w:t>
      </w:r>
      <w:r w:rsidRPr="0025003F">
        <w:rPr>
          <w:rFonts w:ascii="Arial" w:hAnsi="Arial" w:cs="Arial"/>
          <w:sz w:val="20"/>
          <w:szCs w:val="20"/>
        </w:rPr>
        <w:t xml:space="preserve"> para su regularidad constitucional, al disponer que: </w:t>
      </w:r>
      <w:r w:rsidRPr="00265004">
        <w:rPr>
          <w:rFonts w:ascii="Arial" w:hAnsi="Arial" w:cs="Arial"/>
          <w:color w:val="000000"/>
          <w:sz w:val="20"/>
          <w:szCs w:val="20"/>
        </w:rPr>
        <w:t xml:space="preserve">“En la interpretación, reforma o </w:t>
      </w:r>
      <w:r w:rsidRPr="00314692">
        <w:rPr>
          <w:rFonts w:ascii="Arial" w:hAnsi="Arial" w:cs="Arial"/>
          <w:color w:val="000000"/>
          <w:sz w:val="20"/>
          <w:szCs w:val="20"/>
          <w:u w:val="single"/>
        </w:rPr>
        <w:t>derogación</w:t>
      </w:r>
      <w:r w:rsidRPr="00314692">
        <w:rPr>
          <w:rFonts w:ascii="Arial" w:hAnsi="Arial" w:cs="Arial"/>
          <w:color w:val="000000"/>
          <w:sz w:val="20"/>
          <w:szCs w:val="20"/>
        </w:rPr>
        <w:t xml:space="preserve"> de las leyes o decretos, se observarán los mismos trámites establecidos para su formación”. [Énfasis añadido]</w:t>
      </w:r>
      <w:r>
        <w:rPr>
          <w:rFonts w:ascii="Arial" w:hAnsi="Arial" w:cs="Arial"/>
          <w:color w:val="000000"/>
          <w:sz w:val="20"/>
          <w:szCs w:val="20"/>
        </w:rPr>
        <w:t>.</w:t>
      </w:r>
    </w:p>
  </w:footnote>
  <w:footnote w:id="35">
    <w:p w14:paraId="699D7AE2" w14:textId="77777777" w:rsidR="001B2E26" w:rsidRPr="002D08D2" w:rsidRDefault="001B2E26" w:rsidP="007A1CDF">
      <w:pPr>
        <w:pStyle w:val="Textonotapie"/>
        <w:rPr>
          <w:rFonts w:ascii="Arial" w:hAnsi="Arial" w:cs="Arial"/>
        </w:rPr>
      </w:pPr>
      <w:r w:rsidRPr="0058188E">
        <w:rPr>
          <w:rStyle w:val="Refdenotaalpie"/>
          <w:rFonts w:ascii="Arial" w:hAnsi="Arial" w:cs="Arial"/>
        </w:rPr>
        <w:footnoteRef/>
      </w:r>
      <w:r w:rsidRPr="0058188E">
        <w:rPr>
          <w:rFonts w:ascii="Arial" w:hAnsi="Arial" w:cs="Arial"/>
        </w:rPr>
        <w:t xml:space="preserve"> </w:t>
      </w:r>
      <w:r w:rsidRPr="002D08D2">
        <w:rPr>
          <w:rFonts w:ascii="Arial" w:hAnsi="Arial" w:cs="Arial"/>
        </w:rPr>
        <w:t>Acción de inconstitucionalidad 1/2011.</w:t>
      </w:r>
    </w:p>
  </w:footnote>
  <w:footnote w:id="36">
    <w:p w14:paraId="59802477" w14:textId="77777777" w:rsidR="001B2E26" w:rsidRPr="00314692" w:rsidRDefault="001B2E26" w:rsidP="007A1CDF">
      <w:pPr>
        <w:jc w:val="both"/>
        <w:rPr>
          <w:rFonts w:ascii="Arial" w:hAnsi="Arial" w:cs="Arial"/>
          <w:sz w:val="20"/>
          <w:szCs w:val="20"/>
        </w:rPr>
      </w:pPr>
      <w:r w:rsidRPr="0058188E">
        <w:rPr>
          <w:rStyle w:val="Refdenotaalpie"/>
          <w:rFonts w:ascii="Arial" w:hAnsi="Arial" w:cs="Arial"/>
          <w:sz w:val="20"/>
          <w:szCs w:val="20"/>
        </w:rPr>
        <w:footnoteRef/>
      </w:r>
      <w:r w:rsidRPr="0058188E">
        <w:rPr>
          <w:rFonts w:ascii="Arial" w:hAnsi="Arial" w:cs="Arial"/>
          <w:sz w:val="20"/>
          <w:szCs w:val="20"/>
        </w:rPr>
        <w:t xml:space="preserve"> </w:t>
      </w:r>
      <w:r w:rsidRPr="002D08D2">
        <w:rPr>
          <w:rFonts w:ascii="Arial" w:hAnsi="Arial" w:cs="Arial"/>
          <w:sz w:val="20"/>
          <w:szCs w:val="20"/>
        </w:rPr>
        <w:t>De la cual se originó la</w:t>
      </w:r>
      <w:r w:rsidRPr="0058188E">
        <w:rPr>
          <w:rFonts w:ascii="Arial" w:hAnsi="Arial" w:cs="Arial"/>
          <w:sz w:val="20"/>
          <w:szCs w:val="20"/>
        </w:rPr>
        <w:t xml:space="preserve"> t</w:t>
      </w:r>
      <w:r w:rsidRPr="002D08D2">
        <w:rPr>
          <w:rFonts w:ascii="Arial" w:hAnsi="Arial" w:cs="Arial"/>
          <w:sz w:val="20"/>
          <w:szCs w:val="20"/>
        </w:rPr>
        <w:t xml:space="preserve">esis jurisprudencial plenaria: P./J. 29/2014 (10a.), de rubro y texto siguientes: </w:t>
      </w:r>
      <w:r w:rsidRPr="0058188E">
        <w:rPr>
          <w:rFonts w:ascii="Arial" w:hAnsi="Arial" w:cs="Arial"/>
          <w:b/>
          <w:bCs/>
          <w:smallCaps/>
          <w:sz w:val="20"/>
          <w:szCs w:val="20"/>
        </w:rPr>
        <w:t xml:space="preserve">deliberación parlamentaria. el procedimiento legislativo que dio origen al decreto número 24158/lix/12, por el que se deroga la fracción xi del artículo 9o. de la ley del notariado del estado de </w:t>
      </w:r>
      <w:r w:rsidRPr="00650434">
        <w:rPr>
          <w:rFonts w:ascii="Arial" w:hAnsi="Arial" w:cs="Arial"/>
          <w:b/>
          <w:bCs/>
          <w:smallCaps/>
          <w:sz w:val="20"/>
          <w:szCs w:val="20"/>
        </w:rPr>
        <w:t>Jalisco</w:t>
      </w:r>
      <w:r w:rsidRPr="0058188E">
        <w:rPr>
          <w:rFonts w:ascii="Arial" w:hAnsi="Arial" w:cs="Arial"/>
          <w:b/>
          <w:bCs/>
          <w:smallCaps/>
          <w:sz w:val="20"/>
          <w:szCs w:val="20"/>
        </w:rPr>
        <w:t xml:space="preserve"> publicado en el periódico oficial de la entidad el 13 de noviembre de 2012, transgrede dicho principio</w:t>
      </w:r>
      <w:r w:rsidRPr="00314692">
        <w:rPr>
          <w:rFonts w:ascii="Arial" w:hAnsi="Arial" w:cs="Arial"/>
          <w:sz w:val="20"/>
          <w:szCs w:val="20"/>
        </w:rPr>
        <w:t>. Aun cuando del diario de debates de la sesión ordinaria celebrada el 25 de octubre de 2012</w:t>
      </w:r>
      <w:r w:rsidRPr="00650434">
        <w:rPr>
          <w:rFonts w:ascii="Arial" w:hAnsi="Arial" w:cs="Arial"/>
          <w:sz w:val="20"/>
          <w:szCs w:val="20"/>
        </w:rPr>
        <w:t xml:space="preserve">, se desprende que el referido decreto fue aprobado por los integrantes de la LIX Legislatura del Estado de Jalisco, </w:t>
      </w:r>
      <w:r w:rsidRPr="002D08D2">
        <w:rPr>
          <w:rFonts w:ascii="Arial" w:hAnsi="Arial" w:cs="Arial"/>
          <w:sz w:val="20"/>
          <w:szCs w:val="20"/>
          <w:u w:val="single"/>
        </w:rPr>
        <w:t>lo cierto es que, del análisis del procedimiento legislativo que le dio origen, se observan irregularidades que transgreden el principio de deliberación parlamentaria</w:t>
      </w:r>
      <w:r w:rsidRPr="002D08D2">
        <w:rPr>
          <w:rFonts w:ascii="Arial" w:hAnsi="Arial" w:cs="Arial"/>
          <w:sz w:val="20"/>
          <w:szCs w:val="20"/>
        </w:rPr>
        <w:t>. Ello es así, debido a que la actuación de la Comisión de Puntos Constitucionales, Estudios Legislativos y Reglamentos no se ajustó a los artículos 213 de la Ley Orgánica del Poder Legislativo del Estado de Jalisco y 26 de su Reglamento, pues lejos de limitarse a atender las observaciones formuladas por el Ejecutivo Estatal a la minuta del decreto número 24118/LIX/12, en el dictamen que al efecto elaboró, incorporó la derogación de la fracción XI del artículo 9o. de la Ley del Notariado del Estado de Jalisco, sin exponer los razonamientos que justificaran su proceder, de acuerdo con lo establecido en los numerales 3 y 4 del artículo 159 de la citada ley orgánica. Además, de las constancias de autos, no se advierte fehacientemente que los integrantes de la LIX Legislatura del Estado de Jalisco, previo a la sesión ordinaria correspondiente, hubieran recibido copia del dictamen del decreto número 24158/LIX/12, lo que permite afirmar que no tenían elementos suficientes para deliberar al respecto. [Énfasis añadido]</w:t>
      </w:r>
      <w:r>
        <w:rPr>
          <w:rFonts w:ascii="Arial" w:hAnsi="Arial" w:cs="Arial"/>
          <w:sz w:val="20"/>
          <w:szCs w:val="20"/>
        </w:rPr>
        <w:t>.</w:t>
      </w:r>
    </w:p>
    <w:p w14:paraId="2403C671" w14:textId="77777777" w:rsidR="001B2E26" w:rsidRPr="006B1674" w:rsidRDefault="001B2E26" w:rsidP="007A1CDF">
      <w:pPr>
        <w:jc w:val="both"/>
        <w:rPr>
          <w:rFonts w:ascii="Arial" w:hAnsi="Arial" w:cs="Arial"/>
          <w:sz w:val="20"/>
          <w:szCs w:val="20"/>
        </w:rPr>
      </w:pPr>
      <w:r w:rsidRPr="006B1674">
        <w:rPr>
          <w:rFonts w:ascii="Arial" w:hAnsi="Arial" w:cs="Arial"/>
          <w:sz w:val="20"/>
          <w:szCs w:val="20"/>
        </w:rPr>
        <w:t xml:space="preserve"> </w:t>
      </w:r>
    </w:p>
    <w:p w14:paraId="3FE0B564" w14:textId="77777777" w:rsidR="001B2E26" w:rsidRPr="0058188E" w:rsidRDefault="001B2E26" w:rsidP="007A1CDF">
      <w:pPr>
        <w:pStyle w:val="Textonotapie"/>
        <w:rPr>
          <w:rFonts w:ascii="Arial" w:hAnsi="Arial" w:cs="Arial"/>
        </w:rPr>
      </w:pPr>
    </w:p>
  </w:footnote>
  <w:footnote w:id="37">
    <w:p w14:paraId="2A9B9D17" w14:textId="77777777" w:rsidR="001B2E26" w:rsidRPr="00650434" w:rsidRDefault="001B2E26" w:rsidP="007A1CDF">
      <w:pPr>
        <w:jc w:val="both"/>
        <w:rPr>
          <w:rFonts w:ascii="Arial" w:hAnsi="Arial" w:cs="Arial"/>
          <w:snapToGrid w:val="0"/>
          <w:sz w:val="20"/>
          <w:szCs w:val="20"/>
          <w:lang w:val="es-ES_tradnl"/>
        </w:rPr>
      </w:pPr>
      <w:r w:rsidRPr="0058188E">
        <w:rPr>
          <w:rStyle w:val="Refdenotaalpie"/>
          <w:rFonts w:ascii="Arial" w:hAnsi="Arial" w:cs="Arial"/>
          <w:sz w:val="20"/>
          <w:szCs w:val="20"/>
        </w:rPr>
        <w:footnoteRef/>
      </w:r>
      <w:r w:rsidRPr="0058188E">
        <w:rPr>
          <w:rFonts w:ascii="Arial" w:hAnsi="Arial" w:cs="Arial"/>
          <w:sz w:val="20"/>
          <w:szCs w:val="20"/>
        </w:rPr>
        <w:t xml:space="preserve"> </w:t>
      </w:r>
      <w:r w:rsidRPr="002D08D2">
        <w:rPr>
          <w:rFonts w:ascii="Arial" w:hAnsi="Arial" w:cs="Arial"/>
          <w:sz w:val="20"/>
          <w:szCs w:val="20"/>
        </w:rPr>
        <w:t>La Segunda Sala determinó, en el amparo directo en revisión 2425/2015, lo siguiente: “</w:t>
      </w:r>
      <w:r w:rsidRPr="002D08D2">
        <w:rPr>
          <w:rFonts w:ascii="Arial" w:hAnsi="Arial" w:cs="Arial"/>
          <w:snapToGrid w:val="0"/>
          <w:sz w:val="20"/>
          <w:szCs w:val="20"/>
          <w:lang w:val="es-ES_tradnl"/>
        </w:rPr>
        <w:t>Es así, pues la violación al principio de progresividad, en su ámbito materialmente legislativo, evidentemente puede origin</w:t>
      </w:r>
      <w:r w:rsidRPr="00A70A63">
        <w:rPr>
          <w:rFonts w:ascii="Arial" w:hAnsi="Arial" w:cs="Arial"/>
          <w:snapToGrid w:val="0"/>
          <w:sz w:val="20"/>
          <w:szCs w:val="20"/>
          <w:lang w:val="es-ES_tradnl"/>
        </w:rPr>
        <w:t xml:space="preserve">arse no sólo por la emisión de normas regresivas, sino por la </w:t>
      </w:r>
      <w:r w:rsidRPr="008C0D8D">
        <w:rPr>
          <w:rFonts w:ascii="Arial" w:hAnsi="Arial" w:cs="Arial"/>
          <w:i/>
          <w:snapToGrid w:val="0"/>
          <w:sz w:val="20"/>
          <w:szCs w:val="20"/>
          <w:lang w:val="es-ES_tradnl"/>
        </w:rPr>
        <w:t>situación de regresividad que conlleva la supresión o modificación de preceptos legales</w:t>
      </w:r>
      <w:r w:rsidRPr="008C0D8D">
        <w:rPr>
          <w:rFonts w:ascii="Arial" w:hAnsi="Arial" w:cs="Arial"/>
          <w:snapToGrid w:val="0"/>
          <w:sz w:val="20"/>
          <w:szCs w:val="20"/>
          <w:lang w:val="es-ES_tradnl"/>
        </w:rPr>
        <w:t xml:space="preserve"> </w:t>
      </w:r>
      <w:r w:rsidRPr="008C0D8D">
        <w:rPr>
          <w:rFonts w:ascii="Arial" w:hAnsi="Arial" w:cs="Arial"/>
          <w:i/>
          <w:snapToGrid w:val="0"/>
          <w:sz w:val="20"/>
          <w:szCs w:val="20"/>
          <w:lang w:val="es-ES_tradnl"/>
        </w:rPr>
        <w:t xml:space="preserve">que se relacionan con prerrogativas inherentes al ser humano </w:t>
      </w:r>
      <w:r w:rsidRPr="0025003F">
        <w:rPr>
          <w:rFonts w:ascii="Arial" w:hAnsi="Arial" w:cs="Arial"/>
          <w:snapToGrid w:val="0"/>
          <w:sz w:val="20"/>
          <w:szCs w:val="20"/>
          <w:lang w:val="es-ES_tradnl"/>
        </w:rPr>
        <w:t>y que, desde luego, el Estado se encuentra obligado a pro</w:t>
      </w:r>
      <w:r w:rsidRPr="00650434">
        <w:rPr>
          <w:rFonts w:ascii="Arial" w:hAnsi="Arial" w:cs="Arial"/>
          <w:snapToGrid w:val="0"/>
          <w:sz w:val="20"/>
          <w:szCs w:val="20"/>
          <w:lang w:val="es-ES_tradnl"/>
        </w:rPr>
        <w:t>mover, respetar, proteger y garantizar.</w:t>
      </w:r>
    </w:p>
    <w:p w14:paraId="2EE63414" w14:textId="77777777" w:rsidR="001B2E26" w:rsidRPr="0058188E" w:rsidRDefault="001B2E26" w:rsidP="007A1CDF">
      <w:pPr>
        <w:jc w:val="both"/>
        <w:rPr>
          <w:rFonts w:ascii="Arial" w:hAnsi="Arial" w:cs="Arial"/>
          <w:snapToGrid w:val="0"/>
          <w:sz w:val="20"/>
          <w:szCs w:val="20"/>
          <w:lang w:val="es-ES_tradnl"/>
        </w:rPr>
      </w:pPr>
      <w:r w:rsidRPr="002D08D2">
        <w:rPr>
          <w:rFonts w:ascii="Arial" w:hAnsi="Arial" w:cs="Arial"/>
          <w:snapToGrid w:val="0"/>
          <w:sz w:val="20"/>
          <w:szCs w:val="20"/>
          <w:lang w:val="es-ES_tradnl"/>
        </w:rPr>
        <w:t xml:space="preserve">“En efecto, un acto materialmente legislativo que reforma o modifica un texto legal da derecho a impugnar, a través del juicio de amparo, </w:t>
      </w:r>
      <w:r w:rsidRPr="002D08D2">
        <w:rPr>
          <w:rFonts w:ascii="Arial" w:hAnsi="Arial" w:cs="Arial"/>
          <w:i/>
          <w:snapToGrid w:val="0"/>
          <w:sz w:val="20"/>
          <w:szCs w:val="20"/>
          <w:lang w:val="es-ES_tradnl"/>
        </w:rPr>
        <w:t>los preceptos que con el mismo acto se vean directamente afectados en cuanto a su sentido, alcance o aplicación, de tal modo que por su causa se varíe la situación que bajo ellos prevalecía</w:t>
      </w:r>
      <w:r w:rsidRPr="002D08D2">
        <w:rPr>
          <w:rFonts w:ascii="Arial" w:hAnsi="Arial" w:cs="Arial"/>
          <w:snapToGrid w:val="0"/>
          <w:sz w:val="20"/>
          <w:szCs w:val="20"/>
          <w:lang w:val="es-ES_tradnl"/>
        </w:rPr>
        <w:t xml:space="preserve">, pues es la existencia de tal cambio formal lo que permite reclamar ese nuevo acto legislativo </w:t>
      </w:r>
      <w:r w:rsidRPr="002D08D2">
        <w:rPr>
          <w:rFonts w:ascii="Arial" w:hAnsi="Arial" w:cs="Arial"/>
          <w:i/>
          <w:snapToGrid w:val="0"/>
          <w:sz w:val="20"/>
          <w:szCs w:val="20"/>
          <w:lang w:val="es-ES_tradnl"/>
        </w:rPr>
        <w:t>por repercutir, injustificadamente, en la gradualidad y progreso de los derechos humanos reconocidos en el orden jurídico mexicano</w:t>
      </w:r>
      <w:r w:rsidRPr="002D08D2">
        <w:rPr>
          <w:rFonts w:ascii="Arial" w:hAnsi="Arial" w:cs="Arial"/>
          <w:snapToGrid w:val="0"/>
          <w:sz w:val="20"/>
          <w:szCs w:val="20"/>
          <w:lang w:val="es-ES_tradnl"/>
        </w:rPr>
        <w:t xml:space="preserve">, lo cual se encuentra vedado por el texto del artículo 1 de la Constitución </w:t>
      </w:r>
      <w:r>
        <w:rPr>
          <w:rFonts w:ascii="Arial" w:hAnsi="Arial" w:cs="Arial"/>
          <w:snapToGrid w:val="0"/>
          <w:sz w:val="20"/>
          <w:szCs w:val="20"/>
          <w:lang w:val="es-ES_tradnl"/>
        </w:rPr>
        <w:t>g</w:t>
      </w:r>
      <w:r w:rsidRPr="002D08D2">
        <w:rPr>
          <w:rFonts w:ascii="Arial" w:hAnsi="Arial" w:cs="Arial"/>
          <w:snapToGrid w:val="0"/>
          <w:sz w:val="20"/>
          <w:szCs w:val="20"/>
          <w:lang w:val="es-ES_tradnl"/>
        </w:rPr>
        <w:t>eneral de la República.”</w:t>
      </w:r>
    </w:p>
  </w:footnote>
  <w:footnote w:id="38">
    <w:p w14:paraId="5068A9FF" w14:textId="77777777" w:rsidR="001B2E26" w:rsidRPr="0025003F" w:rsidRDefault="001B2E26" w:rsidP="003231B3">
      <w:pPr>
        <w:pStyle w:val="Textonotapie"/>
        <w:jc w:val="both"/>
        <w:rPr>
          <w:rFonts w:ascii="Arial" w:hAnsi="Arial" w:cs="Arial"/>
        </w:rPr>
      </w:pPr>
      <w:r w:rsidRPr="002D08D2">
        <w:rPr>
          <w:rStyle w:val="Refdenotaalpie"/>
          <w:rFonts w:ascii="Arial" w:hAnsi="Arial" w:cs="Arial"/>
        </w:rPr>
        <w:footnoteRef/>
      </w:r>
      <w:r w:rsidRPr="002D08D2">
        <w:rPr>
          <w:rFonts w:ascii="Arial" w:hAnsi="Arial" w:cs="Arial"/>
          <w:lang w:val="en-US"/>
        </w:rPr>
        <w:t xml:space="preserve"> Ferreres Comella, Victor. 2004. “The European model of constitutional review of legislation: Toward decentralization” en </w:t>
      </w:r>
      <w:r w:rsidRPr="008C0D8D">
        <w:rPr>
          <w:rFonts w:ascii="Arial" w:hAnsi="Arial" w:cs="Arial"/>
          <w:i/>
          <w:lang w:val="en-US"/>
        </w:rPr>
        <w:t>International Journal of Constitutional Law,</w:t>
      </w:r>
      <w:r w:rsidRPr="008C0D8D">
        <w:rPr>
          <w:rFonts w:ascii="Arial" w:hAnsi="Arial" w:cs="Arial"/>
          <w:lang w:val="en-US"/>
        </w:rPr>
        <w:t xml:space="preserve"> vol. 2, num. 3, p</w:t>
      </w:r>
      <w:r>
        <w:rPr>
          <w:rFonts w:ascii="Arial" w:hAnsi="Arial" w:cs="Arial"/>
          <w:lang w:val="en-US"/>
        </w:rPr>
        <w:t>á</w:t>
      </w:r>
      <w:r w:rsidRPr="008C0D8D">
        <w:rPr>
          <w:rFonts w:ascii="Arial" w:hAnsi="Arial" w:cs="Arial"/>
          <w:lang w:val="en-US"/>
        </w:rPr>
        <w:t xml:space="preserve">gs. </w:t>
      </w:r>
      <w:r w:rsidRPr="0025003F">
        <w:rPr>
          <w:rFonts w:ascii="Arial" w:hAnsi="Arial" w:cs="Arial"/>
        </w:rPr>
        <w:t xml:space="preserve">461-491. </w:t>
      </w:r>
    </w:p>
  </w:footnote>
  <w:footnote w:id="39">
    <w:p w14:paraId="5A4E8775" w14:textId="77777777" w:rsidR="001B2E26" w:rsidRPr="002D08D2" w:rsidRDefault="001B2E26" w:rsidP="003231B3">
      <w:pPr>
        <w:pStyle w:val="Textonotapie"/>
        <w:jc w:val="both"/>
        <w:rPr>
          <w:rFonts w:ascii="Arial" w:hAnsi="Arial" w:cs="Arial"/>
          <w:highlight w:val="yellow"/>
        </w:rPr>
      </w:pPr>
      <w:r w:rsidRPr="00650434">
        <w:rPr>
          <w:rStyle w:val="Refdenotaalpie"/>
          <w:rFonts w:ascii="Arial" w:hAnsi="Arial" w:cs="Arial"/>
        </w:rPr>
        <w:footnoteRef/>
      </w:r>
      <w:r w:rsidRPr="002D08D2">
        <w:rPr>
          <w:rFonts w:ascii="Arial" w:hAnsi="Arial" w:cs="Arial"/>
        </w:rPr>
        <w:t xml:space="preserve"> </w:t>
      </w:r>
      <w:r w:rsidRPr="002D08D2">
        <w:rPr>
          <w:rFonts w:ascii="Arial" w:hAnsi="Arial" w:cs="Arial"/>
          <w:lang w:val="es-MX"/>
        </w:rPr>
        <w:t xml:space="preserve">Huerta Ochoa, Carla. 2003. “La acción de inconstitucionalidad como control abstracto de conflictos normativos”, </w:t>
      </w:r>
      <w:r w:rsidRPr="002D08D2">
        <w:rPr>
          <w:rFonts w:ascii="Arial" w:hAnsi="Arial" w:cs="Arial"/>
          <w:i/>
          <w:iCs/>
          <w:lang w:val="es-MX"/>
        </w:rPr>
        <w:t xml:space="preserve">Boletín mexicano de derecho comaparado, </w:t>
      </w:r>
      <w:r w:rsidRPr="002D08D2">
        <w:rPr>
          <w:rFonts w:ascii="Arial" w:hAnsi="Arial" w:cs="Arial"/>
          <w:lang w:val="es-MX"/>
        </w:rPr>
        <w:t xml:space="preserve">vol. 36, no. 108, México, septiembre – diciembre. Disponible en: </w:t>
      </w:r>
      <w:hyperlink r:id="rId6">
        <w:r w:rsidRPr="002D08D2">
          <w:rPr>
            <w:rStyle w:val="Hipervnculo"/>
            <w:rFonts w:ascii="Arial" w:hAnsi="Arial" w:cs="Arial"/>
            <w:color w:val="0000FF"/>
            <w:lang w:val="es-MX"/>
          </w:rPr>
          <w:t>http://www.scielo.org.mx/scielo.php?script=sci_arttext&amp;pid=S0041-86332003000300006</w:t>
        </w:r>
      </w:hyperlink>
      <w:r w:rsidRPr="002D08D2">
        <w:rPr>
          <w:rFonts w:ascii="Arial" w:hAnsi="Arial" w:cs="Arial"/>
        </w:rPr>
        <w:t xml:space="preserve"> </w:t>
      </w:r>
    </w:p>
  </w:footnote>
  <w:footnote w:id="40">
    <w:p w14:paraId="11AF7BF5" w14:textId="77777777" w:rsidR="001B2E26" w:rsidRPr="00AD7266" w:rsidRDefault="001B2E26" w:rsidP="003231B3">
      <w:pPr>
        <w:pStyle w:val="Textonotapie"/>
        <w:jc w:val="both"/>
        <w:rPr>
          <w:rFonts w:ascii="Arial" w:hAnsi="Arial" w:cs="Arial"/>
        </w:rPr>
      </w:pPr>
      <w:r w:rsidRPr="002D08D2">
        <w:rPr>
          <w:rStyle w:val="Refdenotaalpie"/>
          <w:rFonts w:ascii="Arial" w:hAnsi="Arial" w:cs="Arial"/>
        </w:rPr>
        <w:footnoteRef/>
      </w:r>
      <w:r w:rsidRPr="002D08D2">
        <w:rPr>
          <w:rFonts w:ascii="Arial" w:hAnsi="Arial" w:cs="Arial"/>
        </w:rPr>
        <w:t xml:space="preserve"> </w:t>
      </w:r>
      <w:r w:rsidRPr="002D08D2">
        <w:rPr>
          <w:rFonts w:ascii="Arial" w:hAnsi="Arial" w:cs="Arial"/>
          <w:lang w:val="es-MX"/>
        </w:rPr>
        <w:t>Sánchez Gil, Rubén</w:t>
      </w:r>
      <w:r>
        <w:rPr>
          <w:rFonts w:ascii="Arial" w:hAnsi="Arial" w:cs="Arial"/>
          <w:lang w:val="es-MX"/>
        </w:rPr>
        <w:t xml:space="preserve"> </w:t>
      </w:r>
      <w:r w:rsidRPr="006B1674">
        <w:rPr>
          <w:rFonts w:ascii="Arial" w:hAnsi="Arial" w:cs="Arial"/>
          <w:lang w:val="es-MX"/>
        </w:rPr>
        <w:t xml:space="preserve">“La aplicabilidad de normas generales y su impugnación en amparo”, en Ferrer Mac-Gregor, Eduardo y González Oropeza, Manuel (coords.), </w:t>
      </w:r>
      <w:r w:rsidRPr="00650434">
        <w:rPr>
          <w:rFonts w:ascii="Arial" w:hAnsi="Arial" w:cs="Arial"/>
          <w:i/>
          <w:iCs/>
          <w:lang w:val="es-MX"/>
        </w:rPr>
        <w:t xml:space="preserve">El juicio de amparo. A 160 años de la primera sentencia, tomo II, </w:t>
      </w:r>
      <w:r w:rsidRPr="002D08D2">
        <w:rPr>
          <w:rFonts w:ascii="Arial" w:hAnsi="Arial" w:cs="Arial"/>
          <w:lang w:val="es-MX"/>
        </w:rPr>
        <w:t>México, IIJ-UNAM, p</w:t>
      </w:r>
      <w:r>
        <w:rPr>
          <w:rFonts w:ascii="Arial" w:hAnsi="Arial" w:cs="Arial"/>
          <w:lang w:val="es-MX"/>
        </w:rPr>
        <w:t>ág</w:t>
      </w:r>
      <w:r w:rsidRPr="006B1674">
        <w:rPr>
          <w:rFonts w:ascii="Arial" w:hAnsi="Arial" w:cs="Arial"/>
          <w:lang w:val="es-MX"/>
        </w:rPr>
        <w:t>. 369.</w:t>
      </w:r>
      <w:r w:rsidRPr="00AD7266">
        <w:rPr>
          <w:rFonts w:ascii="Arial" w:hAnsi="Arial" w:cs="Arial"/>
        </w:rPr>
        <w:t xml:space="preserve"> </w:t>
      </w:r>
    </w:p>
  </w:footnote>
  <w:footnote w:id="41">
    <w:p w14:paraId="1433216D" w14:textId="77777777" w:rsidR="001B2E26" w:rsidRPr="002D08D2" w:rsidRDefault="001B2E26" w:rsidP="00513F43">
      <w:pPr>
        <w:pStyle w:val="Textonotapie"/>
        <w:jc w:val="both"/>
        <w:rPr>
          <w:rFonts w:ascii="Arial" w:hAnsi="Arial" w:cs="Arial"/>
        </w:rPr>
      </w:pPr>
      <w:r w:rsidRPr="002D08D2">
        <w:rPr>
          <w:rStyle w:val="Refdenotaalpie"/>
          <w:rFonts w:ascii="Arial" w:hAnsi="Arial" w:cs="Arial"/>
        </w:rPr>
        <w:footnoteRef/>
      </w:r>
      <w:r w:rsidRPr="002D08D2">
        <w:rPr>
          <w:rFonts w:ascii="Arial" w:hAnsi="Arial" w:cs="Arial"/>
        </w:rPr>
        <w:t xml:space="preserve"> Véase el juicio ciudadano SUP-JDC-247/2014 y acumulados.</w:t>
      </w:r>
    </w:p>
  </w:footnote>
  <w:footnote w:id="42">
    <w:p w14:paraId="089607A7" w14:textId="77777777" w:rsidR="001B2E26" w:rsidRPr="002D08D2" w:rsidRDefault="001B2E26" w:rsidP="00513F43">
      <w:pPr>
        <w:pStyle w:val="Textonotapie"/>
        <w:jc w:val="both"/>
        <w:rPr>
          <w:rFonts w:ascii="Arial" w:hAnsi="Arial" w:cs="Arial"/>
        </w:rPr>
      </w:pPr>
      <w:r w:rsidRPr="002D08D2">
        <w:rPr>
          <w:rStyle w:val="Refdenotaalpie"/>
          <w:rFonts w:ascii="Arial" w:hAnsi="Arial" w:cs="Arial"/>
        </w:rPr>
        <w:footnoteRef/>
      </w:r>
      <w:r w:rsidRPr="002D08D2">
        <w:rPr>
          <w:rFonts w:ascii="Arial" w:hAnsi="Arial" w:cs="Arial"/>
        </w:rPr>
        <w:t xml:space="preserve"> Véase el juicio ciudadano SUP-JDC-274/2014 y acumulados.</w:t>
      </w:r>
    </w:p>
  </w:footnote>
  <w:footnote w:id="43">
    <w:p w14:paraId="7EB035DB" w14:textId="77777777" w:rsidR="001B2E26" w:rsidRPr="008C0D8D" w:rsidRDefault="001B2E26" w:rsidP="00513F43">
      <w:pPr>
        <w:pStyle w:val="Textonotapie"/>
        <w:jc w:val="both"/>
        <w:rPr>
          <w:rFonts w:ascii="Arial" w:hAnsi="Arial" w:cs="Arial"/>
        </w:rPr>
      </w:pPr>
      <w:r w:rsidRPr="00A70A63">
        <w:rPr>
          <w:rStyle w:val="Refdenotaalpie"/>
          <w:rFonts w:ascii="Arial" w:hAnsi="Arial" w:cs="Arial"/>
        </w:rPr>
        <w:footnoteRef/>
      </w:r>
      <w:r w:rsidRPr="008C0D8D">
        <w:rPr>
          <w:rFonts w:ascii="Arial" w:hAnsi="Arial" w:cs="Arial"/>
        </w:rPr>
        <w:t xml:space="preserve"> Véase el juicio ciudadano SUP-JDC-281/2017 y acumulados.</w:t>
      </w:r>
    </w:p>
  </w:footnote>
  <w:footnote w:id="44">
    <w:p w14:paraId="490F087F" w14:textId="77777777" w:rsidR="001B2E26" w:rsidRPr="0025003F" w:rsidRDefault="001B2E26" w:rsidP="00513F43">
      <w:pPr>
        <w:pStyle w:val="Textonotapie"/>
        <w:jc w:val="both"/>
        <w:rPr>
          <w:rFonts w:ascii="Arial" w:hAnsi="Arial" w:cs="Arial"/>
        </w:rPr>
      </w:pPr>
      <w:r w:rsidRPr="008C0D8D">
        <w:rPr>
          <w:rStyle w:val="Refdenotaalpie"/>
          <w:rFonts w:ascii="Arial" w:hAnsi="Arial" w:cs="Arial"/>
        </w:rPr>
        <w:footnoteRef/>
      </w:r>
      <w:r w:rsidRPr="0025003F">
        <w:rPr>
          <w:rFonts w:ascii="Arial" w:hAnsi="Arial" w:cs="Arial"/>
        </w:rPr>
        <w:t xml:space="preserve"> Véase el juicio ciudadano SUP-JDC-454/2014.</w:t>
      </w:r>
    </w:p>
  </w:footnote>
  <w:footnote w:id="45">
    <w:p w14:paraId="60C5C661" w14:textId="77777777" w:rsidR="001B2E26" w:rsidRPr="002D08D2" w:rsidRDefault="001B2E26" w:rsidP="00513F43">
      <w:pPr>
        <w:pStyle w:val="Textonotapie"/>
        <w:jc w:val="both"/>
        <w:rPr>
          <w:rFonts w:ascii="Arial" w:hAnsi="Arial" w:cs="Arial"/>
        </w:rPr>
      </w:pPr>
      <w:r w:rsidRPr="0025003F">
        <w:rPr>
          <w:rStyle w:val="Refdenotaalpie"/>
          <w:rFonts w:ascii="Arial" w:hAnsi="Arial" w:cs="Arial"/>
        </w:rPr>
        <w:footnoteRef/>
      </w:r>
      <w:r w:rsidRPr="00265004">
        <w:rPr>
          <w:rFonts w:ascii="Arial" w:hAnsi="Arial" w:cs="Arial"/>
        </w:rPr>
        <w:t xml:space="preserve"> Véase el juicio </w:t>
      </w:r>
      <w:r w:rsidRPr="007C13BA">
        <w:rPr>
          <w:rFonts w:ascii="Arial" w:hAnsi="Arial" w:cs="Arial"/>
        </w:rPr>
        <w:t xml:space="preserve">SUP-JDC-4898/2011, criterio que fue plasmado en la tesis jurisprudencial XXV/2011, de rubro: </w:t>
      </w:r>
      <w:r w:rsidRPr="00AD7266">
        <w:rPr>
          <w:rFonts w:ascii="Arial" w:hAnsi="Arial" w:cs="Arial"/>
          <w:b/>
          <w:smallCaps/>
        </w:rPr>
        <w:t>leyes electorales. actos de aplicación inminentes, procede su impugnación</w:t>
      </w:r>
      <w:r w:rsidRPr="002D08D2">
        <w:rPr>
          <w:rFonts w:ascii="Arial" w:hAnsi="Arial" w:cs="Arial"/>
        </w:rPr>
        <w:t>.</w:t>
      </w:r>
    </w:p>
  </w:footnote>
  <w:footnote w:id="46">
    <w:p w14:paraId="1E5853B4" w14:textId="77777777" w:rsidR="001B2E26" w:rsidRPr="002D08D2" w:rsidRDefault="001B2E26" w:rsidP="00513F43">
      <w:pPr>
        <w:pStyle w:val="Textonotapie"/>
        <w:jc w:val="both"/>
        <w:rPr>
          <w:rFonts w:ascii="Arial" w:hAnsi="Arial" w:cs="Arial"/>
        </w:rPr>
      </w:pPr>
      <w:r w:rsidRPr="002D08D2">
        <w:rPr>
          <w:rStyle w:val="Refdenotaalpie"/>
          <w:rFonts w:ascii="Arial" w:hAnsi="Arial" w:cs="Arial"/>
        </w:rPr>
        <w:footnoteRef/>
      </w:r>
      <w:r w:rsidRPr="002D08D2">
        <w:rPr>
          <w:rFonts w:ascii="Arial" w:hAnsi="Arial" w:cs="Arial"/>
        </w:rPr>
        <w:t xml:space="preserve"> Véase el juicio SUP-JDC-1163/2017.</w:t>
      </w:r>
    </w:p>
  </w:footnote>
  <w:footnote w:id="47">
    <w:p w14:paraId="3D8FD969" w14:textId="77777777" w:rsidR="001B2E26" w:rsidRPr="00AD7266" w:rsidRDefault="001B2E26" w:rsidP="00513F43">
      <w:pPr>
        <w:pStyle w:val="Textonotapie"/>
        <w:jc w:val="both"/>
        <w:rPr>
          <w:rFonts w:ascii="Arial" w:hAnsi="Arial" w:cs="Arial"/>
        </w:rPr>
      </w:pPr>
      <w:r w:rsidRPr="002D08D2">
        <w:rPr>
          <w:rStyle w:val="Refdenotaalpie"/>
          <w:rFonts w:ascii="Arial" w:hAnsi="Arial" w:cs="Arial"/>
        </w:rPr>
        <w:footnoteRef/>
      </w:r>
      <w:r w:rsidRPr="00A70A63">
        <w:rPr>
          <w:rFonts w:ascii="Arial" w:hAnsi="Arial" w:cs="Arial"/>
        </w:rPr>
        <w:t xml:space="preserve"> Véanse los juicios SUP-JDC-69/2017 y 43/2017.</w:t>
      </w:r>
    </w:p>
  </w:footnote>
  <w:footnote w:id="48">
    <w:p w14:paraId="529473C0" w14:textId="77777777" w:rsidR="001B2E26" w:rsidRPr="002D08D2" w:rsidRDefault="001B2E26" w:rsidP="00513F43">
      <w:pPr>
        <w:pStyle w:val="Textonotapie"/>
        <w:rPr>
          <w:rFonts w:ascii="Arial" w:hAnsi="Arial" w:cs="Arial"/>
        </w:rPr>
      </w:pPr>
      <w:r w:rsidRPr="002D08D2">
        <w:rPr>
          <w:rStyle w:val="Refdenotaalpie"/>
          <w:rFonts w:ascii="Arial" w:hAnsi="Arial" w:cs="Arial"/>
        </w:rPr>
        <w:footnoteRef/>
      </w:r>
      <w:r w:rsidRPr="002D08D2">
        <w:rPr>
          <w:rFonts w:ascii="Arial" w:hAnsi="Arial" w:cs="Arial"/>
        </w:rPr>
        <w:t xml:space="preserve"> Véase el juicio SUP-JDC-222/2018.</w:t>
      </w:r>
    </w:p>
  </w:footnote>
  <w:footnote w:id="49">
    <w:p w14:paraId="24296817" w14:textId="77777777" w:rsidR="001B2E26" w:rsidRPr="0025003F" w:rsidRDefault="001B2E26" w:rsidP="001150CB">
      <w:pPr>
        <w:pStyle w:val="Textonotapie"/>
        <w:rPr>
          <w:rFonts w:ascii="Arial" w:eastAsia="Arial" w:hAnsi="Arial" w:cs="Arial"/>
          <w:lang w:val="es"/>
        </w:rPr>
      </w:pPr>
      <w:r w:rsidRPr="002D08D2">
        <w:rPr>
          <w:rStyle w:val="Refdenotaalpie"/>
          <w:rFonts w:ascii="Arial" w:eastAsia="Arial" w:hAnsi="Arial" w:cs="Arial"/>
        </w:rPr>
        <w:footnoteRef/>
      </w:r>
      <w:r w:rsidRPr="002D08D2">
        <w:rPr>
          <w:rFonts w:ascii="Arial" w:eastAsia="Arial" w:hAnsi="Arial" w:cs="Arial"/>
        </w:rPr>
        <w:t xml:space="preserve"> </w:t>
      </w:r>
      <w:r w:rsidRPr="00A70A63">
        <w:rPr>
          <w:rFonts w:ascii="Arial" w:eastAsia="Arial" w:hAnsi="Arial" w:cs="Arial"/>
          <w:i/>
          <w:iCs/>
          <w:lang w:val="es"/>
        </w:rPr>
        <w:t xml:space="preserve">Cfr. </w:t>
      </w:r>
      <w:r w:rsidRPr="0025003F">
        <w:rPr>
          <w:rFonts w:ascii="Arial" w:eastAsia="Arial" w:hAnsi="Arial" w:cs="Arial"/>
          <w:lang w:val="es"/>
        </w:rPr>
        <w:t xml:space="preserve">Corte IDH. </w:t>
      </w:r>
      <w:r w:rsidRPr="00AD7266">
        <w:rPr>
          <w:rFonts w:ascii="Arial" w:eastAsia="Arial" w:hAnsi="Arial" w:cs="Arial"/>
          <w:i/>
          <w:lang w:val="es"/>
        </w:rPr>
        <w:t>Caso Acevedo Buendía y otros (“Cesantes y Jubilados de la Contraloría”) Vs. Perú</w:t>
      </w:r>
      <w:r w:rsidRPr="0025003F">
        <w:rPr>
          <w:rFonts w:ascii="Arial" w:eastAsia="Arial" w:hAnsi="Arial" w:cs="Arial"/>
          <w:lang w:val="es"/>
        </w:rPr>
        <w:t>. Excepción Preliminar, Fondo, Reparaciones y Costas. Sentencia de 1 de julio de 2009. Serie C No. 198, párrs. 101 a 103.</w:t>
      </w:r>
    </w:p>
  </w:footnote>
  <w:footnote w:id="50">
    <w:p w14:paraId="638AFDF0" w14:textId="77777777" w:rsidR="001B2E26" w:rsidRPr="00AD7266" w:rsidRDefault="001B2E26" w:rsidP="001150CB">
      <w:pPr>
        <w:jc w:val="both"/>
        <w:rPr>
          <w:rFonts w:ascii="Arial" w:hAnsi="Arial" w:cs="Arial"/>
          <w:sz w:val="20"/>
          <w:szCs w:val="20"/>
        </w:rPr>
      </w:pPr>
      <w:r w:rsidRPr="00AD7266">
        <w:rPr>
          <w:rStyle w:val="Refdenotaalpie"/>
          <w:rFonts w:ascii="Arial" w:hAnsi="Arial" w:cs="Arial"/>
          <w:sz w:val="20"/>
          <w:szCs w:val="20"/>
        </w:rPr>
        <w:footnoteRef/>
      </w:r>
      <w:r w:rsidRPr="00AD7266">
        <w:rPr>
          <w:rFonts w:ascii="Arial" w:eastAsia="Arial" w:hAnsi="Arial" w:cs="Arial"/>
          <w:sz w:val="20"/>
          <w:szCs w:val="20"/>
        </w:rPr>
        <w:t xml:space="preserve"> </w:t>
      </w:r>
      <w:r w:rsidRPr="002D08D2">
        <w:rPr>
          <w:rFonts w:ascii="Arial" w:eastAsia="Arial" w:hAnsi="Arial" w:cs="Arial"/>
          <w:i/>
          <w:iCs/>
          <w:sz w:val="20"/>
          <w:szCs w:val="20"/>
          <w:lang w:val="es"/>
        </w:rPr>
        <w:t xml:space="preserve">Cfr. </w:t>
      </w:r>
      <w:r w:rsidRPr="002D08D2">
        <w:rPr>
          <w:rFonts w:ascii="Arial" w:eastAsia="Arial" w:hAnsi="Arial" w:cs="Arial"/>
          <w:sz w:val="20"/>
          <w:szCs w:val="20"/>
          <w:lang w:val="es"/>
        </w:rPr>
        <w:t>Comité de Derechos Económicos, Sociales y Culturales de Naciones Unidas. Observación General 4, párrafo 11.</w:t>
      </w:r>
    </w:p>
    <w:p w14:paraId="663CDA3E" w14:textId="77777777" w:rsidR="001B2E26" w:rsidRPr="00AD7266" w:rsidRDefault="001B2E26" w:rsidP="001150CB">
      <w:pPr>
        <w:pStyle w:val="Textonotapie"/>
        <w:rPr>
          <w:rFonts w:ascii="Arial" w:hAnsi="Arial" w:cs="Arial"/>
        </w:rPr>
      </w:pPr>
    </w:p>
  </w:footnote>
  <w:footnote w:id="51">
    <w:p w14:paraId="478D789B" w14:textId="77777777" w:rsidR="001B2E26" w:rsidRPr="002D08D2" w:rsidRDefault="001B2E26" w:rsidP="00166086">
      <w:pPr>
        <w:pStyle w:val="Textonotapie"/>
        <w:jc w:val="both"/>
        <w:rPr>
          <w:rFonts w:ascii="Arial" w:hAnsi="Arial" w:cs="Arial"/>
        </w:rPr>
      </w:pPr>
      <w:r w:rsidRPr="00AD7266">
        <w:rPr>
          <w:rStyle w:val="Refdenotaalpie"/>
          <w:rFonts w:ascii="Arial" w:hAnsi="Arial" w:cs="Arial"/>
        </w:rPr>
        <w:footnoteRef/>
      </w:r>
      <w:r w:rsidRPr="00AD7266">
        <w:rPr>
          <w:rFonts w:ascii="Arial" w:hAnsi="Arial" w:cs="Arial"/>
        </w:rPr>
        <w:t xml:space="preserve"> </w:t>
      </w:r>
      <w:r w:rsidRPr="002D08D2">
        <w:rPr>
          <w:rFonts w:ascii="Arial" w:hAnsi="Arial" w:cs="Arial"/>
        </w:rPr>
        <w:t xml:space="preserve">Jurisprudencia 28/2015, de la Sala Superior, de rubro: </w:t>
      </w:r>
      <w:r w:rsidRPr="00AD7266">
        <w:rPr>
          <w:rFonts w:ascii="Arial" w:hAnsi="Arial" w:cs="Arial"/>
          <w:b/>
          <w:smallCaps/>
        </w:rPr>
        <w:t>principio de progresividad. vertientes en los derechos político-electorales</w:t>
      </w:r>
      <w:r w:rsidRPr="002D08D2">
        <w:rPr>
          <w:rFonts w:ascii="Arial" w:hAnsi="Arial" w:cs="Arial"/>
        </w:rPr>
        <w:t>. Pendiente de publicación. La Sala Superior en sesión pública celebrada el veintiséis de agosto de dos mil quince, aprobó por unanimidad de votos la jurisprudencia que antecede y la declaró formalmente obligatoria.</w:t>
      </w:r>
    </w:p>
  </w:footnote>
  <w:footnote w:id="52">
    <w:p w14:paraId="1958A45C" w14:textId="77777777" w:rsidR="001B2E26" w:rsidRPr="002D08D2" w:rsidRDefault="001B2E26" w:rsidP="00166086">
      <w:pPr>
        <w:jc w:val="both"/>
        <w:rPr>
          <w:rFonts w:ascii="Arial" w:hAnsi="Arial" w:cs="Arial"/>
          <w:sz w:val="20"/>
          <w:szCs w:val="20"/>
        </w:rPr>
      </w:pPr>
      <w:r w:rsidRPr="002D08D2">
        <w:rPr>
          <w:rStyle w:val="Refdenotaalpie"/>
          <w:rFonts w:ascii="Arial" w:hAnsi="Arial" w:cs="Arial"/>
          <w:sz w:val="20"/>
          <w:szCs w:val="20"/>
        </w:rPr>
        <w:footnoteRef/>
      </w:r>
      <w:r w:rsidRPr="002D08D2">
        <w:rPr>
          <w:rFonts w:ascii="Arial" w:hAnsi="Arial" w:cs="Arial"/>
          <w:sz w:val="20"/>
          <w:szCs w:val="20"/>
        </w:rPr>
        <w:t xml:space="preserve"> Tesis </w:t>
      </w:r>
      <w:r w:rsidRPr="00AD7266">
        <w:rPr>
          <w:rFonts w:ascii="Arial" w:hAnsi="Arial" w:cs="Arial"/>
          <w:b/>
          <w:sz w:val="20"/>
          <w:szCs w:val="20"/>
        </w:rPr>
        <w:t>CXXVI/2015,</w:t>
      </w:r>
      <w:r w:rsidRPr="00AD7266">
        <w:rPr>
          <w:rFonts w:ascii="Arial" w:hAnsi="Arial" w:cs="Arial"/>
          <w:sz w:val="20"/>
          <w:szCs w:val="20"/>
        </w:rPr>
        <w:t xml:space="preserve"> </w:t>
      </w:r>
      <w:r w:rsidRPr="002D08D2">
        <w:rPr>
          <w:rFonts w:ascii="Arial" w:hAnsi="Arial" w:cs="Arial"/>
          <w:sz w:val="20"/>
          <w:szCs w:val="20"/>
        </w:rPr>
        <w:t>de la Segunda Sala de la Suprema Corte de Justicia de la Nación, de rubro: “</w:t>
      </w:r>
      <w:r w:rsidRPr="00AD7266">
        <w:rPr>
          <w:rFonts w:ascii="Arial" w:hAnsi="Arial" w:cs="Arial"/>
          <w:b/>
          <w:smallCaps/>
          <w:sz w:val="20"/>
          <w:szCs w:val="20"/>
        </w:rPr>
        <w:t>principio de progresividad de los derechos humanos. criterios para determinar si la limitación al ejercicio de un derecho humano deriva en la violación de dicho principio</w:t>
      </w:r>
      <w:r w:rsidRPr="002D08D2">
        <w:rPr>
          <w:rFonts w:ascii="Arial" w:hAnsi="Arial" w:cs="Arial"/>
          <w:sz w:val="20"/>
          <w:szCs w:val="20"/>
        </w:rPr>
        <w:t xml:space="preserve">”. 10a. Época; 2a. Sala; </w:t>
      </w:r>
      <w:r w:rsidRPr="00AD7266">
        <w:rPr>
          <w:rFonts w:ascii="Arial" w:hAnsi="Arial" w:cs="Arial"/>
          <w:i/>
          <w:sz w:val="20"/>
          <w:szCs w:val="20"/>
        </w:rPr>
        <w:t>Gaceta S.J.F</w:t>
      </w:r>
      <w:r w:rsidRPr="002D08D2">
        <w:rPr>
          <w:rFonts w:ascii="Arial" w:hAnsi="Arial" w:cs="Arial"/>
          <w:sz w:val="20"/>
          <w:szCs w:val="20"/>
        </w:rPr>
        <w:t>.; Libro 24, noviembre de 2015; Tomo II; Pág. 1298; registro IUS: 2010360.</w:t>
      </w:r>
    </w:p>
  </w:footnote>
  <w:footnote w:id="53">
    <w:p w14:paraId="78A60CEC" w14:textId="77777777" w:rsidR="001B2E26" w:rsidRPr="00AD7266" w:rsidRDefault="001B2E26" w:rsidP="0035000C">
      <w:pPr>
        <w:pStyle w:val="Textonotapie"/>
        <w:rPr>
          <w:rFonts w:ascii="Arial" w:hAnsi="Arial" w:cs="Arial"/>
        </w:rPr>
      </w:pPr>
      <w:r w:rsidRPr="00AD7266">
        <w:rPr>
          <w:rStyle w:val="Refdenotaalpie"/>
          <w:rFonts w:ascii="Arial" w:hAnsi="Arial" w:cs="Arial"/>
        </w:rPr>
        <w:footnoteRef/>
      </w:r>
      <w:r w:rsidRPr="00AD7266">
        <w:rPr>
          <w:rFonts w:ascii="Arial" w:hAnsi="Arial" w:cs="Arial"/>
        </w:rPr>
        <w:t xml:space="preserve"> </w:t>
      </w:r>
      <w:r w:rsidRPr="002D08D2">
        <w:rPr>
          <w:rFonts w:ascii="Arial" w:hAnsi="Arial" w:cs="Arial"/>
        </w:rPr>
        <w:t>SCJN. Segunda Sala, Amparo directo en revisión 2425/2015, 12 de agosto de 2015.</w:t>
      </w:r>
    </w:p>
  </w:footnote>
  <w:footnote w:id="54">
    <w:p w14:paraId="154AC015" w14:textId="77777777" w:rsidR="001B2E26" w:rsidRPr="00AD7266" w:rsidRDefault="001B2E26" w:rsidP="0035000C">
      <w:pPr>
        <w:pStyle w:val="Textonotapie"/>
        <w:rPr>
          <w:rFonts w:ascii="Arial" w:hAnsi="Arial" w:cs="Arial"/>
        </w:rPr>
      </w:pPr>
      <w:r w:rsidRPr="00AD7266">
        <w:rPr>
          <w:rStyle w:val="Refdenotaalpie"/>
          <w:rFonts w:ascii="Arial" w:hAnsi="Arial" w:cs="Arial"/>
        </w:rPr>
        <w:footnoteRef/>
      </w:r>
      <w:r w:rsidRPr="00AD7266">
        <w:rPr>
          <w:rFonts w:ascii="Arial" w:hAnsi="Arial" w:cs="Arial"/>
        </w:rPr>
        <w:t xml:space="preserve"> </w:t>
      </w:r>
      <w:r w:rsidRPr="002D08D2">
        <w:rPr>
          <w:rFonts w:ascii="Arial" w:hAnsi="Arial" w:cs="Arial"/>
        </w:rPr>
        <w:t>SCJN. Segunda Sala, Amparo directo en revisión 2425/2015, 12 de agosto de 2015.</w:t>
      </w:r>
    </w:p>
  </w:footnote>
  <w:footnote w:id="55">
    <w:p w14:paraId="6FB7B354" w14:textId="77777777" w:rsidR="001B2E26" w:rsidRPr="002D08D2" w:rsidRDefault="001B2E26" w:rsidP="0035000C">
      <w:pPr>
        <w:pStyle w:val="Textonotapie"/>
        <w:jc w:val="both"/>
        <w:rPr>
          <w:rFonts w:ascii="Arial" w:hAnsi="Arial" w:cs="Arial"/>
        </w:rPr>
      </w:pPr>
      <w:r w:rsidRPr="00AD7266">
        <w:rPr>
          <w:rStyle w:val="Refdenotaalpie"/>
          <w:rFonts w:ascii="Arial" w:hAnsi="Arial" w:cs="Arial"/>
        </w:rPr>
        <w:footnoteRef/>
      </w:r>
      <w:r w:rsidRPr="00AD7266">
        <w:rPr>
          <w:rFonts w:ascii="Arial" w:hAnsi="Arial" w:cs="Arial"/>
        </w:rPr>
        <w:t xml:space="preserve"> </w:t>
      </w:r>
      <w:r w:rsidRPr="002D08D2">
        <w:rPr>
          <w:rFonts w:ascii="Arial" w:hAnsi="Arial" w:cs="Arial"/>
        </w:rPr>
        <w:t xml:space="preserve">Corte IDH. Caso </w:t>
      </w:r>
      <w:r w:rsidRPr="002D08D2">
        <w:rPr>
          <w:rFonts w:ascii="Arial" w:hAnsi="Arial" w:cs="Arial"/>
          <w:i/>
        </w:rPr>
        <w:t>Acevedo Buendía y otros ("Cesantes y Jubilados de la Contraloría") Vs. Perú</w:t>
      </w:r>
      <w:r w:rsidRPr="002D08D2">
        <w:rPr>
          <w:rFonts w:ascii="Arial" w:hAnsi="Arial" w:cs="Arial"/>
        </w:rPr>
        <w:t>. Excepción Preliminar, Fondo, Reparaciones y Costas. Sentencia de 1 de julio de 2009. Serie C No. 198, párr. 103.</w:t>
      </w:r>
    </w:p>
  </w:footnote>
  <w:footnote w:id="56">
    <w:p w14:paraId="75678537" w14:textId="77777777" w:rsidR="001B2E26" w:rsidRPr="00331546" w:rsidRDefault="001B2E26" w:rsidP="00AD7266">
      <w:pPr>
        <w:jc w:val="both"/>
      </w:pPr>
      <w:r w:rsidRPr="00AD7266">
        <w:rPr>
          <w:rStyle w:val="Refdenotaalpie"/>
          <w:rFonts w:ascii="Arial" w:hAnsi="Arial" w:cs="Arial"/>
          <w:sz w:val="20"/>
          <w:szCs w:val="20"/>
        </w:rPr>
        <w:footnoteRef/>
      </w:r>
      <w:r w:rsidRPr="00AD7266">
        <w:rPr>
          <w:rFonts w:ascii="Arial" w:eastAsia="Arial" w:hAnsi="Arial" w:cs="Arial"/>
          <w:sz w:val="20"/>
          <w:szCs w:val="20"/>
        </w:rPr>
        <w:t xml:space="preserve"> </w:t>
      </w:r>
      <w:r w:rsidRPr="002D08D2">
        <w:rPr>
          <w:rFonts w:ascii="Arial" w:eastAsia="Arial" w:hAnsi="Arial" w:cs="Arial"/>
          <w:i/>
          <w:iCs/>
          <w:sz w:val="20"/>
          <w:szCs w:val="20"/>
          <w:lang w:val="es"/>
        </w:rPr>
        <w:t xml:space="preserve">Cfr. </w:t>
      </w:r>
      <w:r w:rsidRPr="002D08D2">
        <w:rPr>
          <w:rFonts w:ascii="Arial" w:eastAsia="Arial" w:hAnsi="Arial" w:cs="Arial"/>
          <w:sz w:val="20"/>
          <w:szCs w:val="20"/>
          <w:lang w:val="es"/>
        </w:rPr>
        <w:t>Comité de Derechos Económicos, Sociales y Culturales de Naciones Unidas. Observación General 4, párrafo 11.</w:t>
      </w:r>
    </w:p>
  </w:footnote>
  <w:footnote w:id="57">
    <w:p w14:paraId="6BF6F82B" w14:textId="2B488DDC" w:rsidR="001B2E26" w:rsidRPr="00823F4B" w:rsidRDefault="001B2E26" w:rsidP="00823F4B">
      <w:pPr>
        <w:jc w:val="both"/>
        <w:rPr>
          <w:rFonts w:ascii="Arial" w:hAnsi="Arial" w:cs="Arial"/>
          <w:sz w:val="20"/>
          <w:szCs w:val="20"/>
        </w:rPr>
      </w:pPr>
      <w:r w:rsidRPr="00AD7266">
        <w:rPr>
          <w:rStyle w:val="Refdenotaalpie"/>
          <w:rFonts w:ascii="Arial" w:hAnsi="Arial" w:cs="Arial"/>
          <w:sz w:val="20"/>
          <w:szCs w:val="20"/>
        </w:rPr>
        <w:footnoteRef/>
      </w:r>
      <w:r w:rsidRPr="00AD7266">
        <w:rPr>
          <w:rFonts w:ascii="Arial" w:hAnsi="Arial" w:cs="Arial"/>
          <w:sz w:val="20"/>
          <w:szCs w:val="20"/>
        </w:rPr>
        <w:t xml:space="preserve"> </w:t>
      </w:r>
      <w:r w:rsidRPr="002D08D2">
        <w:rPr>
          <w:rFonts w:ascii="Arial" w:hAnsi="Arial" w:cs="Arial"/>
          <w:i/>
          <w:sz w:val="20"/>
          <w:szCs w:val="20"/>
        </w:rPr>
        <w:t xml:space="preserve">Cfr. </w:t>
      </w:r>
      <w:bookmarkStart w:id="34" w:name="_Hlk47209134"/>
      <w:r w:rsidRPr="002D08D2">
        <w:rPr>
          <w:rFonts w:ascii="Arial" w:hAnsi="Arial" w:cs="Arial"/>
          <w:sz w:val="20"/>
          <w:szCs w:val="20"/>
        </w:rPr>
        <w:t>SCJN. Segunda Sala, Amparo directo en revisión 2425/2015, 12 de agosto de 2015</w:t>
      </w:r>
      <w:bookmarkEnd w:id="34"/>
      <w:r w:rsidRPr="002D08D2">
        <w:rPr>
          <w:rFonts w:ascii="Arial" w:hAnsi="Arial" w:cs="Arial"/>
          <w:sz w:val="20"/>
          <w:szCs w:val="20"/>
        </w:rPr>
        <w:t>, p</w:t>
      </w:r>
      <w:r>
        <w:rPr>
          <w:rFonts w:ascii="Arial" w:hAnsi="Arial" w:cs="Arial"/>
          <w:sz w:val="20"/>
          <w:szCs w:val="20"/>
        </w:rPr>
        <w:t>ág</w:t>
      </w:r>
      <w:r w:rsidRPr="002D08D2">
        <w:rPr>
          <w:rFonts w:ascii="Arial" w:hAnsi="Arial" w:cs="Arial"/>
          <w:sz w:val="20"/>
          <w:szCs w:val="20"/>
        </w:rPr>
        <w:t>. 16.</w:t>
      </w:r>
    </w:p>
  </w:footnote>
  <w:footnote w:id="58">
    <w:p w14:paraId="672B1E9C" w14:textId="77777777" w:rsidR="00425103" w:rsidRPr="00425103" w:rsidRDefault="00425103" w:rsidP="00425103">
      <w:pPr>
        <w:jc w:val="both"/>
        <w:rPr>
          <w:rFonts w:ascii="Arial" w:eastAsiaTheme="minorHAnsi" w:hAnsi="Arial" w:cs="Arial"/>
          <w:sz w:val="20"/>
          <w:szCs w:val="20"/>
          <w:lang w:val="es-MX" w:eastAsia="en-US"/>
        </w:rPr>
      </w:pPr>
      <w:r w:rsidRPr="009104F9">
        <w:rPr>
          <w:rStyle w:val="Refdenotaalpie"/>
        </w:rPr>
        <w:footnoteRef/>
      </w:r>
      <w:r w:rsidRPr="009104F9">
        <w:t xml:space="preserve"> </w:t>
      </w:r>
      <w:r w:rsidRPr="009104F9">
        <w:rPr>
          <w:rFonts w:ascii="Arial" w:eastAsiaTheme="minorHAnsi" w:hAnsi="Arial" w:cs="Arial"/>
          <w:i/>
          <w:sz w:val="20"/>
          <w:szCs w:val="20"/>
          <w:lang w:val="es-MX" w:eastAsia="en-US"/>
        </w:rPr>
        <w:t xml:space="preserve">Cfr. </w:t>
      </w:r>
      <w:r w:rsidRPr="009104F9">
        <w:rPr>
          <w:rFonts w:ascii="Arial" w:eastAsiaTheme="minorHAnsi" w:hAnsi="Arial" w:cs="Arial"/>
          <w:sz w:val="20"/>
          <w:szCs w:val="20"/>
          <w:lang w:val="es-MX" w:eastAsia="en-US"/>
        </w:rPr>
        <w:t xml:space="preserve">Corte Constitucional de Colombia, Sentencia C- 313/14. Sentencia de 29 de mayo de 2014, págs. 7 y 8, y </w:t>
      </w:r>
      <w:r w:rsidRPr="009104F9">
        <w:rPr>
          <w:rFonts w:ascii="Arial" w:eastAsiaTheme="minorHAnsi" w:hAnsi="Arial" w:cs="Arial"/>
          <w:i/>
          <w:sz w:val="20"/>
          <w:szCs w:val="20"/>
          <w:lang w:val="es-MX" w:eastAsia="en-US"/>
        </w:rPr>
        <w:t xml:space="preserve">Cfr. </w:t>
      </w:r>
      <w:r w:rsidRPr="009104F9">
        <w:rPr>
          <w:rFonts w:ascii="Arial" w:eastAsiaTheme="minorHAnsi" w:hAnsi="Arial" w:cs="Arial"/>
          <w:sz w:val="20"/>
          <w:szCs w:val="20"/>
          <w:lang w:val="es-MX" w:eastAsia="en-US"/>
        </w:rPr>
        <w:t>Corte Constitucional de Colombia, Sentencia C- 556/09. Sentencia de 20 de agosto de 2009.</w:t>
      </w:r>
    </w:p>
    <w:p w14:paraId="5A9F0341" w14:textId="7C422BF9" w:rsidR="00425103" w:rsidRPr="00425103" w:rsidRDefault="00425103">
      <w:pPr>
        <w:pStyle w:val="Textonotapie"/>
        <w:rPr>
          <w:lang w:val="es-MX"/>
        </w:rPr>
      </w:pPr>
    </w:p>
  </w:footnote>
  <w:footnote w:id="59">
    <w:p w14:paraId="4A213B63" w14:textId="77777777" w:rsidR="000B016E" w:rsidRPr="000B016E" w:rsidRDefault="000B016E" w:rsidP="000B016E">
      <w:pPr>
        <w:pStyle w:val="Textonotapie"/>
        <w:spacing w:after="240"/>
        <w:jc w:val="both"/>
        <w:rPr>
          <w:rFonts w:ascii="Arial" w:eastAsiaTheme="minorEastAsia" w:hAnsi="Arial" w:cs="Arial"/>
          <w:lang w:val="es-MX"/>
        </w:rPr>
      </w:pPr>
      <w:r w:rsidRPr="009104F9">
        <w:rPr>
          <w:rStyle w:val="Refdenotaalpie"/>
        </w:rPr>
        <w:footnoteRef/>
      </w:r>
      <w:r w:rsidRPr="009104F9">
        <w:t xml:space="preserve"> </w:t>
      </w:r>
      <w:r w:rsidRPr="009104F9">
        <w:rPr>
          <w:rFonts w:ascii="Arial" w:eastAsiaTheme="minorEastAsia" w:hAnsi="Arial" w:cs="Arial"/>
          <w:i/>
          <w:lang w:val="es-MX"/>
        </w:rPr>
        <w:t xml:space="preserve">Cfr. </w:t>
      </w:r>
      <w:r w:rsidRPr="009104F9">
        <w:rPr>
          <w:rFonts w:ascii="Arial" w:eastAsiaTheme="minorEastAsia" w:hAnsi="Arial" w:cs="Arial"/>
          <w:lang w:val="es-MX"/>
        </w:rPr>
        <w:t>Corte Constitucional de Colombia. Sentencia T-302/2017. 8 de mayo de 2017, puntos 8.1.9., 8.1.10., 8.1.11. y 8.1.12.</w:t>
      </w:r>
    </w:p>
    <w:p w14:paraId="4901800E" w14:textId="77F02120" w:rsidR="000B016E" w:rsidRPr="000B016E" w:rsidRDefault="000B016E">
      <w:pPr>
        <w:pStyle w:val="Textonotapie"/>
        <w:rPr>
          <w:lang w:val="es-MX"/>
        </w:rPr>
      </w:pPr>
    </w:p>
  </w:footnote>
  <w:footnote w:id="60">
    <w:p w14:paraId="7C9B7DC2" w14:textId="77777777" w:rsidR="001B2E26" w:rsidRPr="00AD7266" w:rsidRDefault="001B2E26" w:rsidP="0035000C">
      <w:pPr>
        <w:pStyle w:val="Textonotapie"/>
        <w:rPr>
          <w:rFonts w:ascii="Arial" w:hAnsi="Arial" w:cs="Arial"/>
        </w:rPr>
      </w:pPr>
      <w:r w:rsidRPr="00AD7266">
        <w:rPr>
          <w:rStyle w:val="Refdenotaalpie"/>
          <w:rFonts w:ascii="Arial" w:hAnsi="Arial" w:cs="Arial"/>
        </w:rPr>
        <w:footnoteRef/>
      </w:r>
      <w:r w:rsidRPr="00AD7266">
        <w:rPr>
          <w:rFonts w:ascii="Arial" w:hAnsi="Arial" w:cs="Arial"/>
        </w:rPr>
        <w:t xml:space="preserve"> </w:t>
      </w:r>
      <w:r w:rsidRPr="002D08D2">
        <w:rPr>
          <w:rFonts w:ascii="Arial" w:hAnsi="Arial" w:cs="Arial"/>
        </w:rPr>
        <w:t>Apéndice 1988, Primera Parte, página 131.</w:t>
      </w:r>
    </w:p>
  </w:footnote>
  <w:footnote w:id="61">
    <w:p w14:paraId="74346A4B" w14:textId="77777777" w:rsidR="001B2E26" w:rsidRPr="0025003F" w:rsidRDefault="001B2E26" w:rsidP="00B95DDA">
      <w:pPr>
        <w:jc w:val="both"/>
        <w:rPr>
          <w:rFonts w:ascii="Arial" w:hAnsi="Arial" w:cs="Arial"/>
          <w:b/>
          <w:sz w:val="20"/>
          <w:szCs w:val="20"/>
          <w:lang w:val="es-MX"/>
        </w:rPr>
      </w:pPr>
      <w:r w:rsidRPr="00AD7266">
        <w:rPr>
          <w:rStyle w:val="Refdenotaalpie"/>
          <w:rFonts w:ascii="Arial" w:hAnsi="Arial" w:cs="Arial"/>
          <w:sz w:val="20"/>
          <w:szCs w:val="20"/>
        </w:rPr>
        <w:footnoteRef/>
      </w:r>
      <w:r w:rsidRPr="00AD7266">
        <w:rPr>
          <w:rFonts w:ascii="Arial" w:hAnsi="Arial" w:cs="Arial"/>
          <w:sz w:val="20"/>
          <w:szCs w:val="20"/>
        </w:rPr>
        <w:t xml:space="preserve"> </w:t>
      </w:r>
      <w:r w:rsidRPr="002D08D2">
        <w:rPr>
          <w:rFonts w:ascii="Arial" w:hAnsi="Arial" w:cs="Arial"/>
          <w:sz w:val="20"/>
          <w:szCs w:val="20"/>
        </w:rPr>
        <w:t>Sirve de sustento a lo anterior la</w:t>
      </w:r>
      <w:r w:rsidRPr="002D08D2">
        <w:rPr>
          <w:rFonts w:ascii="Arial" w:hAnsi="Arial" w:cs="Arial"/>
          <w:sz w:val="20"/>
          <w:szCs w:val="20"/>
          <w:lang w:val="es-MX"/>
        </w:rPr>
        <w:t xml:space="preserve">Tesis XXVII/2003 de la Sala Superior, de rubro: </w:t>
      </w:r>
      <w:r w:rsidRPr="00AD7266">
        <w:rPr>
          <w:rFonts w:ascii="Arial" w:hAnsi="Arial" w:cs="Arial"/>
          <w:b/>
          <w:smallCaps/>
          <w:sz w:val="20"/>
          <w:szCs w:val="20"/>
          <w:lang w:val="es-MX"/>
        </w:rPr>
        <w:t>resoluciones del tribunal electoral del poder judicial de la federación. modalidades en sus efectos para preservar el interés general</w:t>
      </w:r>
      <w:r w:rsidRPr="0025003F">
        <w:rPr>
          <w:rFonts w:ascii="Arial" w:hAnsi="Arial" w:cs="Arial"/>
          <w:b/>
          <w:sz w:val="20"/>
          <w:szCs w:val="20"/>
          <w:lang w:val="es-MX"/>
        </w:rPr>
        <w:t>.</w:t>
      </w:r>
    </w:p>
    <w:p w14:paraId="19DEB1F7" w14:textId="77777777" w:rsidR="001B2E26" w:rsidRPr="002D08D2" w:rsidRDefault="001B2E26" w:rsidP="00B95DDA">
      <w:pPr>
        <w:spacing w:after="160" w:line="360" w:lineRule="auto"/>
        <w:jc w:val="both"/>
        <w:rPr>
          <w:rFonts w:ascii="Arial" w:eastAsiaTheme="minorHAnsi" w:hAnsi="Arial" w:cs="Arial"/>
          <w:sz w:val="20"/>
          <w:szCs w:val="20"/>
          <w:lang w:val="es-MX" w:eastAsia="en-US"/>
        </w:rPr>
      </w:pPr>
    </w:p>
    <w:p w14:paraId="0F5E07CE" w14:textId="77777777" w:rsidR="001B2E26" w:rsidRPr="00EB25A9" w:rsidRDefault="001B2E26">
      <w:pPr>
        <w:pStyle w:val="Textonotapie"/>
        <w:rPr>
          <w:rFonts w:ascii="Arial" w:hAnsi="Arial" w:cs="Arial"/>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6E83" w14:textId="27041537" w:rsidR="001B2E26" w:rsidRPr="00C74FB0" w:rsidRDefault="001B2E26" w:rsidP="00910446">
    <w:pPr>
      <w:pStyle w:val="Encabezado"/>
      <w:jc w:val="right"/>
      <w:rPr>
        <w:rFonts w:ascii="Arial" w:hAnsi="Arial" w:cs="Arial"/>
        <w:b/>
        <w:sz w:val="26"/>
        <w:szCs w:val="26"/>
      </w:rPr>
    </w:pPr>
    <w:r w:rsidRPr="00C74FB0">
      <w:rPr>
        <w:rFonts w:ascii="Arial" w:hAnsi="Arial" w:cs="Arial"/>
        <w:b/>
        <w:sz w:val="26"/>
        <w:szCs w:val="26"/>
      </w:rPr>
      <w:t>SUP-</w:t>
    </w:r>
    <w:r w:rsidR="00442694">
      <w:rPr>
        <w:rFonts w:ascii="Arial" w:hAnsi="Arial" w:cs="Arial"/>
        <w:b/>
        <w:sz w:val="26"/>
        <w:szCs w:val="26"/>
      </w:rPr>
      <w:t>REC</w:t>
    </w:r>
    <w:r>
      <w:rPr>
        <w:rFonts w:ascii="Arial" w:hAnsi="Arial" w:cs="Arial"/>
        <w:b/>
        <w:sz w:val="26"/>
        <w:szCs w:val="26"/>
      </w:rPr>
      <w:t>-</w:t>
    </w:r>
    <w:r w:rsidR="00442694">
      <w:rPr>
        <w:rFonts w:ascii="Arial" w:hAnsi="Arial" w:cs="Arial"/>
        <w:b/>
        <w:sz w:val="26"/>
        <w:szCs w:val="26"/>
      </w:rPr>
      <w:t>88</w:t>
    </w:r>
    <w:r>
      <w:rPr>
        <w:rFonts w:ascii="Arial" w:hAnsi="Arial" w:cs="Arial"/>
        <w:b/>
        <w:sz w:val="26"/>
        <w:szCs w:val="26"/>
      </w:rPr>
      <w:t>/2020</w:t>
    </w:r>
  </w:p>
  <w:p w14:paraId="2DC57E8B" w14:textId="77777777" w:rsidR="001B2E26" w:rsidRPr="00147981" w:rsidRDefault="001B2E26" w:rsidP="00910446">
    <w:pPr>
      <w:pStyle w:val="Encabezado"/>
      <w:jc w:val="right"/>
      <w:rPr>
        <w:rFonts w:ascii="Univers" w:hAnsi="Univers" w:cs="Arial"/>
      </w:rPr>
    </w:pPr>
  </w:p>
  <w:p w14:paraId="0C946427" w14:textId="77777777" w:rsidR="001B2E26" w:rsidRDefault="001B2E26"/>
  <w:p w14:paraId="33D2F4D9" w14:textId="77777777" w:rsidR="001B2E26" w:rsidRDefault="001B2E26"/>
  <w:p w14:paraId="3F080A04" w14:textId="77777777" w:rsidR="001B2E26" w:rsidRDefault="001B2E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02B35" w14:textId="77777777" w:rsidR="001B2E26" w:rsidRPr="00C31E0C" w:rsidRDefault="001B2E26" w:rsidP="00910446">
    <w:pPr>
      <w:pStyle w:val="Encabezado"/>
      <w:jc w:val="right"/>
      <w:rPr>
        <w:rFonts w:ascii="Arial" w:hAnsi="Arial" w:cs="Arial"/>
        <w:b/>
        <w:sz w:val="26"/>
        <w:szCs w:val="26"/>
      </w:rPr>
    </w:pPr>
    <w:r>
      <w:rPr>
        <w:noProof/>
        <w:lang w:val="en-US" w:eastAsia="en-US"/>
      </w:rPr>
      <w:drawing>
        <wp:anchor distT="0" distB="0" distL="114300" distR="114300" simplePos="0" relativeHeight="251661312" behindDoc="0" locked="0" layoutInCell="1" allowOverlap="1" wp14:anchorId="295B4A8C" wp14:editId="2E47B4AD">
          <wp:simplePos x="0" y="0"/>
          <wp:positionH relativeFrom="column">
            <wp:posOffset>-639115</wp:posOffset>
          </wp:positionH>
          <wp:positionV relativeFrom="paragraph">
            <wp:posOffset>-700836</wp:posOffset>
          </wp:positionV>
          <wp:extent cx="1377950" cy="1192530"/>
          <wp:effectExtent l="0" t="0" r="0" b="0"/>
          <wp:wrapNone/>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E0C">
      <w:rPr>
        <w:rFonts w:ascii="Arial" w:hAnsi="Arial" w:cs="Arial"/>
        <w:b/>
        <w:sz w:val="26"/>
        <w:szCs w:val="26"/>
      </w:rPr>
      <w:t>SUP-</w:t>
    </w:r>
    <w:r>
      <w:rPr>
        <w:rFonts w:ascii="Arial" w:hAnsi="Arial" w:cs="Arial"/>
        <w:b/>
        <w:sz w:val="26"/>
        <w:szCs w:val="26"/>
      </w:rPr>
      <w:t>REC-88/2020</w:t>
    </w:r>
  </w:p>
  <w:p w14:paraId="5A665CD4" w14:textId="77777777" w:rsidR="001B2E26" w:rsidRPr="000272CA" w:rsidRDefault="001B2E26" w:rsidP="00910446">
    <w:pPr>
      <w:pStyle w:val="Encabezado"/>
    </w:pPr>
  </w:p>
  <w:p w14:paraId="24042349" w14:textId="77777777" w:rsidR="001B2E26" w:rsidRDefault="001B2E26"/>
  <w:p w14:paraId="4DCA5B12" w14:textId="77777777" w:rsidR="001B2E26" w:rsidRDefault="001B2E26"/>
  <w:p w14:paraId="67149A2D" w14:textId="77777777" w:rsidR="001B2E26" w:rsidRDefault="001B2E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6EA1" w14:textId="77777777" w:rsidR="001B2E26" w:rsidRDefault="001B2E26">
    <w:pPr>
      <w:pStyle w:val="Encabezado"/>
    </w:pPr>
    <w:r>
      <w:rPr>
        <w:noProof/>
        <w:lang w:val="en-US" w:eastAsia="en-US"/>
      </w:rPr>
      <w:drawing>
        <wp:anchor distT="0" distB="0" distL="114300" distR="114300" simplePos="0" relativeHeight="251659264" behindDoc="0" locked="0" layoutInCell="1" allowOverlap="1" wp14:anchorId="0FEB2632" wp14:editId="4B24FB5E">
          <wp:simplePos x="0" y="0"/>
          <wp:positionH relativeFrom="column">
            <wp:posOffset>-1151068</wp:posOffset>
          </wp:positionH>
          <wp:positionV relativeFrom="paragraph">
            <wp:posOffset>-732155</wp:posOffset>
          </wp:positionV>
          <wp:extent cx="1377950" cy="1192530"/>
          <wp:effectExtent l="0" t="0" r="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075"/>
    <w:multiLevelType w:val="multilevel"/>
    <w:tmpl w:val="2410DE12"/>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5139FD"/>
    <w:multiLevelType w:val="hybridMultilevel"/>
    <w:tmpl w:val="BC3E29DA"/>
    <w:lvl w:ilvl="0" w:tplc="EC7003E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8051B9"/>
    <w:multiLevelType w:val="hybridMultilevel"/>
    <w:tmpl w:val="CFC8B994"/>
    <w:lvl w:ilvl="0" w:tplc="D010A54C">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A334DC9"/>
    <w:multiLevelType w:val="hybridMultilevel"/>
    <w:tmpl w:val="B5609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472416"/>
    <w:multiLevelType w:val="hybridMultilevel"/>
    <w:tmpl w:val="19DC85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D22C43"/>
    <w:multiLevelType w:val="hybridMultilevel"/>
    <w:tmpl w:val="A2D0A866"/>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F113CA"/>
    <w:multiLevelType w:val="hybridMultilevel"/>
    <w:tmpl w:val="CBC8468A"/>
    <w:lvl w:ilvl="0" w:tplc="9022E4A8">
      <w:start w:val="5"/>
      <w:numFmt w:val="bullet"/>
      <w:lvlText w:val="-"/>
      <w:lvlJc w:val="left"/>
      <w:pPr>
        <w:ind w:left="790" w:hanging="360"/>
      </w:pPr>
      <w:rPr>
        <w:rFonts w:ascii="Arial" w:eastAsia="Times New Roman" w:hAnsi="Arial" w:cs="Arial"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7" w15:restartNumberingAfterBreak="0">
    <w:nsid w:val="2FD776C0"/>
    <w:multiLevelType w:val="hybridMultilevel"/>
    <w:tmpl w:val="C902058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301F4770"/>
    <w:multiLevelType w:val="hybridMultilevel"/>
    <w:tmpl w:val="D730E98C"/>
    <w:lvl w:ilvl="0" w:tplc="41304DA0">
      <w:start w:val="1"/>
      <w:numFmt w:val="lowerRoman"/>
      <w:lvlText w:val="%1)"/>
      <w:lvlJc w:val="left"/>
      <w:pPr>
        <w:ind w:left="1080" w:hanging="360"/>
      </w:pPr>
      <w:rPr>
        <w:rFonts w:ascii="Arial" w:eastAsia="Times New Roman" w:hAnsi="Arial" w:cs="Arial"/>
        <w:b/>
        <w:bCs/>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3F555B58"/>
    <w:multiLevelType w:val="hybridMultilevel"/>
    <w:tmpl w:val="197E473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EE7830"/>
    <w:multiLevelType w:val="hybridMultilevel"/>
    <w:tmpl w:val="9F0C04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1E2830"/>
    <w:multiLevelType w:val="hybridMultilevel"/>
    <w:tmpl w:val="CA68A6EE"/>
    <w:lvl w:ilvl="0" w:tplc="E5187862">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A346F1"/>
    <w:multiLevelType w:val="hybridMultilevel"/>
    <w:tmpl w:val="A9A229CE"/>
    <w:lvl w:ilvl="0" w:tplc="6E1ECD0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5A1487"/>
    <w:multiLevelType w:val="hybridMultilevel"/>
    <w:tmpl w:val="4A44917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61332A54"/>
    <w:multiLevelType w:val="hybridMultilevel"/>
    <w:tmpl w:val="02643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7401D7"/>
    <w:multiLevelType w:val="hybridMultilevel"/>
    <w:tmpl w:val="8538459C"/>
    <w:lvl w:ilvl="0" w:tplc="F740EBC6">
      <w:start w:val="1"/>
      <w:numFmt w:val="lowerRoman"/>
      <w:lvlText w:val="(%1)"/>
      <w:lvlJc w:val="left"/>
      <w:pPr>
        <w:ind w:left="1080" w:hanging="72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3"/>
  </w:num>
  <w:num w:numId="5">
    <w:abstractNumId w:val="14"/>
  </w:num>
  <w:num w:numId="6">
    <w:abstractNumId w:val="10"/>
  </w:num>
  <w:num w:numId="7">
    <w:abstractNumId w:val="6"/>
  </w:num>
  <w:num w:numId="8">
    <w:abstractNumId w:val="7"/>
  </w:num>
  <w:num w:numId="9">
    <w:abstractNumId w:val="15"/>
  </w:num>
  <w:num w:numId="10">
    <w:abstractNumId w:val="12"/>
  </w:num>
  <w:num w:numId="11">
    <w:abstractNumId w:val="8"/>
  </w:num>
  <w:num w:numId="12">
    <w:abstractNumId w:val="9"/>
  </w:num>
  <w:num w:numId="13">
    <w:abstractNumId w:val="0"/>
  </w:num>
  <w:num w:numId="14">
    <w:abstractNumId w:val="5"/>
  </w:num>
  <w:num w:numId="15">
    <w:abstractNumId w:val="11"/>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hideSpellingErrors/>
  <w:hideGrammaticalErrors/>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0D"/>
    <w:rsid w:val="000002DC"/>
    <w:rsid w:val="000020F1"/>
    <w:rsid w:val="000037E0"/>
    <w:rsid w:val="000042DD"/>
    <w:rsid w:val="00004529"/>
    <w:rsid w:val="000047BB"/>
    <w:rsid w:val="00004B1A"/>
    <w:rsid w:val="0000670B"/>
    <w:rsid w:val="00007244"/>
    <w:rsid w:val="000140B6"/>
    <w:rsid w:val="00014F02"/>
    <w:rsid w:val="00017244"/>
    <w:rsid w:val="00021421"/>
    <w:rsid w:val="00025942"/>
    <w:rsid w:val="00036682"/>
    <w:rsid w:val="00036A59"/>
    <w:rsid w:val="00040404"/>
    <w:rsid w:val="00040903"/>
    <w:rsid w:val="00041DB1"/>
    <w:rsid w:val="00042A49"/>
    <w:rsid w:val="000444CD"/>
    <w:rsid w:val="000457E9"/>
    <w:rsid w:val="00046BBE"/>
    <w:rsid w:val="000567B5"/>
    <w:rsid w:val="00056917"/>
    <w:rsid w:val="00064FD3"/>
    <w:rsid w:val="00071D5D"/>
    <w:rsid w:val="0007332B"/>
    <w:rsid w:val="000741B6"/>
    <w:rsid w:val="000777EA"/>
    <w:rsid w:val="0008519C"/>
    <w:rsid w:val="00085B25"/>
    <w:rsid w:val="00090BBB"/>
    <w:rsid w:val="000914D7"/>
    <w:rsid w:val="0009162D"/>
    <w:rsid w:val="00091740"/>
    <w:rsid w:val="00091FFC"/>
    <w:rsid w:val="00092DE3"/>
    <w:rsid w:val="0009328B"/>
    <w:rsid w:val="00094F15"/>
    <w:rsid w:val="000962A3"/>
    <w:rsid w:val="000A13FF"/>
    <w:rsid w:val="000A2645"/>
    <w:rsid w:val="000A35EA"/>
    <w:rsid w:val="000A3A48"/>
    <w:rsid w:val="000A3E28"/>
    <w:rsid w:val="000B016E"/>
    <w:rsid w:val="000B7634"/>
    <w:rsid w:val="000C273D"/>
    <w:rsid w:val="000C5E51"/>
    <w:rsid w:val="000C62C7"/>
    <w:rsid w:val="000D12B0"/>
    <w:rsid w:val="000D19FE"/>
    <w:rsid w:val="000D2506"/>
    <w:rsid w:val="000D5447"/>
    <w:rsid w:val="000D611C"/>
    <w:rsid w:val="000E226A"/>
    <w:rsid w:val="000E2DC5"/>
    <w:rsid w:val="000E3F47"/>
    <w:rsid w:val="000E670F"/>
    <w:rsid w:val="000E732D"/>
    <w:rsid w:val="000F73EC"/>
    <w:rsid w:val="001009F1"/>
    <w:rsid w:val="0010107B"/>
    <w:rsid w:val="001035B0"/>
    <w:rsid w:val="00104F56"/>
    <w:rsid w:val="001070A0"/>
    <w:rsid w:val="00110F2B"/>
    <w:rsid w:val="001139BE"/>
    <w:rsid w:val="001150CB"/>
    <w:rsid w:val="00122FB8"/>
    <w:rsid w:val="00124E49"/>
    <w:rsid w:val="00125C3A"/>
    <w:rsid w:val="0012731E"/>
    <w:rsid w:val="0013063B"/>
    <w:rsid w:val="001316AA"/>
    <w:rsid w:val="00136B43"/>
    <w:rsid w:val="001416F6"/>
    <w:rsid w:val="0014513B"/>
    <w:rsid w:val="001523D2"/>
    <w:rsid w:val="0015727E"/>
    <w:rsid w:val="0016137C"/>
    <w:rsid w:val="00166086"/>
    <w:rsid w:val="00170AC7"/>
    <w:rsid w:val="00173A7E"/>
    <w:rsid w:val="00174B31"/>
    <w:rsid w:val="0017544D"/>
    <w:rsid w:val="00175E62"/>
    <w:rsid w:val="001808E5"/>
    <w:rsid w:val="00190CB1"/>
    <w:rsid w:val="001969CC"/>
    <w:rsid w:val="0019716D"/>
    <w:rsid w:val="00197920"/>
    <w:rsid w:val="001A1A74"/>
    <w:rsid w:val="001A3B32"/>
    <w:rsid w:val="001A4EA8"/>
    <w:rsid w:val="001B0AED"/>
    <w:rsid w:val="001B183A"/>
    <w:rsid w:val="001B2E26"/>
    <w:rsid w:val="001B5765"/>
    <w:rsid w:val="001B7422"/>
    <w:rsid w:val="001C0255"/>
    <w:rsid w:val="001C0EA5"/>
    <w:rsid w:val="001C2A81"/>
    <w:rsid w:val="001C4628"/>
    <w:rsid w:val="001C54E5"/>
    <w:rsid w:val="001D02B5"/>
    <w:rsid w:val="001D0D7B"/>
    <w:rsid w:val="001D1A1D"/>
    <w:rsid w:val="001D31F3"/>
    <w:rsid w:val="001D337C"/>
    <w:rsid w:val="001D3818"/>
    <w:rsid w:val="001D527B"/>
    <w:rsid w:val="001D7687"/>
    <w:rsid w:val="001D77AF"/>
    <w:rsid w:val="001D78B3"/>
    <w:rsid w:val="001E03D8"/>
    <w:rsid w:val="001E063E"/>
    <w:rsid w:val="001E5648"/>
    <w:rsid w:val="001E5C79"/>
    <w:rsid w:val="001E5D2E"/>
    <w:rsid w:val="001F03FD"/>
    <w:rsid w:val="001F15F1"/>
    <w:rsid w:val="001F24D9"/>
    <w:rsid w:val="001F6990"/>
    <w:rsid w:val="001F6F36"/>
    <w:rsid w:val="001F7C56"/>
    <w:rsid w:val="00200A02"/>
    <w:rsid w:val="002019A2"/>
    <w:rsid w:val="0020391C"/>
    <w:rsid w:val="00204ECE"/>
    <w:rsid w:val="00205F2D"/>
    <w:rsid w:val="00213F24"/>
    <w:rsid w:val="002173EB"/>
    <w:rsid w:val="00222C1A"/>
    <w:rsid w:val="002237E9"/>
    <w:rsid w:val="00224460"/>
    <w:rsid w:val="00234EA4"/>
    <w:rsid w:val="0023713B"/>
    <w:rsid w:val="0024150D"/>
    <w:rsid w:val="002453E2"/>
    <w:rsid w:val="002458D1"/>
    <w:rsid w:val="00246602"/>
    <w:rsid w:val="00247AE9"/>
    <w:rsid w:val="0025003F"/>
    <w:rsid w:val="00251E7F"/>
    <w:rsid w:val="00252BEC"/>
    <w:rsid w:val="0025370A"/>
    <w:rsid w:val="00255072"/>
    <w:rsid w:val="00257E90"/>
    <w:rsid w:val="00257EAD"/>
    <w:rsid w:val="00261D4C"/>
    <w:rsid w:val="00263282"/>
    <w:rsid w:val="002640BE"/>
    <w:rsid w:val="00265004"/>
    <w:rsid w:val="002665B5"/>
    <w:rsid w:val="002674B2"/>
    <w:rsid w:val="00267A0D"/>
    <w:rsid w:val="002717AA"/>
    <w:rsid w:val="00272C5C"/>
    <w:rsid w:val="00275E3D"/>
    <w:rsid w:val="00277F88"/>
    <w:rsid w:val="0028058F"/>
    <w:rsid w:val="00280BC2"/>
    <w:rsid w:val="002824C3"/>
    <w:rsid w:val="002842A9"/>
    <w:rsid w:val="00284FA9"/>
    <w:rsid w:val="002854B0"/>
    <w:rsid w:val="002900F6"/>
    <w:rsid w:val="0029054D"/>
    <w:rsid w:val="00293012"/>
    <w:rsid w:val="00296244"/>
    <w:rsid w:val="002A1A6F"/>
    <w:rsid w:val="002A487D"/>
    <w:rsid w:val="002A52A6"/>
    <w:rsid w:val="002A677F"/>
    <w:rsid w:val="002A70D4"/>
    <w:rsid w:val="002B19A8"/>
    <w:rsid w:val="002B400D"/>
    <w:rsid w:val="002B69BA"/>
    <w:rsid w:val="002C02B2"/>
    <w:rsid w:val="002C3F86"/>
    <w:rsid w:val="002C4C88"/>
    <w:rsid w:val="002C5BFF"/>
    <w:rsid w:val="002D08D2"/>
    <w:rsid w:val="002D3101"/>
    <w:rsid w:val="002D42DC"/>
    <w:rsid w:val="002D4578"/>
    <w:rsid w:val="002E3255"/>
    <w:rsid w:val="002E4BDC"/>
    <w:rsid w:val="002E5DED"/>
    <w:rsid w:val="002E7663"/>
    <w:rsid w:val="002F0786"/>
    <w:rsid w:val="002F0CF2"/>
    <w:rsid w:val="002F13D1"/>
    <w:rsid w:val="002F2A87"/>
    <w:rsid w:val="002F71EC"/>
    <w:rsid w:val="00310514"/>
    <w:rsid w:val="003122A7"/>
    <w:rsid w:val="00314692"/>
    <w:rsid w:val="00314F9A"/>
    <w:rsid w:val="00320E63"/>
    <w:rsid w:val="00322488"/>
    <w:rsid w:val="003231B3"/>
    <w:rsid w:val="003258C0"/>
    <w:rsid w:val="00327726"/>
    <w:rsid w:val="00327C1F"/>
    <w:rsid w:val="003309FE"/>
    <w:rsid w:val="00330F8A"/>
    <w:rsid w:val="00331546"/>
    <w:rsid w:val="00331759"/>
    <w:rsid w:val="00333E47"/>
    <w:rsid w:val="0033697A"/>
    <w:rsid w:val="00336DC8"/>
    <w:rsid w:val="00343700"/>
    <w:rsid w:val="00344BA6"/>
    <w:rsid w:val="0034682B"/>
    <w:rsid w:val="0035000C"/>
    <w:rsid w:val="00351B51"/>
    <w:rsid w:val="00355D29"/>
    <w:rsid w:val="003625C2"/>
    <w:rsid w:val="00362A02"/>
    <w:rsid w:val="00363CF3"/>
    <w:rsid w:val="00371C5A"/>
    <w:rsid w:val="003748BE"/>
    <w:rsid w:val="003766AC"/>
    <w:rsid w:val="0037797B"/>
    <w:rsid w:val="00383D57"/>
    <w:rsid w:val="00384AAE"/>
    <w:rsid w:val="00385930"/>
    <w:rsid w:val="0039112A"/>
    <w:rsid w:val="00391A7A"/>
    <w:rsid w:val="003920AA"/>
    <w:rsid w:val="00396077"/>
    <w:rsid w:val="003A12B8"/>
    <w:rsid w:val="003A1EA7"/>
    <w:rsid w:val="003A47E0"/>
    <w:rsid w:val="003A4860"/>
    <w:rsid w:val="003A5FCC"/>
    <w:rsid w:val="003B05EA"/>
    <w:rsid w:val="003B2B40"/>
    <w:rsid w:val="003B2C00"/>
    <w:rsid w:val="003B2E1C"/>
    <w:rsid w:val="003B4187"/>
    <w:rsid w:val="003C39DF"/>
    <w:rsid w:val="003D2993"/>
    <w:rsid w:val="003D3B89"/>
    <w:rsid w:val="003D49C9"/>
    <w:rsid w:val="003D62B2"/>
    <w:rsid w:val="003E44C2"/>
    <w:rsid w:val="003F0085"/>
    <w:rsid w:val="003F102D"/>
    <w:rsid w:val="004005E8"/>
    <w:rsid w:val="0040186D"/>
    <w:rsid w:val="004044F5"/>
    <w:rsid w:val="004049CE"/>
    <w:rsid w:val="00405AC2"/>
    <w:rsid w:val="00411C97"/>
    <w:rsid w:val="0041293B"/>
    <w:rsid w:val="004129A3"/>
    <w:rsid w:val="00415BA9"/>
    <w:rsid w:val="004160C9"/>
    <w:rsid w:val="004201C3"/>
    <w:rsid w:val="00424EDD"/>
    <w:rsid w:val="00425103"/>
    <w:rsid w:val="00425C4F"/>
    <w:rsid w:val="0042673D"/>
    <w:rsid w:val="00430367"/>
    <w:rsid w:val="00431D9D"/>
    <w:rsid w:val="00441958"/>
    <w:rsid w:val="00442694"/>
    <w:rsid w:val="00442772"/>
    <w:rsid w:val="00450A17"/>
    <w:rsid w:val="004540CD"/>
    <w:rsid w:val="004541D2"/>
    <w:rsid w:val="00456B8F"/>
    <w:rsid w:val="00462452"/>
    <w:rsid w:val="004635C3"/>
    <w:rsid w:val="00466324"/>
    <w:rsid w:val="00471732"/>
    <w:rsid w:val="004802E0"/>
    <w:rsid w:val="00480B91"/>
    <w:rsid w:val="004810CF"/>
    <w:rsid w:val="004856C2"/>
    <w:rsid w:val="004868F3"/>
    <w:rsid w:val="004900EF"/>
    <w:rsid w:val="00490814"/>
    <w:rsid w:val="00493D2A"/>
    <w:rsid w:val="00495545"/>
    <w:rsid w:val="004A0A07"/>
    <w:rsid w:val="004A4DA7"/>
    <w:rsid w:val="004B2A73"/>
    <w:rsid w:val="004B481D"/>
    <w:rsid w:val="004B652E"/>
    <w:rsid w:val="004B7534"/>
    <w:rsid w:val="004C092C"/>
    <w:rsid w:val="004C09C8"/>
    <w:rsid w:val="004C0B98"/>
    <w:rsid w:val="004C1734"/>
    <w:rsid w:val="004C2960"/>
    <w:rsid w:val="004C4025"/>
    <w:rsid w:val="004C429F"/>
    <w:rsid w:val="004C45E7"/>
    <w:rsid w:val="004D08B6"/>
    <w:rsid w:val="004D35DF"/>
    <w:rsid w:val="004D3899"/>
    <w:rsid w:val="004E0915"/>
    <w:rsid w:val="004E33CD"/>
    <w:rsid w:val="004E4786"/>
    <w:rsid w:val="004E4889"/>
    <w:rsid w:val="004E740D"/>
    <w:rsid w:val="004F35C0"/>
    <w:rsid w:val="004F3BD5"/>
    <w:rsid w:val="00501FDB"/>
    <w:rsid w:val="00503C36"/>
    <w:rsid w:val="005044D4"/>
    <w:rsid w:val="0050493A"/>
    <w:rsid w:val="00504CAA"/>
    <w:rsid w:val="0050510D"/>
    <w:rsid w:val="00505A4A"/>
    <w:rsid w:val="00506AD0"/>
    <w:rsid w:val="00512726"/>
    <w:rsid w:val="00513729"/>
    <w:rsid w:val="00513F43"/>
    <w:rsid w:val="00515BB2"/>
    <w:rsid w:val="00516D7C"/>
    <w:rsid w:val="00520F9F"/>
    <w:rsid w:val="005223BE"/>
    <w:rsid w:val="005250B0"/>
    <w:rsid w:val="00525C0C"/>
    <w:rsid w:val="005306D8"/>
    <w:rsid w:val="00534B2F"/>
    <w:rsid w:val="00535389"/>
    <w:rsid w:val="005369F9"/>
    <w:rsid w:val="0054148E"/>
    <w:rsid w:val="0054265F"/>
    <w:rsid w:val="00542BC2"/>
    <w:rsid w:val="00542CE1"/>
    <w:rsid w:val="00546E2D"/>
    <w:rsid w:val="00552DC3"/>
    <w:rsid w:val="005570CE"/>
    <w:rsid w:val="00561259"/>
    <w:rsid w:val="005614DA"/>
    <w:rsid w:val="00561A61"/>
    <w:rsid w:val="00562F5E"/>
    <w:rsid w:val="005641B0"/>
    <w:rsid w:val="00565E10"/>
    <w:rsid w:val="0057197B"/>
    <w:rsid w:val="0057344E"/>
    <w:rsid w:val="00574737"/>
    <w:rsid w:val="00574A60"/>
    <w:rsid w:val="00577C75"/>
    <w:rsid w:val="0058188E"/>
    <w:rsid w:val="00587417"/>
    <w:rsid w:val="00592AAB"/>
    <w:rsid w:val="00593AD3"/>
    <w:rsid w:val="005961A2"/>
    <w:rsid w:val="0059735D"/>
    <w:rsid w:val="005A02C2"/>
    <w:rsid w:val="005A0ECC"/>
    <w:rsid w:val="005A10C6"/>
    <w:rsid w:val="005A2F60"/>
    <w:rsid w:val="005A4691"/>
    <w:rsid w:val="005B2241"/>
    <w:rsid w:val="005B2A49"/>
    <w:rsid w:val="005B373F"/>
    <w:rsid w:val="005B3944"/>
    <w:rsid w:val="005C3DC0"/>
    <w:rsid w:val="005C4DDC"/>
    <w:rsid w:val="005C6173"/>
    <w:rsid w:val="005C6669"/>
    <w:rsid w:val="005C7C8E"/>
    <w:rsid w:val="005E1C2C"/>
    <w:rsid w:val="005E4253"/>
    <w:rsid w:val="005F00EC"/>
    <w:rsid w:val="005F0781"/>
    <w:rsid w:val="005F3ABC"/>
    <w:rsid w:val="005F5A22"/>
    <w:rsid w:val="005F7438"/>
    <w:rsid w:val="0060197D"/>
    <w:rsid w:val="00607B34"/>
    <w:rsid w:val="00614723"/>
    <w:rsid w:val="006159E5"/>
    <w:rsid w:val="00616BF0"/>
    <w:rsid w:val="006179C4"/>
    <w:rsid w:val="006215A7"/>
    <w:rsid w:val="0062266F"/>
    <w:rsid w:val="00622F27"/>
    <w:rsid w:val="00623091"/>
    <w:rsid w:val="0062341B"/>
    <w:rsid w:val="00624248"/>
    <w:rsid w:val="006260AF"/>
    <w:rsid w:val="00627961"/>
    <w:rsid w:val="006312C8"/>
    <w:rsid w:val="00631863"/>
    <w:rsid w:val="00633014"/>
    <w:rsid w:val="006332DB"/>
    <w:rsid w:val="00640112"/>
    <w:rsid w:val="00640C09"/>
    <w:rsid w:val="00641F13"/>
    <w:rsid w:val="00644433"/>
    <w:rsid w:val="00645A07"/>
    <w:rsid w:val="00647D70"/>
    <w:rsid w:val="00650434"/>
    <w:rsid w:val="006542FF"/>
    <w:rsid w:val="00654D74"/>
    <w:rsid w:val="0065664D"/>
    <w:rsid w:val="00660E6B"/>
    <w:rsid w:val="0066265C"/>
    <w:rsid w:val="00662B9B"/>
    <w:rsid w:val="00664BDB"/>
    <w:rsid w:val="00665B8B"/>
    <w:rsid w:val="00666860"/>
    <w:rsid w:val="006678FA"/>
    <w:rsid w:val="00672569"/>
    <w:rsid w:val="00673488"/>
    <w:rsid w:val="00675CB9"/>
    <w:rsid w:val="00675E9F"/>
    <w:rsid w:val="00683441"/>
    <w:rsid w:val="00685D79"/>
    <w:rsid w:val="00685EB0"/>
    <w:rsid w:val="00685FF8"/>
    <w:rsid w:val="006927AD"/>
    <w:rsid w:val="00694589"/>
    <w:rsid w:val="00695124"/>
    <w:rsid w:val="00695B03"/>
    <w:rsid w:val="006A0CE9"/>
    <w:rsid w:val="006A5AA7"/>
    <w:rsid w:val="006B1674"/>
    <w:rsid w:val="006B5081"/>
    <w:rsid w:val="006C1778"/>
    <w:rsid w:val="006C3E85"/>
    <w:rsid w:val="006D18E3"/>
    <w:rsid w:val="006D2298"/>
    <w:rsid w:val="006D2826"/>
    <w:rsid w:val="006D4ABD"/>
    <w:rsid w:val="006E7308"/>
    <w:rsid w:val="006E74C7"/>
    <w:rsid w:val="006F1150"/>
    <w:rsid w:val="006F3C7D"/>
    <w:rsid w:val="006F76DB"/>
    <w:rsid w:val="007003A8"/>
    <w:rsid w:val="00700AB3"/>
    <w:rsid w:val="00700BC2"/>
    <w:rsid w:val="0070323F"/>
    <w:rsid w:val="007066D9"/>
    <w:rsid w:val="007069B2"/>
    <w:rsid w:val="00707CFE"/>
    <w:rsid w:val="00710B96"/>
    <w:rsid w:val="00711AB0"/>
    <w:rsid w:val="00713BD7"/>
    <w:rsid w:val="007156C9"/>
    <w:rsid w:val="00716335"/>
    <w:rsid w:val="00723172"/>
    <w:rsid w:val="00725B3C"/>
    <w:rsid w:val="00727ACF"/>
    <w:rsid w:val="0073153A"/>
    <w:rsid w:val="00740AAE"/>
    <w:rsid w:val="007426D4"/>
    <w:rsid w:val="00744B34"/>
    <w:rsid w:val="0074526B"/>
    <w:rsid w:val="00746947"/>
    <w:rsid w:val="007470CC"/>
    <w:rsid w:val="007514F7"/>
    <w:rsid w:val="0075312D"/>
    <w:rsid w:val="007543A2"/>
    <w:rsid w:val="00755407"/>
    <w:rsid w:val="00755B2C"/>
    <w:rsid w:val="00756E0A"/>
    <w:rsid w:val="0076292F"/>
    <w:rsid w:val="00770106"/>
    <w:rsid w:val="007727A6"/>
    <w:rsid w:val="00773528"/>
    <w:rsid w:val="00773C7A"/>
    <w:rsid w:val="00775E19"/>
    <w:rsid w:val="00777A88"/>
    <w:rsid w:val="00780248"/>
    <w:rsid w:val="00781B78"/>
    <w:rsid w:val="00783340"/>
    <w:rsid w:val="007844BC"/>
    <w:rsid w:val="007853B5"/>
    <w:rsid w:val="00785ADF"/>
    <w:rsid w:val="00795103"/>
    <w:rsid w:val="007959C1"/>
    <w:rsid w:val="007972F8"/>
    <w:rsid w:val="00797C84"/>
    <w:rsid w:val="007A1680"/>
    <w:rsid w:val="007A1CDF"/>
    <w:rsid w:val="007A3046"/>
    <w:rsid w:val="007B23C6"/>
    <w:rsid w:val="007B448D"/>
    <w:rsid w:val="007C13BA"/>
    <w:rsid w:val="007C5108"/>
    <w:rsid w:val="007C6FE1"/>
    <w:rsid w:val="007D6C49"/>
    <w:rsid w:val="007E1AE4"/>
    <w:rsid w:val="007E1D30"/>
    <w:rsid w:val="007E36AB"/>
    <w:rsid w:val="007E63E8"/>
    <w:rsid w:val="007E76EC"/>
    <w:rsid w:val="007F1A61"/>
    <w:rsid w:val="008002F4"/>
    <w:rsid w:val="00800940"/>
    <w:rsid w:val="008014E6"/>
    <w:rsid w:val="00801C6D"/>
    <w:rsid w:val="00801D0C"/>
    <w:rsid w:val="00802F4B"/>
    <w:rsid w:val="0080609D"/>
    <w:rsid w:val="00806D6D"/>
    <w:rsid w:val="00811B26"/>
    <w:rsid w:val="00817035"/>
    <w:rsid w:val="00817664"/>
    <w:rsid w:val="008234BC"/>
    <w:rsid w:val="00823614"/>
    <w:rsid w:val="00823F4B"/>
    <w:rsid w:val="00825EC1"/>
    <w:rsid w:val="00831090"/>
    <w:rsid w:val="00833352"/>
    <w:rsid w:val="00833DD9"/>
    <w:rsid w:val="008356B4"/>
    <w:rsid w:val="0083596F"/>
    <w:rsid w:val="0084156C"/>
    <w:rsid w:val="0084505B"/>
    <w:rsid w:val="008464F2"/>
    <w:rsid w:val="0084738F"/>
    <w:rsid w:val="0084766F"/>
    <w:rsid w:val="00850406"/>
    <w:rsid w:val="00852FCF"/>
    <w:rsid w:val="008532CE"/>
    <w:rsid w:val="008539DF"/>
    <w:rsid w:val="00854CFB"/>
    <w:rsid w:val="00871779"/>
    <w:rsid w:val="008719B4"/>
    <w:rsid w:val="00873B5B"/>
    <w:rsid w:val="0087569C"/>
    <w:rsid w:val="00881E3E"/>
    <w:rsid w:val="00885A75"/>
    <w:rsid w:val="008868BF"/>
    <w:rsid w:val="0088691E"/>
    <w:rsid w:val="00890683"/>
    <w:rsid w:val="0089749F"/>
    <w:rsid w:val="00897590"/>
    <w:rsid w:val="00897C0F"/>
    <w:rsid w:val="008A0014"/>
    <w:rsid w:val="008A1A92"/>
    <w:rsid w:val="008A2006"/>
    <w:rsid w:val="008A2149"/>
    <w:rsid w:val="008A5D31"/>
    <w:rsid w:val="008A608B"/>
    <w:rsid w:val="008B24CB"/>
    <w:rsid w:val="008B2D1B"/>
    <w:rsid w:val="008B56E8"/>
    <w:rsid w:val="008C03ED"/>
    <w:rsid w:val="008C09EC"/>
    <w:rsid w:val="008C0D8D"/>
    <w:rsid w:val="008C3055"/>
    <w:rsid w:val="008C319F"/>
    <w:rsid w:val="008C584C"/>
    <w:rsid w:val="008C614B"/>
    <w:rsid w:val="008D0DCA"/>
    <w:rsid w:val="008D1263"/>
    <w:rsid w:val="008D1380"/>
    <w:rsid w:val="008D25CD"/>
    <w:rsid w:val="008E10A1"/>
    <w:rsid w:val="008E2F51"/>
    <w:rsid w:val="008E424D"/>
    <w:rsid w:val="008E4E94"/>
    <w:rsid w:val="008E7191"/>
    <w:rsid w:val="008E7335"/>
    <w:rsid w:val="008F03BF"/>
    <w:rsid w:val="008F0998"/>
    <w:rsid w:val="008F23A1"/>
    <w:rsid w:val="008F59BF"/>
    <w:rsid w:val="008F6C4E"/>
    <w:rsid w:val="00900B3E"/>
    <w:rsid w:val="00903F0F"/>
    <w:rsid w:val="00904D93"/>
    <w:rsid w:val="00906CC7"/>
    <w:rsid w:val="00910446"/>
    <w:rsid w:val="009104F9"/>
    <w:rsid w:val="0091148A"/>
    <w:rsid w:val="0091624E"/>
    <w:rsid w:val="00917AAD"/>
    <w:rsid w:val="00923A9C"/>
    <w:rsid w:val="00925A5C"/>
    <w:rsid w:val="00930F24"/>
    <w:rsid w:val="00933AF4"/>
    <w:rsid w:val="00934859"/>
    <w:rsid w:val="0094387C"/>
    <w:rsid w:val="00945981"/>
    <w:rsid w:val="00953E6E"/>
    <w:rsid w:val="00954191"/>
    <w:rsid w:val="009541C7"/>
    <w:rsid w:val="009549D4"/>
    <w:rsid w:val="00956625"/>
    <w:rsid w:val="00956705"/>
    <w:rsid w:val="00957C48"/>
    <w:rsid w:val="0096472A"/>
    <w:rsid w:val="009652E7"/>
    <w:rsid w:val="00967BB5"/>
    <w:rsid w:val="0097064C"/>
    <w:rsid w:val="0097246E"/>
    <w:rsid w:val="00973B9C"/>
    <w:rsid w:val="00976FE3"/>
    <w:rsid w:val="00977726"/>
    <w:rsid w:val="0098043F"/>
    <w:rsid w:val="00980E53"/>
    <w:rsid w:val="00987836"/>
    <w:rsid w:val="00991342"/>
    <w:rsid w:val="00991F83"/>
    <w:rsid w:val="009956E6"/>
    <w:rsid w:val="00995AF8"/>
    <w:rsid w:val="00996771"/>
    <w:rsid w:val="009A33B8"/>
    <w:rsid w:val="009A4841"/>
    <w:rsid w:val="009A52A8"/>
    <w:rsid w:val="009A67F7"/>
    <w:rsid w:val="009A7047"/>
    <w:rsid w:val="009B4DDD"/>
    <w:rsid w:val="009B6599"/>
    <w:rsid w:val="009B66C6"/>
    <w:rsid w:val="009B726E"/>
    <w:rsid w:val="009C007A"/>
    <w:rsid w:val="009C07F4"/>
    <w:rsid w:val="009C4B42"/>
    <w:rsid w:val="009D2F02"/>
    <w:rsid w:val="009D458A"/>
    <w:rsid w:val="009E0F77"/>
    <w:rsid w:val="009E3F9F"/>
    <w:rsid w:val="009E69AE"/>
    <w:rsid w:val="009F254E"/>
    <w:rsid w:val="009F62E0"/>
    <w:rsid w:val="009F6E67"/>
    <w:rsid w:val="009F6E8A"/>
    <w:rsid w:val="00A00F75"/>
    <w:rsid w:val="00A02BC0"/>
    <w:rsid w:val="00A03588"/>
    <w:rsid w:val="00A05FBB"/>
    <w:rsid w:val="00A06324"/>
    <w:rsid w:val="00A068C5"/>
    <w:rsid w:val="00A10A51"/>
    <w:rsid w:val="00A11237"/>
    <w:rsid w:val="00A207BD"/>
    <w:rsid w:val="00A221A9"/>
    <w:rsid w:val="00A223C3"/>
    <w:rsid w:val="00A25317"/>
    <w:rsid w:val="00A320A7"/>
    <w:rsid w:val="00A33520"/>
    <w:rsid w:val="00A35446"/>
    <w:rsid w:val="00A35E36"/>
    <w:rsid w:val="00A362A8"/>
    <w:rsid w:val="00A3738F"/>
    <w:rsid w:val="00A41A34"/>
    <w:rsid w:val="00A4319F"/>
    <w:rsid w:val="00A44FB4"/>
    <w:rsid w:val="00A5095B"/>
    <w:rsid w:val="00A54C68"/>
    <w:rsid w:val="00A558E0"/>
    <w:rsid w:val="00A60511"/>
    <w:rsid w:val="00A61E75"/>
    <w:rsid w:val="00A627D0"/>
    <w:rsid w:val="00A63258"/>
    <w:rsid w:val="00A63939"/>
    <w:rsid w:val="00A65424"/>
    <w:rsid w:val="00A6549B"/>
    <w:rsid w:val="00A70A63"/>
    <w:rsid w:val="00A8127A"/>
    <w:rsid w:val="00A81422"/>
    <w:rsid w:val="00A93D28"/>
    <w:rsid w:val="00A93D4F"/>
    <w:rsid w:val="00A958BE"/>
    <w:rsid w:val="00A971EA"/>
    <w:rsid w:val="00A9798E"/>
    <w:rsid w:val="00AA0E6A"/>
    <w:rsid w:val="00AA237E"/>
    <w:rsid w:val="00AA3E3D"/>
    <w:rsid w:val="00AA417E"/>
    <w:rsid w:val="00AA5498"/>
    <w:rsid w:val="00AA7617"/>
    <w:rsid w:val="00AB0F96"/>
    <w:rsid w:val="00AB2BB8"/>
    <w:rsid w:val="00AC2621"/>
    <w:rsid w:val="00AD0CF6"/>
    <w:rsid w:val="00AD4B98"/>
    <w:rsid w:val="00AD60CB"/>
    <w:rsid w:val="00AD7242"/>
    <w:rsid w:val="00AD7266"/>
    <w:rsid w:val="00AE1A19"/>
    <w:rsid w:val="00AE2343"/>
    <w:rsid w:val="00AE4C7E"/>
    <w:rsid w:val="00AF30FA"/>
    <w:rsid w:val="00AF53CF"/>
    <w:rsid w:val="00AF5DE1"/>
    <w:rsid w:val="00B010CF"/>
    <w:rsid w:val="00B034CA"/>
    <w:rsid w:val="00B05671"/>
    <w:rsid w:val="00B06CC4"/>
    <w:rsid w:val="00B07DD7"/>
    <w:rsid w:val="00B1293F"/>
    <w:rsid w:val="00B1390D"/>
    <w:rsid w:val="00B16BA5"/>
    <w:rsid w:val="00B170F7"/>
    <w:rsid w:val="00B26F95"/>
    <w:rsid w:val="00B3167C"/>
    <w:rsid w:val="00B37760"/>
    <w:rsid w:val="00B40AAC"/>
    <w:rsid w:val="00B43E43"/>
    <w:rsid w:val="00B43F6B"/>
    <w:rsid w:val="00B45DCC"/>
    <w:rsid w:val="00B469B6"/>
    <w:rsid w:val="00B47547"/>
    <w:rsid w:val="00B50BE3"/>
    <w:rsid w:val="00B53073"/>
    <w:rsid w:val="00B60E41"/>
    <w:rsid w:val="00B61C19"/>
    <w:rsid w:val="00B62A45"/>
    <w:rsid w:val="00B64959"/>
    <w:rsid w:val="00B71785"/>
    <w:rsid w:val="00B74C19"/>
    <w:rsid w:val="00B77624"/>
    <w:rsid w:val="00B80E59"/>
    <w:rsid w:val="00B822A4"/>
    <w:rsid w:val="00B8490A"/>
    <w:rsid w:val="00B871E9"/>
    <w:rsid w:val="00B92DA5"/>
    <w:rsid w:val="00B93DCD"/>
    <w:rsid w:val="00B940E1"/>
    <w:rsid w:val="00B946FC"/>
    <w:rsid w:val="00B951F9"/>
    <w:rsid w:val="00B95DDA"/>
    <w:rsid w:val="00B96B0B"/>
    <w:rsid w:val="00B97359"/>
    <w:rsid w:val="00B97C69"/>
    <w:rsid w:val="00BA6BE3"/>
    <w:rsid w:val="00BB1499"/>
    <w:rsid w:val="00BB390B"/>
    <w:rsid w:val="00BB520E"/>
    <w:rsid w:val="00BC40CE"/>
    <w:rsid w:val="00BD0289"/>
    <w:rsid w:val="00BD058F"/>
    <w:rsid w:val="00BD13D3"/>
    <w:rsid w:val="00BD46D3"/>
    <w:rsid w:val="00BD552A"/>
    <w:rsid w:val="00BD7100"/>
    <w:rsid w:val="00BE0ED1"/>
    <w:rsid w:val="00BE5BF4"/>
    <w:rsid w:val="00BF0882"/>
    <w:rsid w:val="00BF2933"/>
    <w:rsid w:val="00BF6834"/>
    <w:rsid w:val="00C01CE1"/>
    <w:rsid w:val="00C03B89"/>
    <w:rsid w:val="00C12908"/>
    <w:rsid w:val="00C164D8"/>
    <w:rsid w:val="00C25B35"/>
    <w:rsid w:val="00C2700C"/>
    <w:rsid w:val="00C27F13"/>
    <w:rsid w:val="00C32558"/>
    <w:rsid w:val="00C32D52"/>
    <w:rsid w:val="00C335B4"/>
    <w:rsid w:val="00C40083"/>
    <w:rsid w:val="00C40AC0"/>
    <w:rsid w:val="00C42CD0"/>
    <w:rsid w:val="00C43980"/>
    <w:rsid w:val="00C47CBF"/>
    <w:rsid w:val="00C527CF"/>
    <w:rsid w:val="00C57FB4"/>
    <w:rsid w:val="00C61BCD"/>
    <w:rsid w:val="00C650CE"/>
    <w:rsid w:val="00C70AC4"/>
    <w:rsid w:val="00C74290"/>
    <w:rsid w:val="00C74DB3"/>
    <w:rsid w:val="00C811D9"/>
    <w:rsid w:val="00C81F89"/>
    <w:rsid w:val="00C82791"/>
    <w:rsid w:val="00C852D4"/>
    <w:rsid w:val="00C91431"/>
    <w:rsid w:val="00C91E5E"/>
    <w:rsid w:val="00C97D59"/>
    <w:rsid w:val="00CA2C45"/>
    <w:rsid w:val="00CA50AC"/>
    <w:rsid w:val="00CA70B6"/>
    <w:rsid w:val="00CA7555"/>
    <w:rsid w:val="00CA783F"/>
    <w:rsid w:val="00CB15E1"/>
    <w:rsid w:val="00CB28B7"/>
    <w:rsid w:val="00CB5BFA"/>
    <w:rsid w:val="00CB62F6"/>
    <w:rsid w:val="00CC1E65"/>
    <w:rsid w:val="00CC3098"/>
    <w:rsid w:val="00CC52AE"/>
    <w:rsid w:val="00CC5F30"/>
    <w:rsid w:val="00CC7435"/>
    <w:rsid w:val="00CD30F3"/>
    <w:rsid w:val="00CD36C3"/>
    <w:rsid w:val="00CD4486"/>
    <w:rsid w:val="00CD5798"/>
    <w:rsid w:val="00CD7713"/>
    <w:rsid w:val="00CE1DC9"/>
    <w:rsid w:val="00CE3394"/>
    <w:rsid w:val="00CE6FD5"/>
    <w:rsid w:val="00CF52C4"/>
    <w:rsid w:val="00CF7A59"/>
    <w:rsid w:val="00D0087C"/>
    <w:rsid w:val="00D01741"/>
    <w:rsid w:val="00D03FE5"/>
    <w:rsid w:val="00D0599F"/>
    <w:rsid w:val="00D122A3"/>
    <w:rsid w:val="00D13397"/>
    <w:rsid w:val="00D14299"/>
    <w:rsid w:val="00D1598A"/>
    <w:rsid w:val="00D21868"/>
    <w:rsid w:val="00D41FCE"/>
    <w:rsid w:val="00D43CED"/>
    <w:rsid w:val="00D46AE2"/>
    <w:rsid w:val="00D47928"/>
    <w:rsid w:val="00D51A9C"/>
    <w:rsid w:val="00D53FE8"/>
    <w:rsid w:val="00D60CD5"/>
    <w:rsid w:val="00D629AA"/>
    <w:rsid w:val="00D63110"/>
    <w:rsid w:val="00D66175"/>
    <w:rsid w:val="00D707E4"/>
    <w:rsid w:val="00D71E8F"/>
    <w:rsid w:val="00D71F52"/>
    <w:rsid w:val="00D72782"/>
    <w:rsid w:val="00D742E2"/>
    <w:rsid w:val="00D763F0"/>
    <w:rsid w:val="00D80FD5"/>
    <w:rsid w:val="00D832AD"/>
    <w:rsid w:val="00D840B2"/>
    <w:rsid w:val="00D8555B"/>
    <w:rsid w:val="00D918CB"/>
    <w:rsid w:val="00D94ED6"/>
    <w:rsid w:val="00D963DD"/>
    <w:rsid w:val="00DB0367"/>
    <w:rsid w:val="00DB1E14"/>
    <w:rsid w:val="00DB2FE5"/>
    <w:rsid w:val="00DB3DDB"/>
    <w:rsid w:val="00DB4276"/>
    <w:rsid w:val="00DB4540"/>
    <w:rsid w:val="00DB758D"/>
    <w:rsid w:val="00DB779C"/>
    <w:rsid w:val="00DC0689"/>
    <w:rsid w:val="00DC246D"/>
    <w:rsid w:val="00DD6F1E"/>
    <w:rsid w:val="00DE0168"/>
    <w:rsid w:val="00DE09A2"/>
    <w:rsid w:val="00DE2CAB"/>
    <w:rsid w:val="00DF0EA0"/>
    <w:rsid w:val="00DF198F"/>
    <w:rsid w:val="00DF27B1"/>
    <w:rsid w:val="00DF5345"/>
    <w:rsid w:val="00E040CE"/>
    <w:rsid w:val="00E043F5"/>
    <w:rsid w:val="00E053B7"/>
    <w:rsid w:val="00E115D8"/>
    <w:rsid w:val="00E11805"/>
    <w:rsid w:val="00E118DC"/>
    <w:rsid w:val="00E12123"/>
    <w:rsid w:val="00E13631"/>
    <w:rsid w:val="00E15F56"/>
    <w:rsid w:val="00E17501"/>
    <w:rsid w:val="00E20262"/>
    <w:rsid w:val="00E23967"/>
    <w:rsid w:val="00E37480"/>
    <w:rsid w:val="00E43566"/>
    <w:rsid w:val="00E4631D"/>
    <w:rsid w:val="00E47C7D"/>
    <w:rsid w:val="00E502B5"/>
    <w:rsid w:val="00E508D6"/>
    <w:rsid w:val="00E51B55"/>
    <w:rsid w:val="00E53DFD"/>
    <w:rsid w:val="00E60235"/>
    <w:rsid w:val="00E602A0"/>
    <w:rsid w:val="00E63677"/>
    <w:rsid w:val="00E668D9"/>
    <w:rsid w:val="00E66985"/>
    <w:rsid w:val="00E74CE1"/>
    <w:rsid w:val="00E75D5A"/>
    <w:rsid w:val="00E77E48"/>
    <w:rsid w:val="00E80EE6"/>
    <w:rsid w:val="00E84AB9"/>
    <w:rsid w:val="00E87AF6"/>
    <w:rsid w:val="00E9633E"/>
    <w:rsid w:val="00EA2638"/>
    <w:rsid w:val="00EA3133"/>
    <w:rsid w:val="00EA454B"/>
    <w:rsid w:val="00EA5A1F"/>
    <w:rsid w:val="00EA7A75"/>
    <w:rsid w:val="00EB0D00"/>
    <w:rsid w:val="00EB18B7"/>
    <w:rsid w:val="00EB25A9"/>
    <w:rsid w:val="00EB33FB"/>
    <w:rsid w:val="00EB44B6"/>
    <w:rsid w:val="00EB766C"/>
    <w:rsid w:val="00EC013D"/>
    <w:rsid w:val="00EC086E"/>
    <w:rsid w:val="00EC0D28"/>
    <w:rsid w:val="00EC23EC"/>
    <w:rsid w:val="00EC28FC"/>
    <w:rsid w:val="00EC3CAF"/>
    <w:rsid w:val="00EC3E41"/>
    <w:rsid w:val="00EC4B68"/>
    <w:rsid w:val="00EC4F62"/>
    <w:rsid w:val="00EC55A2"/>
    <w:rsid w:val="00ED1FEB"/>
    <w:rsid w:val="00ED2536"/>
    <w:rsid w:val="00EE2A8B"/>
    <w:rsid w:val="00EF07BD"/>
    <w:rsid w:val="00EF5606"/>
    <w:rsid w:val="00EF604B"/>
    <w:rsid w:val="00EF6BD7"/>
    <w:rsid w:val="00EF7A07"/>
    <w:rsid w:val="00F04DBB"/>
    <w:rsid w:val="00F0710A"/>
    <w:rsid w:val="00F071BD"/>
    <w:rsid w:val="00F07950"/>
    <w:rsid w:val="00F10EB3"/>
    <w:rsid w:val="00F13B82"/>
    <w:rsid w:val="00F16AE8"/>
    <w:rsid w:val="00F17E9F"/>
    <w:rsid w:val="00F22371"/>
    <w:rsid w:val="00F24B0F"/>
    <w:rsid w:val="00F26199"/>
    <w:rsid w:val="00F26BDA"/>
    <w:rsid w:val="00F31206"/>
    <w:rsid w:val="00F32552"/>
    <w:rsid w:val="00F378A2"/>
    <w:rsid w:val="00F42B98"/>
    <w:rsid w:val="00F460BA"/>
    <w:rsid w:val="00F4676C"/>
    <w:rsid w:val="00F46EAF"/>
    <w:rsid w:val="00F50F58"/>
    <w:rsid w:val="00F543FA"/>
    <w:rsid w:val="00F55542"/>
    <w:rsid w:val="00F60C5F"/>
    <w:rsid w:val="00F60F68"/>
    <w:rsid w:val="00F647A2"/>
    <w:rsid w:val="00F66409"/>
    <w:rsid w:val="00F6646A"/>
    <w:rsid w:val="00F67935"/>
    <w:rsid w:val="00F71082"/>
    <w:rsid w:val="00F73CE1"/>
    <w:rsid w:val="00F75080"/>
    <w:rsid w:val="00F760B8"/>
    <w:rsid w:val="00F779B2"/>
    <w:rsid w:val="00F80070"/>
    <w:rsid w:val="00F806A2"/>
    <w:rsid w:val="00F80B99"/>
    <w:rsid w:val="00F828EB"/>
    <w:rsid w:val="00F83CEF"/>
    <w:rsid w:val="00F86124"/>
    <w:rsid w:val="00F861CB"/>
    <w:rsid w:val="00F87A9B"/>
    <w:rsid w:val="00F92C54"/>
    <w:rsid w:val="00F9760B"/>
    <w:rsid w:val="00FA4278"/>
    <w:rsid w:val="00FA4C60"/>
    <w:rsid w:val="00FA6602"/>
    <w:rsid w:val="00FB1133"/>
    <w:rsid w:val="00FB4E8E"/>
    <w:rsid w:val="00FB5483"/>
    <w:rsid w:val="00FB7043"/>
    <w:rsid w:val="00FB720E"/>
    <w:rsid w:val="00FC504B"/>
    <w:rsid w:val="00FC5578"/>
    <w:rsid w:val="00FC59FF"/>
    <w:rsid w:val="00FC741C"/>
    <w:rsid w:val="00FD1C9A"/>
    <w:rsid w:val="00FD467F"/>
    <w:rsid w:val="00FD7840"/>
    <w:rsid w:val="00FE39CF"/>
    <w:rsid w:val="00FE3D00"/>
    <w:rsid w:val="00FF1120"/>
    <w:rsid w:val="00FF1492"/>
    <w:rsid w:val="00FF1D7E"/>
    <w:rsid w:val="00FF48C7"/>
    <w:rsid w:val="00FF4D91"/>
    <w:rsid w:val="00FF4DEE"/>
    <w:rsid w:val="00FF63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AC25F"/>
  <w15:chartTrackingRefBased/>
  <w15:docId w15:val="{D288AE70-4A4B-48AF-88A6-A0DBB06E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B400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B400D"/>
    <w:pPr>
      <w:keepNext/>
      <w:spacing w:before="100" w:beforeAutospacing="1" w:after="100" w:afterAutospacing="1" w:line="360" w:lineRule="auto"/>
      <w:jc w:val="center"/>
      <w:outlineLvl w:val="0"/>
    </w:pPr>
    <w:rPr>
      <w:rFonts w:ascii="Arial" w:eastAsiaTheme="majorEastAsia" w:hAnsi="Arial" w:cstheme="majorBidi"/>
      <w:b/>
      <w:bCs/>
      <w:caps/>
      <w:kern w:val="32"/>
      <w:szCs w:val="32"/>
      <w:lang w:val="es-MX" w:eastAsia="en-US"/>
    </w:rPr>
  </w:style>
  <w:style w:type="paragraph" w:styleId="Ttulo3">
    <w:name w:val="heading 3"/>
    <w:basedOn w:val="Normal"/>
    <w:next w:val="Normal"/>
    <w:link w:val="Ttulo3Car"/>
    <w:uiPriority w:val="9"/>
    <w:semiHidden/>
    <w:unhideWhenUsed/>
    <w:qFormat/>
    <w:rsid w:val="00A33520"/>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2B400D"/>
    <w:pPr>
      <w:ind w:left="720"/>
      <w:contextualSpacing/>
    </w:pPr>
  </w:style>
  <w:style w:type="paragraph" w:styleId="Encabezado">
    <w:name w:val="header"/>
    <w:basedOn w:val="Normal"/>
    <w:link w:val="EncabezadoCar"/>
    <w:uiPriority w:val="99"/>
    <w:unhideWhenUsed/>
    <w:rsid w:val="002B400D"/>
    <w:pPr>
      <w:tabs>
        <w:tab w:val="center" w:pos="4419"/>
        <w:tab w:val="right" w:pos="8838"/>
      </w:tabs>
    </w:pPr>
  </w:style>
  <w:style w:type="character" w:customStyle="1" w:styleId="EncabezadoCar">
    <w:name w:val="Encabezado Car"/>
    <w:basedOn w:val="Fuentedeprrafopredeter"/>
    <w:link w:val="Encabezado"/>
    <w:uiPriority w:val="99"/>
    <w:rsid w:val="002B400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qFormat/>
    <w:rsid w:val="002B400D"/>
    <w:pPr>
      <w:tabs>
        <w:tab w:val="center" w:pos="4419"/>
        <w:tab w:val="right" w:pos="8838"/>
      </w:tabs>
    </w:pPr>
  </w:style>
  <w:style w:type="character" w:customStyle="1" w:styleId="PiedepginaCar">
    <w:name w:val="Pie de página Car"/>
    <w:basedOn w:val="Fuentedeprrafopredeter"/>
    <w:link w:val="Piedepgina"/>
    <w:uiPriority w:val="99"/>
    <w:rsid w:val="002B400D"/>
    <w:rPr>
      <w:rFonts w:ascii="Times New Roman" w:eastAsia="Times New Roman" w:hAnsi="Times New Roman" w:cs="Times New Roman"/>
      <w:sz w:val="24"/>
      <w:szCs w:val="24"/>
      <w:lang w:val="es-ES" w:eastAsia="es-ES"/>
    </w:rPr>
  </w:style>
  <w:style w:type="paragraph" w:styleId="NormalWeb">
    <w:name w:val="Normal (Web)"/>
    <w:aliases w:val="Normal (Web) Car1,Normal (Web) Car Car,Normal (Web) Car Car Car,Normal (Web) Car1 Car Car,Normal (Web) Car Car Car Car,Normal (Web) Car Car Car Car Car Car Car Car Car Car,Car Car Car,Car Car Car Car Car,Car,Car Car,Car Car C,C,Car Car Ca"/>
    <w:basedOn w:val="Normal"/>
    <w:link w:val="NormalWebCar"/>
    <w:uiPriority w:val="99"/>
    <w:qFormat/>
    <w:rsid w:val="002B400D"/>
    <w:pPr>
      <w:spacing w:before="100" w:beforeAutospacing="1" w:after="100" w:afterAutospacing="1"/>
    </w:pPr>
    <w:rPr>
      <w:lang w:val="es-MX" w:eastAsia="es-MX"/>
    </w:rPr>
  </w:style>
  <w:style w:type="character" w:customStyle="1" w:styleId="NormalWebCar">
    <w:name w:val="Normal (Web) Car"/>
    <w:aliases w:val="Normal (Web) Car1 Car,Normal (Web) Car Car Car1,Normal (Web) Car Car Car Car1,Normal (Web) Car1 Car Car Car,Normal (Web) Car Car Car Car Car,Normal (Web) Car Car Car Car Car Car Car Car Car Car Car,Car Car Car Car,Car Car1,Car Car Car1"/>
    <w:basedOn w:val="Fuentedeprrafopredeter"/>
    <w:link w:val="NormalWeb"/>
    <w:uiPriority w:val="99"/>
    <w:locked/>
    <w:rsid w:val="002B400D"/>
    <w:rPr>
      <w:rFonts w:ascii="Times New Roman" w:eastAsia="Times New Roman" w:hAnsi="Times New Roman" w:cs="Times New Roman"/>
      <w:sz w:val="24"/>
      <w:szCs w:val="24"/>
      <w:lang w:eastAsia="es-MX"/>
    </w:rPr>
  </w:style>
  <w:style w:type="paragraph" w:styleId="Textonotapie">
    <w:name w:val="footnote text"/>
    <w:aliases w:val="Footnote reference,FA Fu,Footnote Text Char Char Char Char Char,Footnote Text Char Char Char Char,Footnote Text Char Char Char,Footnote Text Cha,FA Fußnotentext,FA Fu?notentext,Footnote Text Char Char,FA Fuﬂnotentext,Ca,Ca1,FA Fu?notente"/>
    <w:basedOn w:val="Normal"/>
    <w:link w:val="TextonotapieCar"/>
    <w:uiPriority w:val="99"/>
    <w:unhideWhenUsed/>
    <w:qFormat/>
    <w:rsid w:val="002B400D"/>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2B400D"/>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julio,Ref"/>
    <w:basedOn w:val="Fuentedeprrafopredeter"/>
    <w:link w:val="4GChar"/>
    <w:uiPriority w:val="99"/>
    <w:unhideWhenUsed/>
    <w:qFormat/>
    <w:rsid w:val="002B400D"/>
    <w:rPr>
      <w:vertAlign w:val="superscript"/>
    </w:rPr>
  </w:style>
  <w:style w:type="paragraph" w:customStyle="1" w:styleId="Default">
    <w:name w:val="Default"/>
    <w:qFormat/>
    <w:rsid w:val="002B400D"/>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basedOn w:val="Fuentedeprrafopredeter"/>
    <w:link w:val="Prrafodelista"/>
    <w:uiPriority w:val="34"/>
    <w:locked/>
    <w:rsid w:val="002B400D"/>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B400D"/>
    <w:pPr>
      <w:jc w:val="both"/>
    </w:pPr>
    <w:rPr>
      <w:rFonts w:asciiTheme="minorHAnsi" w:eastAsiaTheme="minorHAnsi" w:hAnsiTheme="minorHAnsi" w:cstheme="minorBidi"/>
      <w:sz w:val="22"/>
      <w:szCs w:val="22"/>
      <w:vertAlign w:val="superscript"/>
      <w:lang w:val="es-MX" w:eastAsia="en-US"/>
    </w:rPr>
  </w:style>
  <w:style w:type="character" w:customStyle="1" w:styleId="Ttulo1Car">
    <w:name w:val="Título 1 Car"/>
    <w:basedOn w:val="Fuentedeprrafopredeter"/>
    <w:link w:val="Ttulo1"/>
    <w:uiPriority w:val="9"/>
    <w:rsid w:val="002B400D"/>
    <w:rPr>
      <w:rFonts w:ascii="Arial" w:eastAsiaTheme="majorEastAsia" w:hAnsi="Arial" w:cstheme="majorBidi"/>
      <w:b/>
      <w:bCs/>
      <w:caps/>
      <w:kern w:val="32"/>
      <w:sz w:val="24"/>
      <w:szCs w:val="32"/>
    </w:rPr>
  </w:style>
  <w:style w:type="table" w:styleId="Tablaconcuadrcula">
    <w:name w:val="Table Grid"/>
    <w:basedOn w:val="Tablanormal"/>
    <w:uiPriority w:val="39"/>
    <w:rsid w:val="002B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2B400D"/>
    <w:rPr>
      <w:lang w:val="es-ES_tradnl"/>
    </w:rPr>
  </w:style>
  <w:style w:type="paragraph" w:customStyle="1" w:styleId="Cuerpo">
    <w:name w:val="Cuerpo"/>
    <w:rsid w:val="002B400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rPr>
  </w:style>
  <w:style w:type="character" w:styleId="Hipervnculo">
    <w:name w:val="Hyperlink"/>
    <w:basedOn w:val="Fuentedeprrafopredeter"/>
    <w:uiPriority w:val="99"/>
    <w:unhideWhenUsed/>
    <w:rsid w:val="002B400D"/>
    <w:rPr>
      <w:color w:val="0563C1" w:themeColor="hyperlink"/>
      <w:u w:val="single"/>
    </w:rPr>
  </w:style>
  <w:style w:type="paragraph" w:styleId="TtuloTDC">
    <w:name w:val="TOC Heading"/>
    <w:basedOn w:val="Ttulo1"/>
    <w:next w:val="Normal"/>
    <w:uiPriority w:val="39"/>
    <w:unhideWhenUsed/>
    <w:qFormat/>
    <w:rsid w:val="002B400D"/>
    <w:pPr>
      <w:keepLines/>
      <w:spacing w:before="240" w:beforeAutospacing="0" w:after="0" w:afterAutospacing="0" w:line="259" w:lineRule="auto"/>
      <w:jc w:val="left"/>
      <w:outlineLvl w:val="9"/>
    </w:pPr>
    <w:rPr>
      <w:rFonts w:asciiTheme="majorHAnsi" w:hAnsiTheme="majorHAnsi"/>
      <w:b w:val="0"/>
      <w:bCs w:val="0"/>
      <w:caps w:val="0"/>
      <w:color w:val="2F5496" w:themeColor="accent1" w:themeShade="BF"/>
      <w:kern w:val="0"/>
      <w:sz w:val="32"/>
      <w:lang w:eastAsia="es-MX"/>
    </w:rPr>
  </w:style>
  <w:style w:type="paragraph" w:styleId="TDC1">
    <w:name w:val="toc 1"/>
    <w:basedOn w:val="Normal"/>
    <w:next w:val="Normal"/>
    <w:autoRedefine/>
    <w:uiPriority w:val="39"/>
    <w:unhideWhenUsed/>
    <w:rsid w:val="002B400D"/>
    <w:pPr>
      <w:spacing w:after="100"/>
    </w:pPr>
  </w:style>
  <w:style w:type="character" w:customStyle="1" w:styleId="Ttulo3Car">
    <w:name w:val="Título 3 Car"/>
    <w:basedOn w:val="Fuentedeprrafopredeter"/>
    <w:link w:val="Ttulo3"/>
    <w:uiPriority w:val="9"/>
    <w:semiHidden/>
    <w:rsid w:val="00A33520"/>
    <w:rPr>
      <w:rFonts w:asciiTheme="majorHAnsi" w:eastAsiaTheme="majorEastAsia" w:hAnsiTheme="majorHAnsi" w:cstheme="majorBidi"/>
      <w:color w:val="1F3763" w:themeColor="accent1" w:themeShade="7F"/>
      <w:sz w:val="24"/>
      <w:szCs w:val="24"/>
      <w:lang w:val="es-ES" w:eastAsia="es-ES"/>
    </w:rPr>
  </w:style>
  <w:style w:type="character" w:customStyle="1" w:styleId="apple-converted-space">
    <w:name w:val="apple-converted-space"/>
    <w:basedOn w:val="Fuentedeprrafopredeter"/>
    <w:rsid w:val="00A33520"/>
  </w:style>
  <w:style w:type="character" w:customStyle="1" w:styleId="PARRAFOSENTENCIACar">
    <w:name w:val="PARRAFO SENTENCIA Car"/>
    <w:link w:val="PARRAFOSENTENCIA"/>
    <w:locked/>
    <w:rsid w:val="00A33520"/>
    <w:rPr>
      <w:rFonts w:ascii="Arial" w:eastAsia="Times New Roman" w:hAnsi="Arial" w:cs="Arial"/>
      <w:sz w:val="28"/>
      <w:szCs w:val="27"/>
      <w:lang w:val="es-ES" w:eastAsia="es-ES"/>
    </w:rPr>
  </w:style>
  <w:style w:type="paragraph" w:customStyle="1" w:styleId="PARRAFOSENTENCIA">
    <w:name w:val="PARRAFO SENTENCIA"/>
    <w:basedOn w:val="Normal"/>
    <w:link w:val="PARRAFOSENTENCIACar"/>
    <w:qFormat/>
    <w:rsid w:val="00A33520"/>
    <w:pPr>
      <w:spacing w:before="100" w:beforeAutospacing="1" w:after="100" w:afterAutospacing="1" w:line="360" w:lineRule="auto"/>
      <w:ind w:firstLine="709"/>
      <w:jc w:val="both"/>
    </w:pPr>
    <w:rPr>
      <w:rFonts w:ascii="Arial" w:hAnsi="Arial" w:cs="Arial"/>
      <w:sz w:val="28"/>
      <w:szCs w:val="27"/>
    </w:rPr>
  </w:style>
  <w:style w:type="paragraph" w:styleId="Textodeglobo">
    <w:name w:val="Balloon Text"/>
    <w:basedOn w:val="Normal"/>
    <w:link w:val="TextodegloboCar"/>
    <w:uiPriority w:val="99"/>
    <w:semiHidden/>
    <w:unhideWhenUsed/>
    <w:rsid w:val="008333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35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5F7438"/>
    <w:rPr>
      <w:sz w:val="16"/>
      <w:szCs w:val="16"/>
    </w:rPr>
  </w:style>
  <w:style w:type="paragraph" w:styleId="Textocomentario">
    <w:name w:val="annotation text"/>
    <w:basedOn w:val="Normal"/>
    <w:link w:val="TextocomentarioCar"/>
    <w:uiPriority w:val="99"/>
    <w:semiHidden/>
    <w:unhideWhenUsed/>
    <w:rsid w:val="005F7438"/>
    <w:rPr>
      <w:sz w:val="20"/>
      <w:szCs w:val="20"/>
    </w:rPr>
  </w:style>
  <w:style w:type="character" w:customStyle="1" w:styleId="TextocomentarioCar">
    <w:name w:val="Texto comentario Car"/>
    <w:basedOn w:val="Fuentedeprrafopredeter"/>
    <w:link w:val="Textocomentario"/>
    <w:uiPriority w:val="99"/>
    <w:semiHidden/>
    <w:rsid w:val="005F743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438"/>
    <w:rPr>
      <w:b/>
      <w:bCs/>
    </w:rPr>
  </w:style>
  <w:style w:type="character" w:customStyle="1" w:styleId="AsuntodelcomentarioCar">
    <w:name w:val="Asunto del comentario Car"/>
    <w:basedOn w:val="TextocomentarioCar"/>
    <w:link w:val="Asuntodelcomentario"/>
    <w:uiPriority w:val="99"/>
    <w:semiHidden/>
    <w:rsid w:val="005F7438"/>
    <w:rPr>
      <w:rFonts w:ascii="Times New Roman" w:eastAsia="Times New Roman" w:hAnsi="Times New Roman" w:cs="Times New Roman"/>
      <w:b/>
      <w:bCs/>
      <w:sz w:val="20"/>
      <w:szCs w:val="20"/>
      <w:lang w:val="es-ES" w:eastAsia="es-ES"/>
    </w:rPr>
  </w:style>
  <w:style w:type="paragraph" w:customStyle="1" w:styleId="corte4fondo">
    <w:name w:val="corte4 fondo"/>
    <w:basedOn w:val="Normal"/>
    <w:link w:val="corte4fondoCar2"/>
    <w:qFormat/>
    <w:rsid w:val="007A1CDF"/>
    <w:pPr>
      <w:spacing w:line="360" w:lineRule="auto"/>
      <w:ind w:firstLine="709"/>
      <w:jc w:val="both"/>
    </w:pPr>
    <w:rPr>
      <w:rFonts w:ascii="Arial" w:hAnsi="Arial"/>
      <w:sz w:val="30"/>
      <w:szCs w:val="20"/>
      <w:lang w:val="es-MX"/>
    </w:rPr>
  </w:style>
  <w:style w:type="character" w:customStyle="1" w:styleId="corte4fondoCar2">
    <w:name w:val="corte4 fondo Car2"/>
    <w:link w:val="corte4fondo"/>
    <w:locked/>
    <w:rsid w:val="007A1CDF"/>
    <w:rPr>
      <w:rFonts w:ascii="Arial" w:eastAsia="Times New Roman" w:hAnsi="Arial" w:cs="Times New Roman"/>
      <w:sz w:val="30"/>
      <w:szCs w:val="20"/>
      <w:lang w:eastAsia="es-ES"/>
    </w:rPr>
  </w:style>
  <w:style w:type="paragraph" w:styleId="Revisin">
    <w:name w:val="Revision"/>
    <w:hidden/>
    <w:uiPriority w:val="99"/>
    <w:semiHidden/>
    <w:rsid w:val="00F543FA"/>
    <w:pPr>
      <w:spacing w:after="0"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2D08D2"/>
    <w:rPr>
      <w:color w:val="954F72" w:themeColor="followedHyperlink"/>
      <w:u w:val="single"/>
    </w:rPr>
  </w:style>
  <w:style w:type="paragraph" w:styleId="Sinespaciado">
    <w:name w:val="No Spacing"/>
    <w:uiPriority w:val="1"/>
    <w:qFormat/>
    <w:rsid w:val="00A54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61374">
      <w:bodyDiv w:val="1"/>
      <w:marLeft w:val="0"/>
      <w:marRight w:val="0"/>
      <w:marTop w:val="0"/>
      <w:marBottom w:val="0"/>
      <w:divBdr>
        <w:top w:val="none" w:sz="0" w:space="0" w:color="auto"/>
        <w:left w:val="none" w:sz="0" w:space="0" w:color="auto"/>
        <w:bottom w:val="none" w:sz="0" w:space="0" w:color="auto"/>
        <w:right w:val="none" w:sz="0" w:space="0" w:color="auto"/>
      </w:divBdr>
    </w:div>
    <w:div w:id="923732483">
      <w:bodyDiv w:val="1"/>
      <w:marLeft w:val="0"/>
      <w:marRight w:val="0"/>
      <w:marTop w:val="0"/>
      <w:marBottom w:val="0"/>
      <w:divBdr>
        <w:top w:val="none" w:sz="0" w:space="0" w:color="auto"/>
        <w:left w:val="none" w:sz="0" w:space="0" w:color="auto"/>
        <w:bottom w:val="none" w:sz="0" w:space="0" w:color="auto"/>
        <w:right w:val="none" w:sz="0" w:space="0" w:color="auto"/>
      </w:divBdr>
    </w:div>
    <w:div w:id="934098194">
      <w:bodyDiv w:val="1"/>
      <w:marLeft w:val="0"/>
      <w:marRight w:val="0"/>
      <w:marTop w:val="0"/>
      <w:marBottom w:val="0"/>
      <w:divBdr>
        <w:top w:val="none" w:sz="0" w:space="0" w:color="auto"/>
        <w:left w:val="none" w:sz="0" w:space="0" w:color="auto"/>
        <w:bottom w:val="none" w:sz="0" w:space="0" w:color="auto"/>
        <w:right w:val="none" w:sz="0" w:space="0" w:color="auto"/>
      </w:divBdr>
      <w:divsChild>
        <w:div w:id="2065517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207773">
              <w:marLeft w:val="0"/>
              <w:marRight w:val="0"/>
              <w:marTop w:val="0"/>
              <w:marBottom w:val="0"/>
              <w:divBdr>
                <w:top w:val="none" w:sz="0" w:space="0" w:color="auto"/>
                <w:left w:val="none" w:sz="0" w:space="0" w:color="auto"/>
                <w:bottom w:val="none" w:sz="0" w:space="0" w:color="auto"/>
                <w:right w:val="none" w:sz="0" w:space="0" w:color="auto"/>
              </w:divBdr>
              <w:divsChild>
                <w:div w:id="548224301">
                  <w:marLeft w:val="0"/>
                  <w:marRight w:val="0"/>
                  <w:marTop w:val="0"/>
                  <w:marBottom w:val="0"/>
                  <w:divBdr>
                    <w:top w:val="none" w:sz="0" w:space="0" w:color="auto"/>
                    <w:left w:val="none" w:sz="0" w:space="0" w:color="auto"/>
                    <w:bottom w:val="none" w:sz="0" w:space="0" w:color="auto"/>
                    <w:right w:val="none" w:sz="0" w:space="0" w:color="auto"/>
                  </w:divBdr>
                  <w:divsChild>
                    <w:div w:id="485902765">
                      <w:marLeft w:val="0"/>
                      <w:marRight w:val="0"/>
                      <w:marTop w:val="0"/>
                      <w:marBottom w:val="0"/>
                      <w:divBdr>
                        <w:top w:val="none" w:sz="0" w:space="0" w:color="auto"/>
                        <w:left w:val="none" w:sz="0" w:space="0" w:color="auto"/>
                        <w:bottom w:val="none" w:sz="0" w:space="0" w:color="auto"/>
                        <w:right w:val="none" w:sz="0" w:space="0" w:color="auto"/>
                      </w:divBdr>
                      <w:divsChild>
                        <w:div w:id="20508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893853">
      <w:bodyDiv w:val="1"/>
      <w:marLeft w:val="0"/>
      <w:marRight w:val="0"/>
      <w:marTop w:val="0"/>
      <w:marBottom w:val="0"/>
      <w:divBdr>
        <w:top w:val="none" w:sz="0" w:space="0" w:color="auto"/>
        <w:left w:val="none" w:sz="0" w:space="0" w:color="auto"/>
        <w:bottom w:val="none" w:sz="0" w:space="0" w:color="auto"/>
        <w:right w:val="none" w:sz="0" w:space="0" w:color="auto"/>
      </w:divBdr>
    </w:div>
    <w:div w:id="1858345419">
      <w:bodyDiv w:val="1"/>
      <w:marLeft w:val="0"/>
      <w:marRight w:val="0"/>
      <w:marTop w:val="0"/>
      <w:marBottom w:val="0"/>
      <w:divBdr>
        <w:top w:val="none" w:sz="0" w:space="0" w:color="auto"/>
        <w:left w:val="none" w:sz="0" w:space="0" w:color="auto"/>
        <w:bottom w:val="none" w:sz="0" w:space="0" w:color="auto"/>
        <w:right w:val="none" w:sz="0" w:space="0" w:color="auto"/>
      </w:divBdr>
    </w:div>
    <w:div w:id="1968315999">
      <w:bodyDiv w:val="1"/>
      <w:marLeft w:val="0"/>
      <w:marRight w:val="0"/>
      <w:marTop w:val="0"/>
      <w:marBottom w:val="0"/>
      <w:divBdr>
        <w:top w:val="none" w:sz="0" w:space="0" w:color="auto"/>
        <w:left w:val="none" w:sz="0" w:space="0" w:color="auto"/>
        <w:bottom w:val="none" w:sz="0" w:space="0" w:color="auto"/>
        <w:right w:val="none" w:sz="0" w:space="0" w:color="auto"/>
      </w:divBdr>
    </w:div>
    <w:div w:id="20587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idh.or.cr/sitios/reglamento/nov_2009_esp.pdf" TargetMode="External"/><Relationship Id="rId2" Type="http://schemas.openxmlformats.org/officeDocument/2006/relationships/hyperlink" Target="https://www.youtube.com/watch?v=8dxEv9dK3kQ" TargetMode="External"/><Relationship Id="rId1" Type="http://schemas.openxmlformats.org/officeDocument/2006/relationships/hyperlink" Target="https://www.youtube.com/watch?v=MaWqy1UPILE" TargetMode="External"/><Relationship Id="rId6" Type="http://schemas.openxmlformats.org/officeDocument/2006/relationships/hyperlink" Target="http://www.scielo.org.mx/scielo.php?script=sci_arttext&amp;pid=S0041-86332003000300006" TargetMode="External"/><Relationship Id="rId5" Type="http://schemas.openxmlformats.org/officeDocument/2006/relationships/hyperlink" Target="https://refugeesmigrants.un.org/es/declaration" TargetMode="External"/><Relationship Id="rId4" Type="http://schemas.openxmlformats.org/officeDocument/2006/relationships/hyperlink" Target="https://www.te.gob.mx/IUSEapp/tesisjur.aspx?idtesis=8/2018&amp;tpoBusqueda=S&amp;sWord=amicus,curia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8F80486F7B114695A8C3D4D9D85BC2" ma:contentTypeVersion="11" ma:contentTypeDescription="Crear nuevo documento." ma:contentTypeScope="" ma:versionID="25a3bc207758fb76f53c2c8529975c44">
  <xsd:schema xmlns:xsd="http://www.w3.org/2001/XMLSchema" xmlns:xs="http://www.w3.org/2001/XMLSchema" xmlns:p="http://schemas.microsoft.com/office/2006/metadata/properties" xmlns:ns3="863b7cb5-ef38-4d60-aafb-47f6b334edf2" xmlns:ns4="3a1c2aee-9d0a-42d2-a891-bb0ddf1cc6b1" targetNamespace="http://schemas.microsoft.com/office/2006/metadata/properties" ma:root="true" ma:fieldsID="a3ae37cb7546e7a07ed2edfb5b0c5eff" ns3:_="" ns4:_="">
    <xsd:import namespace="863b7cb5-ef38-4d60-aafb-47f6b334edf2"/>
    <xsd:import namespace="3a1c2aee-9d0a-42d2-a891-bb0ddf1cc6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b7cb5-ef38-4d60-aafb-47f6b334e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c2aee-9d0a-42d2-a891-bb0ddf1cc6b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03824-8375-415F-946F-91E9E3A5FE65}">
  <ds:schemaRefs>
    <ds:schemaRef ds:uri="http://www.w3.org/XML/1998/namespace"/>
    <ds:schemaRef ds:uri="http://purl.org/dc/dcmitype/"/>
    <ds:schemaRef ds:uri="http://purl.org/dc/terms/"/>
    <ds:schemaRef ds:uri="http://schemas.microsoft.com/office/2006/metadata/properties"/>
    <ds:schemaRef ds:uri="http://purl.org/dc/elements/1.1/"/>
    <ds:schemaRef ds:uri="863b7cb5-ef38-4d60-aafb-47f6b334edf2"/>
    <ds:schemaRef ds:uri="http://schemas.openxmlformats.org/package/2006/metadata/core-properties"/>
    <ds:schemaRef ds:uri="http://schemas.microsoft.com/office/2006/documentManagement/types"/>
    <ds:schemaRef ds:uri="http://schemas.microsoft.com/office/infopath/2007/PartnerControls"/>
    <ds:schemaRef ds:uri="3a1c2aee-9d0a-42d2-a891-bb0ddf1cc6b1"/>
  </ds:schemaRefs>
</ds:datastoreItem>
</file>

<file path=customXml/itemProps2.xml><?xml version="1.0" encoding="utf-8"?>
<ds:datastoreItem xmlns:ds="http://schemas.openxmlformats.org/officeDocument/2006/customXml" ds:itemID="{D2FCCB5F-44E0-4432-BEAC-39F79B515605}">
  <ds:schemaRefs>
    <ds:schemaRef ds:uri="http://schemas.microsoft.com/sharepoint/v3/contenttype/forms"/>
  </ds:schemaRefs>
</ds:datastoreItem>
</file>

<file path=customXml/itemProps3.xml><?xml version="1.0" encoding="utf-8"?>
<ds:datastoreItem xmlns:ds="http://schemas.openxmlformats.org/officeDocument/2006/customXml" ds:itemID="{B485C4A1-E6F0-47AA-B11D-DAFF8534B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b7cb5-ef38-4d60-aafb-47f6b334edf2"/>
    <ds:schemaRef ds:uri="3a1c2aee-9d0a-42d2-a891-bb0ddf1cc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33064-8E9E-4C60-9A85-19AEE335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19548</Words>
  <Characters>107514</Characters>
  <Application>Microsoft Office Word</Application>
  <DocSecurity>4</DocSecurity>
  <Lines>895</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Alberto Montes de Oca Sánchez</dc:creator>
  <cp:keywords/>
  <dc:description/>
  <cp:lastModifiedBy>Carlos Haro Reyes</cp:lastModifiedBy>
  <cp:revision>2</cp:revision>
  <dcterms:created xsi:type="dcterms:W3CDTF">2020-08-17T20:15:00Z</dcterms:created>
  <dcterms:modified xsi:type="dcterms:W3CDTF">2020-08-17T20:15:00Z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0x010100688F80486F7B114695A8C3D4D9D85BC2</vt:lpwstr>
  </property>
</Properties>
</file>