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1A551" w14:textId="6E70F711" w:rsidR="00F05BD0" w:rsidRPr="00F05BD0" w:rsidRDefault="00F05BD0" w:rsidP="003D0CF0">
      <w:pPr>
        <w:ind w:left="3119"/>
        <w:rPr>
          <w:rFonts w:cs="Arial"/>
          <w:szCs w:val="24"/>
        </w:rPr>
      </w:pPr>
      <w:bookmarkStart w:id="0" w:name="_Hlk511828859"/>
      <w:bookmarkStart w:id="1" w:name="_Toc66301807"/>
      <w:bookmarkStart w:id="2" w:name="_GoBack"/>
      <w:bookmarkEnd w:id="2"/>
      <w:r w:rsidRPr="00F05BD0">
        <w:rPr>
          <w:noProof/>
          <w:lang w:eastAsia="es-MX"/>
        </w:rPr>
        <w:drawing>
          <wp:anchor distT="0" distB="0" distL="114300" distR="114300" simplePos="0" relativeHeight="251658240" behindDoc="0" locked="0" layoutInCell="1" allowOverlap="1" wp14:anchorId="5620883F" wp14:editId="1FB9D9CE">
            <wp:simplePos x="0" y="0"/>
            <wp:positionH relativeFrom="column">
              <wp:posOffset>-581025</wp:posOffset>
            </wp:positionH>
            <wp:positionV relativeFrom="paragraph">
              <wp:posOffset>-8890</wp:posOffset>
            </wp:positionV>
            <wp:extent cx="5467350" cy="78486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7350" cy="784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FA654" w14:textId="3AF5C668" w:rsidR="00F05BD0" w:rsidRDefault="00F05BD0" w:rsidP="00F05BD0">
      <w:pPr>
        <w:tabs>
          <w:tab w:val="left" w:pos="4605"/>
        </w:tabs>
        <w:rPr>
          <w:rFonts w:cs="Arial"/>
          <w:szCs w:val="24"/>
        </w:rPr>
      </w:pPr>
      <w:r>
        <w:rPr>
          <w:rFonts w:cs="Arial"/>
          <w:szCs w:val="24"/>
        </w:rPr>
        <w:tab/>
      </w:r>
    </w:p>
    <w:p w14:paraId="2B165356" w14:textId="12ED8101" w:rsidR="00F05BD0" w:rsidRPr="00F05BD0" w:rsidRDefault="00F05BD0" w:rsidP="00F05BD0">
      <w:pPr>
        <w:tabs>
          <w:tab w:val="left" w:pos="4605"/>
        </w:tabs>
        <w:rPr>
          <w:rFonts w:cs="Arial"/>
          <w:szCs w:val="24"/>
        </w:rPr>
        <w:sectPr w:rsidR="00F05BD0" w:rsidRPr="00F05BD0" w:rsidSect="00B60721">
          <w:headerReference w:type="even" r:id="rId12"/>
          <w:headerReference w:type="default" r:id="rId13"/>
          <w:footerReference w:type="even" r:id="rId14"/>
          <w:footerReference w:type="default" r:id="rId15"/>
          <w:headerReference w:type="first" r:id="rId16"/>
          <w:footnotePr>
            <w:numRestart w:val="eachSect"/>
          </w:footnotePr>
          <w:pgSz w:w="12242" w:h="18722" w:code="1"/>
          <w:pgMar w:top="3119" w:right="1701" w:bottom="1418" w:left="2835" w:header="1559" w:footer="1213" w:gutter="0"/>
          <w:pgNumType w:start="1"/>
          <w:cols w:space="708"/>
          <w:titlePg/>
          <w:docGrid w:linePitch="360"/>
        </w:sectPr>
      </w:pPr>
      <w:r>
        <w:rPr>
          <w:rFonts w:cs="Arial"/>
          <w:szCs w:val="24"/>
        </w:rPr>
        <w:tab/>
      </w:r>
    </w:p>
    <w:p w14:paraId="091CDB48" w14:textId="0EE3E81E" w:rsidR="009310D8" w:rsidRPr="00C06654" w:rsidRDefault="009310D8" w:rsidP="009310D8">
      <w:pPr>
        <w:ind w:left="3119"/>
        <w:rPr>
          <w:rFonts w:cs="Arial"/>
          <w:color w:val="000000" w:themeColor="text1"/>
          <w:szCs w:val="24"/>
        </w:rPr>
      </w:pPr>
      <w:r w:rsidRPr="00C06654">
        <w:rPr>
          <w:rFonts w:cs="Arial"/>
          <w:b/>
          <w:color w:val="000000" w:themeColor="text1"/>
          <w:szCs w:val="24"/>
        </w:rPr>
        <w:lastRenderedPageBreak/>
        <w:t>EXPEDIENTE</w:t>
      </w:r>
      <w:r w:rsidR="00AC75C4">
        <w:rPr>
          <w:rFonts w:cs="Arial"/>
          <w:b/>
          <w:color w:val="000000" w:themeColor="text1"/>
          <w:szCs w:val="24"/>
        </w:rPr>
        <w:t>S</w:t>
      </w:r>
      <w:r w:rsidRPr="00C06654">
        <w:rPr>
          <w:rFonts w:cs="Arial"/>
          <w:b/>
          <w:color w:val="000000" w:themeColor="text1"/>
          <w:szCs w:val="24"/>
        </w:rPr>
        <w:t>:</w:t>
      </w:r>
      <w:r w:rsidRPr="00C06654">
        <w:rPr>
          <w:rFonts w:cs="Arial"/>
          <w:color w:val="000000" w:themeColor="text1"/>
          <w:szCs w:val="24"/>
        </w:rPr>
        <w:t xml:space="preserve"> </w:t>
      </w:r>
      <w:bookmarkStart w:id="3" w:name="_Hlk9799266"/>
      <w:r w:rsidRPr="00C06654">
        <w:rPr>
          <w:rFonts w:cs="Arial"/>
          <w:color w:val="000000" w:themeColor="text1"/>
          <w:szCs w:val="24"/>
        </w:rPr>
        <w:t>SUP-</w:t>
      </w:r>
      <w:r>
        <w:rPr>
          <w:rFonts w:cs="Arial"/>
          <w:color w:val="000000" w:themeColor="text1"/>
          <w:szCs w:val="24"/>
        </w:rPr>
        <w:t>JDC-346</w:t>
      </w:r>
      <w:r w:rsidRPr="00C06654">
        <w:rPr>
          <w:rFonts w:cs="Arial"/>
          <w:color w:val="000000" w:themeColor="text1"/>
          <w:szCs w:val="24"/>
        </w:rPr>
        <w:t>/202</w:t>
      </w:r>
      <w:bookmarkEnd w:id="3"/>
      <w:r>
        <w:rPr>
          <w:rFonts w:cs="Arial"/>
          <w:color w:val="000000" w:themeColor="text1"/>
          <w:szCs w:val="24"/>
        </w:rPr>
        <w:t>1 Y ACUMULADOS</w:t>
      </w:r>
    </w:p>
    <w:p w14:paraId="331518EC" w14:textId="77777777" w:rsidR="009310D8" w:rsidRDefault="009310D8" w:rsidP="009310D8">
      <w:pPr>
        <w:ind w:left="3119"/>
        <w:rPr>
          <w:rFonts w:cs="Arial"/>
          <w:lang w:eastAsia="es-MX"/>
        </w:rPr>
      </w:pPr>
      <w:r w:rsidRPr="00C06654">
        <w:rPr>
          <w:rFonts w:cs="Arial"/>
          <w:b/>
          <w:color w:val="000000" w:themeColor="text1"/>
          <w:szCs w:val="24"/>
        </w:rPr>
        <w:t>MAGISTRADO PONENTE:</w:t>
      </w:r>
      <w:r w:rsidRPr="00C06654">
        <w:rPr>
          <w:rFonts w:cs="Arial"/>
          <w:color w:val="000000" w:themeColor="text1"/>
          <w:szCs w:val="24"/>
        </w:rPr>
        <w:t xml:space="preserve"> FELIPE DE LA MATA PIZAÑA</w:t>
      </w:r>
      <w:r w:rsidRPr="00C06654">
        <w:rPr>
          <w:rStyle w:val="Refdenotaalpie"/>
          <w:rFonts w:cs="Arial"/>
          <w:color w:val="000000" w:themeColor="text1"/>
          <w:szCs w:val="24"/>
        </w:rPr>
        <w:footnoteReference w:id="1"/>
      </w:r>
    </w:p>
    <w:p w14:paraId="4B69DF50" w14:textId="312C4E7F" w:rsidR="009310D8" w:rsidRPr="002570E4" w:rsidRDefault="009310D8" w:rsidP="002570E4">
      <w:pPr>
        <w:rPr>
          <w:rFonts w:cs="Arial"/>
          <w:szCs w:val="24"/>
          <w:lang w:eastAsia="es-MX"/>
        </w:rPr>
      </w:pPr>
      <w:r w:rsidRPr="002570E4">
        <w:rPr>
          <w:rFonts w:cs="Arial"/>
          <w:szCs w:val="24"/>
          <w:lang w:eastAsia="es-MX"/>
        </w:rPr>
        <w:t xml:space="preserve">Ciudad de México, </w:t>
      </w:r>
      <w:r w:rsidR="00F05BD0">
        <w:rPr>
          <w:rFonts w:cs="Arial"/>
          <w:szCs w:val="24"/>
          <w:lang w:eastAsia="es-MX"/>
        </w:rPr>
        <w:t>veinticuatro de</w:t>
      </w:r>
      <w:r w:rsidRPr="002570E4">
        <w:rPr>
          <w:rFonts w:cs="Arial"/>
          <w:szCs w:val="24"/>
          <w:lang w:eastAsia="es-MX"/>
        </w:rPr>
        <w:t xml:space="preserve"> marzo de dos mil veintiuno.</w:t>
      </w:r>
    </w:p>
    <w:p w14:paraId="37A8E824" w14:textId="49CEF66C" w:rsidR="009310D8" w:rsidRPr="002570E4" w:rsidRDefault="009310D8" w:rsidP="002570E4">
      <w:pPr>
        <w:widowControl w:val="0"/>
        <w:rPr>
          <w:rFonts w:cs="Arial"/>
          <w:szCs w:val="24"/>
        </w:rPr>
      </w:pPr>
      <w:r w:rsidRPr="002570E4">
        <w:rPr>
          <w:rFonts w:cs="Arial"/>
          <w:b/>
          <w:szCs w:val="24"/>
          <w:lang w:eastAsia="es-MX"/>
        </w:rPr>
        <w:t>Sentencia</w:t>
      </w:r>
      <w:r w:rsidRPr="002570E4">
        <w:rPr>
          <w:rFonts w:cs="Arial"/>
          <w:szCs w:val="24"/>
          <w:lang w:eastAsia="es-MX"/>
        </w:rPr>
        <w:t xml:space="preserve"> que </w:t>
      </w:r>
      <w:bookmarkStart w:id="4" w:name="_Hlk67317213"/>
      <w:r w:rsidR="00B17FE7">
        <w:rPr>
          <w:rFonts w:cs="Arial"/>
          <w:b/>
          <w:szCs w:val="24"/>
          <w:lang w:eastAsia="es-MX"/>
        </w:rPr>
        <w:t>modifica</w:t>
      </w:r>
      <w:r w:rsidRPr="002570E4">
        <w:rPr>
          <w:rFonts w:cs="Arial"/>
          <w:b/>
          <w:szCs w:val="24"/>
          <w:lang w:eastAsia="es-MX"/>
        </w:rPr>
        <w:t xml:space="preserve"> </w:t>
      </w:r>
      <w:r w:rsidRPr="002570E4">
        <w:rPr>
          <w:rFonts w:cs="Arial"/>
          <w:szCs w:val="24"/>
          <w:lang w:eastAsia="es-MX"/>
        </w:rPr>
        <w:t xml:space="preserve">el acuerdo del </w:t>
      </w:r>
      <w:r w:rsidRPr="002570E4">
        <w:rPr>
          <w:rFonts w:cs="Arial"/>
          <w:b/>
          <w:szCs w:val="24"/>
          <w:lang w:eastAsia="es-MX"/>
        </w:rPr>
        <w:t xml:space="preserve">Consejo General del Instituto Nacional Electoral, </w:t>
      </w:r>
      <w:bookmarkEnd w:id="4"/>
      <w:r w:rsidRPr="002570E4">
        <w:rPr>
          <w:rFonts w:cs="Arial"/>
          <w:szCs w:val="24"/>
          <w:lang w:eastAsia="es-MX"/>
        </w:rPr>
        <w:t xml:space="preserve">relacionado con la implementación de </w:t>
      </w:r>
      <w:r w:rsidRPr="002570E4">
        <w:rPr>
          <w:rFonts w:cs="Arial"/>
          <w:szCs w:val="24"/>
        </w:rPr>
        <w:t>acciones afirmativas para las personas mexicanas migrantes y residentes en el extranjero</w:t>
      </w:r>
      <w:r w:rsidRPr="002570E4">
        <w:rPr>
          <w:rFonts w:cs="Arial"/>
          <w:szCs w:val="24"/>
          <w:lang w:eastAsia="es-MX"/>
        </w:rPr>
        <w:t xml:space="preserve">, con motivo de los juicios ciudadanos </w:t>
      </w:r>
      <w:r w:rsidR="00036F0A">
        <w:rPr>
          <w:rFonts w:cs="Arial"/>
          <w:szCs w:val="24"/>
          <w:lang w:eastAsia="es-MX"/>
        </w:rPr>
        <w:t>promovidos</w:t>
      </w:r>
      <w:r w:rsidR="00036F0A" w:rsidRPr="002570E4">
        <w:rPr>
          <w:rFonts w:cs="Arial"/>
          <w:szCs w:val="24"/>
          <w:lang w:eastAsia="es-MX"/>
        </w:rPr>
        <w:t xml:space="preserve"> </w:t>
      </w:r>
      <w:r w:rsidRPr="002570E4">
        <w:rPr>
          <w:rFonts w:cs="Arial"/>
          <w:szCs w:val="24"/>
          <w:lang w:eastAsia="es-MX"/>
        </w:rPr>
        <w:t xml:space="preserve">por </w:t>
      </w:r>
      <w:r w:rsidRPr="002570E4">
        <w:rPr>
          <w:b/>
          <w:szCs w:val="24"/>
        </w:rPr>
        <w:t>Aaron Ortíz Santos y otros</w:t>
      </w:r>
      <w:r w:rsidRPr="002570E4">
        <w:rPr>
          <w:szCs w:val="24"/>
        </w:rPr>
        <w:t xml:space="preserve">. </w:t>
      </w:r>
    </w:p>
    <w:p w14:paraId="65DE6C04" w14:textId="77777777" w:rsidR="009310D8" w:rsidRPr="002570E4" w:rsidRDefault="009310D8" w:rsidP="00BE1AEC">
      <w:pPr>
        <w:spacing w:after="0" w:afterAutospacing="0"/>
        <w:jc w:val="center"/>
        <w:rPr>
          <w:rFonts w:cs="Arial"/>
          <w:b/>
          <w:szCs w:val="24"/>
          <w:lang w:eastAsia="es-MX"/>
        </w:rPr>
      </w:pPr>
      <w:r w:rsidRPr="002570E4">
        <w:rPr>
          <w:rFonts w:cs="Arial"/>
          <w:b/>
          <w:szCs w:val="24"/>
          <w:lang w:eastAsia="es-MX"/>
        </w:rPr>
        <w:t>Í N D I C E</w:t>
      </w:r>
    </w:p>
    <w:sdt>
      <w:sdtPr>
        <w:rPr>
          <w:rFonts w:ascii="Times New Roman" w:eastAsia="Times New Roman" w:hAnsi="Times New Roman" w:cs="Times New Roman"/>
          <w:color w:val="auto"/>
          <w:sz w:val="24"/>
          <w:szCs w:val="24"/>
          <w:lang w:val="es-ES" w:eastAsia="es-ES"/>
        </w:rPr>
        <w:id w:val="1385760811"/>
        <w:docPartObj>
          <w:docPartGallery w:val="Table of Contents"/>
          <w:docPartUnique/>
        </w:docPartObj>
      </w:sdtPr>
      <w:sdtEndPr>
        <w:rPr>
          <w:rFonts w:ascii="Arial" w:eastAsiaTheme="minorHAnsi" w:hAnsi="Arial" w:cs="Arial"/>
          <w:sz w:val="18"/>
          <w:szCs w:val="18"/>
          <w:lang w:val="es-MX" w:eastAsia="en-US"/>
        </w:rPr>
      </w:sdtEndPr>
      <w:sdtContent>
        <w:p w14:paraId="20E2C579" w14:textId="77777777" w:rsidR="009310D8" w:rsidRPr="00787CC8" w:rsidRDefault="009310D8" w:rsidP="009310D8">
          <w:pPr>
            <w:pStyle w:val="TtulodeTDC"/>
            <w:spacing w:before="0" w:line="240" w:lineRule="auto"/>
            <w:jc w:val="both"/>
            <w:rPr>
              <w:rFonts w:ascii="Arial" w:hAnsi="Arial" w:cs="Arial"/>
              <w:sz w:val="8"/>
              <w:szCs w:val="18"/>
            </w:rPr>
          </w:pPr>
        </w:p>
        <w:p w14:paraId="457FA0F8" w14:textId="67BF3E1E" w:rsidR="007D3353" w:rsidRPr="007D3353" w:rsidRDefault="009310D8" w:rsidP="007D3353">
          <w:pPr>
            <w:pStyle w:val="TDC1"/>
            <w:spacing w:after="0"/>
            <w:jc w:val="both"/>
            <w:rPr>
              <w:rFonts w:asciiTheme="minorHAnsi" w:eastAsiaTheme="minorEastAsia" w:hAnsiTheme="minorHAnsi"/>
              <w:noProof/>
              <w:lang w:eastAsia="es-MX"/>
            </w:rPr>
          </w:pPr>
          <w:r w:rsidRPr="007D3353">
            <w:rPr>
              <w:rFonts w:cs="Arial"/>
            </w:rPr>
            <w:fldChar w:fldCharType="begin"/>
          </w:r>
          <w:r w:rsidRPr="007D3353">
            <w:rPr>
              <w:rFonts w:cs="Arial"/>
            </w:rPr>
            <w:instrText xml:space="preserve"> TOC \o "1-3" \h \z \u </w:instrText>
          </w:r>
          <w:r w:rsidRPr="007D3353">
            <w:rPr>
              <w:rFonts w:cs="Arial"/>
            </w:rPr>
            <w:fldChar w:fldCharType="separate"/>
          </w:r>
          <w:hyperlink w:anchor="_Toc67557922" w:history="1">
            <w:r w:rsidR="007D3353" w:rsidRPr="007D3353">
              <w:rPr>
                <w:rStyle w:val="Hipervnculo"/>
                <w:rFonts w:eastAsiaTheme="majorEastAsia" w:cs="Arial"/>
                <w:noProof/>
                <w:bdr w:val="none" w:sz="0" w:space="0" w:color="auto" w:frame="1"/>
              </w:rPr>
              <w:t>GLOSARIO</w:t>
            </w:r>
            <w:r w:rsidR="007D3353" w:rsidRPr="007D3353">
              <w:rPr>
                <w:noProof/>
                <w:webHidden/>
              </w:rPr>
              <w:tab/>
            </w:r>
            <w:r w:rsidR="007D3353" w:rsidRPr="007D3353">
              <w:rPr>
                <w:noProof/>
                <w:webHidden/>
              </w:rPr>
              <w:fldChar w:fldCharType="begin"/>
            </w:r>
            <w:r w:rsidR="007D3353" w:rsidRPr="007D3353">
              <w:rPr>
                <w:noProof/>
                <w:webHidden/>
              </w:rPr>
              <w:instrText xml:space="preserve"> PAGEREF _Toc67557922 \h </w:instrText>
            </w:r>
            <w:r w:rsidR="007D3353" w:rsidRPr="007D3353">
              <w:rPr>
                <w:noProof/>
                <w:webHidden/>
              </w:rPr>
            </w:r>
            <w:r w:rsidR="007D3353" w:rsidRPr="007D3353">
              <w:rPr>
                <w:noProof/>
                <w:webHidden/>
              </w:rPr>
              <w:fldChar w:fldCharType="separate"/>
            </w:r>
            <w:r w:rsidR="00F05BD0">
              <w:rPr>
                <w:noProof/>
                <w:webHidden/>
              </w:rPr>
              <w:t>1</w:t>
            </w:r>
            <w:r w:rsidR="007D3353" w:rsidRPr="007D3353">
              <w:rPr>
                <w:noProof/>
                <w:webHidden/>
              </w:rPr>
              <w:fldChar w:fldCharType="end"/>
            </w:r>
          </w:hyperlink>
        </w:p>
        <w:p w14:paraId="4C4F2D73" w14:textId="560CDC55" w:rsidR="007D3353" w:rsidRPr="007D3353" w:rsidRDefault="00404D52" w:rsidP="007D3353">
          <w:pPr>
            <w:pStyle w:val="TDC1"/>
            <w:spacing w:after="0"/>
            <w:jc w:val="both"/>
            <w:rPr>
              <w:rFonts w:asciiTheme="minorHAnsi" w:eastAsiaTheme="minorEastAsia" w:hAnsiTheme="minorHAnsi"/>
              <w:noProof/>
              <w:lang w:eastAsia="es-MX"/>
            </w:rPr>
          </w:pPr>
          <w:hyperlink w:anchor="_Toc67557923" w:history="1">
            <w:r w:rsidR="007D3353" w:rsidRPr="007D3353">
              <w:rPr>
                <w:rStyle w:val="Hipervnculo"/>
                <w:rFonts w:eastAsiaTheme="majorEastAsia" w:cs="Arial"/>
                <w:noProof/>
                <w:bdr w:val="none" w:sz="0" w:space="0" w:color="auto" w:frame="1"/>
                <w:lang w:val="es-ES" w:eastAsia="es-ES"/>
              </w:rPr>
              <w:t>I. ANTECEDENTES</w:t>
            </w:r>
            <w:r w:rsidR="007D3353" w:rsidRPr="007D3353">
              <w:rPr>
                <w:noProof/>
                <w:webHidden/>
              </w:rPr>
              <w:tab/>
            </w:r>
            <w:r w:rsidR="007D3353" w:rsidRPr="007D3353">
              <w:rPr>
                <w:noProof/>
                <w:webHidden/>
              </w:rPr>
              <w:fldChar w:fldCharType="begin"/>
            </w:r>
            <w:r w:rsidR="007D3353" w:rsidRPr="007D3353">
              <w:rPr>
                <w:noProof/>
                <w:webHidden/>
              </w:rPr>
              <w:instrText xml:space="preserve"> PAGEREF _Toc67557923 \h </w:instrText>
            </w:r>
            <w:r w:rsidR="007D3353" w:rsidRPr="007D3353">
              <w:rPr>
                <w:noProof/>
                <w:webHidden/>
              </w:rPr>
            </w:r>
            <w:r w:rsidR="007D3353" w:rsidRPr="007D3353">
              <w:rPr>
                <w:noProof/>
                <w:webHidden/>
              </w:rPr>
              <w:fldChar w:fldCharType="separate"/>
            </w:r>
            <w:r w:rsidR="00F05BD0">
              <w:rPr>
                <w:noProof/>
                <w:webHidden/>
              </w:rPr>
              <w:t>1</w:t>
            </w:r>
            <w:r w:rsidR="007D3353" w:rsidRPr="007D3353">
              <w:rPr>
                <w:noProof/>
                <w:webHidden/>
              </w:rPr>
              <w:fldChar w:fldCharType="end"/>
            </w:r>
          </w:hyperlink>
        </w:p>
        <w:p w14:paraId="148F6913" w14:textId="4DC0C880" w:rsidR="007D3353" w:rsidRPr="007D3353" w:rsidRDefault="00404D52" w:rsidP="007D3353">
          <w:pPr>
            <w:pStyle w:val="TDC1"/>
            <w:spacing w:after="0"/>
            <w:jc w:val="both"/>
            <w:rPr>
              <w:rFonts w:asciiTheme="minorHAnsi" w:eastAsiaTheme="minorEastAsia" w:hAnsiTheme="minorHAnsi"/>
              <w:noProof/>
              <w:lang w:eastAsia="es-MX"/>
            </w:rPr>
          </w:pPr>
          <w:hyperlink w:anchor="_Toc67557924" w:history="1">
            <w:r w:rsidR="007D3353" w:rsidRPr="007D3353">
              <w:rPr>
                <w:rStyle w:val="Hipervnculo"/>
                <w:rFonts w:eastAsiaTheme="majorEastAsia" w:cs="Arial"/>
                <w:noProof/>
                <w:bdr w:val="none" w:sz="0" w:space="0" w:color="auto" w:frame="1"/>
              </w:rPr>
              <w:t>II. COMPETENCIA</w:t>
            </w:r>
            <w:r w:rsidR="007D3353" w:rsidRPr="007D3353">
              <w:rPr>
                <w:noProof/>
                <w:webHidden/>
              </w:rPr>
              <w:tab/>
            </w:r>
            <w:r w:rsidR="007D3353" w:rsidRPr="007D3353">
              <w:rPr>
                <w:noProof/>
                <w:webHidden/>
              </w:rPr>
              <w:fldChar w:fldCharType="begin"/>
            </w:r>
            <w:r w:rsidR="007D3353" w:rsidRPr="007D3353">
              <w:rPr>
                <w:noProof/>
                <w:webHidden/>
              </w:rPr>
              <w:instrText xml:space="preserve"> PAGEREF _Toc67557924 \h </w:instrText>
            </w:r>
            <w:r w:rsidR="007D3353" w:rsidRPr="007D3353">
              <w:rPr>
                <w:noProof/>
                <w:webHidden/>
              </w:rPr>
            </w:r>
            <w:r w:rsidR="007D3353" w:rsidRPr="007D3353">
              <w:rPr>
                <w:noProof/>
                <w:webHidden/>
              </w:rPr>
              <w:fldChar w:fldCharType="separate"/>
            </w:r>
            <w:r w:rsidR="00F05BD0">
              <w:rPr>
                <w:noProof/>
                <w:webHidden/>
              </w:rPr>
              <w:t>3</w:t>
            </w:r>
            <w:r w:rsidR="007D3353" w:rsidRPr="007D3353">
              <w:rPr>
                <w:noProof/>
                <w:webHidden/>
              </w:rPr>
              <w:fldChar w:fldCharType="end"/>
            </w:r>
          </w:hyperlink>
        </w:p>
        <w:p w14:paraId="5CBEBEA4" w14:textId="56764EF5" w:rsidR="007D3353" w:rsidRPr="007D3353" w:rsidRDefault="00404D52" w:rsidP="007D3353">
          <w:pPr>
            <w:pStyle w:val="TDC1"/>
            <w:spacing w:after="0"/>
            <w:jc w:val="both"/>
            <w:rPr>
              <w:rFonts w:asciiTheme="minorHAnsi" w:eastAsiaTheme="minorEastAsia" w:hAnsiTheme="minorHAnsi"/>
              <w:noProof/>
              <w:lang w:eastAsia="es-MX"/>
            </w:rPr>
          </w:pPr>
          <w:hyperlink w:anchor="_Toc67557925" w:history="1">
            <w:r w:rsidR="007D3353" w:rsidRPr="007D3353">
              <w:rPr>
                <w:rStyle w:val="Hipervnculo"/>
                <w:rFonts w:eastAsiaTheme="majorEastAsia" w:cs="Arial"/>
                <w:noProof/>
                <w:bdr w:val="none" w:sz="0" w:space="0" w:color="auto" w:frame="1"/>
              </w:rPr>
              <w:t>III. JUSTIFICACIÓN PARA RESOLVER EN SESIÓN NO PRESENCIAL</w:t>
            </w:r>
            <w:r w:rsidR="007D3353" w:rsidRPr="007D3353">
              <w:rPr>
                <w:noProof/>
                <w:webHidden/>
              </w:rPr>
              <w:tab/>
            </w:r>
            <w:r w:rsidR="007D3353" w:rsidRPr="007D3353">
              <w:rPr>
                <w:noProof/>
                <w:webHidden/>
              </w:rPr>
              <w:fldChar w:fldCharType="begin"/>
            </w:r>
            <w:r w:rsidR="007D3353" w:rsidRPr="007D3353">
              <w:rPr>
                <w:noProof/>
                <w:webHidden/>
              </w:rPr>
              <w:instrText xml:space="preserve"> PAGEREF _Toc67557925 \h </w:instrText>
            </w:r>
            <w:r w:rsidR="007D3353" w:rsidRPr="007D3353">
              <w:rPr>
                <w:noProof/>
                <w:webHidden/>
              </w:rPr>
            </w:r>
            <w:r w:rsidR="007D3353" w:rsidRPr="007D3353">
              <w:rPr>
                <w:noProof/>
                <w:webHidden/>
              </w:rPr>
              <w:fldChar w:fldCharType="separate"/>
            </w:r>
            <w:r w:rsidR="00F05BD0">
              <w:rPr>
                <w:noProof/>
                <w:webHidden/>
              </w:rPr>
              <w:t>3</w:t>
            </w:r>
            <w:r w:rsidR="007D3353" w:rsidRPr="007D3353">
              <w:rPr>
                <w:noProof/>
                <w:webHidden/>
              </w:rPr>
              <w:fldChar w:fldCharType="end"/>
            </w:r>
          </w:hyperlink>
        </w:p>
        <w:p w14:paraId="1CA47106" w14:textId="219B7433" w:rsidR="007D3353" w:rsidRPr="007D3353" w:rsidRDefault="00404D52" w:rsidP="007D3353">
          <w:pPr>
            <w:pStyle w:val="TDC1"/>
            <w:spacing w:after="0"/>
            <w:jc w:val="both"/>
            <w:rPr>
              <w:rFonts w:asciiTheme="minorHAnsi" w:eastAsiaTheme="minorEastAsia" w:hAnsiTheme="minorHAnsi"/>
              <w:noProof/>
              <w:lang w:eastAsia="es-MX"/>
            </w:rPr>
          </w:pPr>
          <w:hyperlink w:anchor="_Toc67557926" w:history="1">
            <w:r w:rsidR="007D3353" w:rsidRPr="007D3353">
              <w:rPr>
                <w:rStyle w:val="Hipervnculo"/>
                <w:rFonts w:eastAsia="Times New Roman" w:cs="Arial"/>
                <w:noProof/>
                <w:lang w:eastAsia="es-MX"/>
              </w:rPr>
              <w:t>IV. ACUMULACIÓN</w:t>
            </w:r>
            <w:r w:rsidR="007D3353" w:rsidRPr="007D3353">
              <w:rPr>
                <w:noProof/>
                <w:webHidden/>
              </w:rPr>
              <w:tab/>
            </w:r>
            <w:r w:rsidR="007D3353" w:rsidRPr="007D3353">
              <w:rPr>
                <w:noProof/>
                <w:webHidden/>
              </w:rPr>
              <w:fldChar w:fldCharType="begin"/>
            </w:r>
            <w:r w:rsidR="007D3353" w:rsidRPr="007D3353">
              <w:rPr>
                <w:noProof/>
                <w:webHidden/>
              </w:rPr>
              <w:instrText xml:space="preserve"> PAGEREF _Toc67557926 \h </w:instrText>
            </w:r>
            <w:r w:rsidR="007D3353" w:rsidRPr="007D3353">
              <w:rPr>
                <w:noProof/>
                <w:webHidden/>
              </w:rPr>
            </w:r>
            <w:r w:rsidR="007D3353" w:rsidRPr="007D3353">
              <w:rPr>
                <w:noProof/>
                <w:webHidden/>
              </w:rPr>
              <w:fldChar w:fldCharType="separate"/>
            </w:r>
            <w:r w:rsidR="00F05BD0">
              <w:rPr>
                <w:noProof/>
                <w:webHidden/>
              </w:rPr>
              <w:t>4</w:t>
            </w:r>
            <w:r w:rsidR="007D3353" w:rsidRPr="007D3353">
              <w:rPr>
                <w:noProof/>
                <w:webHidden/>
              </w:rPr>
              <w:fldChar w:fldCharType="end"/>
            </w:r>
          </w:hyperlink>
        </w:p>
        <w:p w14:paraId="6B90A5AE" w14:textId="26CE084D" w:rsidR="007D3353" w:rsidRPr="007D3353" w:rsidRDefault="00404D52" w:rsidP="007D3353">
          <w:pPr>
            <w:pStyle w:val="TDC1"/>
            <w:spacing w:after="0"/>
            <w:jc w:val="both"/>
            <w:rPr>
              <w:rFonts w:asciiTheme="minorHAnsi" w:eastAsiaTheme="minorEastAsia" w:hAnsiTheme="minorHAnsi"/>
              <w:noProof/>
              <w:lang w:eastAsia="es-MX"/>
            </w:rPr>
          </w:pPr>
          <w:hyperlink w:anchor="_Toc67557927" w:history="1">
            <w:r w:rsidR="007D3353" w:rsidRPr="007D3353">
              <w:rPr>
                <w:rStyle w:val="Hipervnculo"/>
                <w:rFonts w:eastAsiaTheme="majorEastAsia" w:cs="Arial"/>
                <w:noProof/>
                <w:bdr w:val="none" w:sz="0" w:space="0" w:color="auto" w:frame="1"/>
                <w:lang w:eastAsia="es-ES"/>
              </w:rPr>
              <w:t>V. REQUISITOS PARA ADMITIR LAS DEMANDAS</w:t>
            </w:r>
            <w:r w:rsidR="007D3353" w:rsidRPr="007D3353">
              <w:rPr>
                <w:noProof/>
                <w:webHidden/>
              </w:rPr>
              <w:tab/>
            </w:r>
            <w:r w:rsidR="007D3353" w:rsidRPr="007D3353">
              <w:rPr>
                <w:noProof/>
                <w:webHidden/>
              </w:rPr>
              <w:fldChar w:fldCharType="begin"/>
            </w:r>
            <w:r w:rsidR="007D3353" w:rsidRPr="007D3353">
              <w:rPr>
                <w:noProof/>
                <w:webHidden/>
              </w:rPr>
              <w:instrText xml:space="preserve"> PAGEREF _Toc67557927 \h </w:instrText>
            </w:r>
            <w:r w:rsidR="007D3353" w:rsidRPr="007D3353">
              <w:rPr>
                <w:noProof/>
                <w:webHidden/>
              </w:rPr>
            </w:r>
            <w:r w:rsidR="007D3353" w:rsidRPr="007D3353">
              <w:rPr>
                <w:noProof/>
                <w:webHidden/>
              </w:rPr>
              <w:fldChar w:fldCharType="separate"/>
            </w:r>
            <w:r w:rsidR="00F05BD0">
              <w:rPr>
                <w:noProof/>
                <w:webHidden/>
              </w:rPr>
              <w:t>4</w:t>
            </w:r>
            <w:r w:rsidR="007D3353" w:rsidRPr="007D3353">
              <w:rPr>
                <w:noProof/>
                <w:webHidden/>
              </w:rPr>
              <w:fldChar w:fldCharType="end"/>
            </w:r>
          </w:hyperlink>
        </w:p>
        <w:p w14:paraId="2730EE63" w14:textId="354D4E43" w:rsidR="007D3353" w:rsidRPr="007D3353" w:rsidRDefault="00404D52" w:rsidP="007D3353">
          <w:pPr>
            <w:pStyle w:val="TDC1"/>
            <w:spacing w:after="0"/>
            <w:jc w:val="both"/>
            <w:rPr>
              <w:rFonts w:asciiTheme="minorHAnsi" w:eastAsiaTheme="minorEastAsia" w:hAnsiTheme="minorHAnsi"/>
              <w:noProof/>
              <w:lang w:eastAsia="es-MX"/>
            </w:rPr>
          </w:pPr>
          <w:hyperlink w:anchor="_Toc67557928" w:history="1">
            <w:r w:rsidR="007D3353" w:rsidRPr="007D3353">
              <w:rPr>
                <w:rStyle w:val="Hipervnculo"/>
                <w:rFonts w:eastAsiaTheme="majorEastAsia" w:cs="Arial"/>
                <w:noProof/>
                <w:bdr w:val="none" w:sz="0" w:space="0" w:color="auto" w:frame="1"/>
                <w:lang w:eastAsia="es-ES"/>
              </w:rPr>
              <w:t>VI. ESTUDIO DE FONDO</w:t>
            </w:r>
            <w:r w:rsidR="007D3353" w:rsidRPr="007D3353">
              <w:rPr>
                <w:noProof/>
                <w:webHidden/>
              </w:rPr>
              <w:tab/>
            </w:r>
            <w:r w:rsidR="007D3353" w:rsidRPr="007D3353">
              <w:rPr>
                <w:noProof/>
                <w:webHidden/>
              </w:rPr>
              <w:fldChar w:fldCharType="begin"/>
            </w:r>
            <w:r w:rsidR="007D3353" w:rsidRPr="007D3353">
              <w:rPr>
                <w:noProof/>
                <w:webHidden/>
              </w:rPr>
              <w:instrText xml:space="preserve"> PAGEREF _Toc67557928 \h </w:instrText>
            </w:r>
            <w:r w:rsidR="007D3353" w:rsidRPr="007D3353">
              <w:rPr>
                <w:noProof/>
                <w:webHidden/>
              </w:rPr>
            </w:r>
            <w:r w:rsidR="007D3353" w:rsidRPr="007D3353">
              <w:rPr>
                <w:noProof/>
                <w:webHidden/>
              </w:rPr>
              <w:fldChar w:fldCharType="separate"/>
            </w:r>
            <w:r w:rsidR="00F05BD0">
              <w:rPr>
                <w:noProof/>
                <w:webHidden/>
              </w:rPr>
              <w:t>5</w:t>
            </w:r>
            <w:r w:rsidR="007D3353" w:rsidRPr="007D3353">
              <w:rPr>
                <w:noProof/>
                <w:webHidden/>
              </w:rPr>
              <w:fldChar w:fldCharType="end"/>
            </w:r>
          </w:hyperlink>
        </w:p>
        <w:p w14:paraId="1B360E47" w14:textId="63143355" w:rsidR="007D3353" w:rsidRPr="007D3353" w:rsidRDefault="00404D52" w:rsidP="007D3353">
          <w:pPr>
            <w:pStyle w:val="TDC2"/>
            <w:tabs>
              <w:tab w:val="right" w:leader="dot" w:pos="7696"/>
            </w:tabs>
            <w:spacing w:before="0" w:beforeAutospacing="0" w:after="0" w:afterAutospacing="0" w:line="240" w:lineRule="auto"/>
            <w:rPr>
              <w:rFonts w:asciiTheme="minorHAnsi" w:eastAsiaTheme="minorEastAsia" w:hAnsiTheme="minorHAnsi"/>
              <w:noProof/>
              <w:sz w:val="18"/>
              <w:szCs w:val="18"/>
              <w:lang w:eastAsia="es-MX"/>
            </w:rPr>
          </w:pPr>
          <w:hyperlink w:anchor="_Toc67557929" w:history="1">
            <w:r w:rsidR="007D3353" w:rsidRPr="007D3353">
              <w:rPr>
                <w:rStyle w:val="Hipervnculo"/>
                <w:rFonts w:cs="Arial"/>
                <w:noProof/>
                <w:sz w:val="18"/>
                <w:szCs w:val="18"/>
              </w:rPr>
              <w:t>1. Planteamiento</w:t>
            </w:r>
            <w:r w:rsidR="007D3353" w:rsidRPr="007D3353">
              <w:rPr>
                <w:noProof/>
                <w:webHidden/>
                <w:sz w:val="18"/>
                <w:szCs w:val="18"/>
              </w:rPr>
              <w:tab/>
            </w:r>
            <w:r w:rsidR="007D3353" w:rsidRPr="007D3353">
              <w:rPr>
                <w:noProof/>
                <w:webHidden/>
                <w:sz w:val="18"/>
                <w:szCs w:val="18"/>
              </w:rPr>
              <w:fldChar w:fldCharType="begin"/>
            </w:r>
            <w:r w:rsidR="007D3353" w:rsidRPr="007D3353">
              <w:rPr>
                <w:noProof/>
                <w:webHidden/>
                <w:sz w:val="18"/>
                <w:szCs w:val="18"/>
              </w:rPr>
              <w:instrText xml:space="preserve"> PAGEREF _Toc67557929 \h </w:instrText>
            </w:r>
            <w:r w:rsidR="007D3353" w:rsidRPr="007D3353">
              <w:rPr>
                <w:noProof/>
                <w:webHidden/>
                <w:sz w:val="18"/>
                <w:szCs w:val="18"/>
              </w:rPr>
            </w:r>
            <w:r w:rsidR="007D3353" w:rsidRPr="007D3353">
              <w:rPr>
                <w:noProof/>
                <w:webHidden/>
                <w:sz w:val="18"/>
                <w:szCs w:val="18"/>
              </w:rPr>
              <w:fldChar w:fldCharType="separate"/>
            </w:r>
            <w:r w:rsidR="00F05BD0">
              <w:rPr>
                <w:noProof/>
                <w:webHidden/>
                <w:sz w:val="18"/>
                <w:szCs w:val="18"/>
              </w:rPr>
              <w:t>5</w:t>
            </w:r>
            <w:r w:rsidR="007D3353" w:rsidRPr="007D3353">
              <w:rPr>
                <w:noProof/>
                <w:webHidden/>
                <w:sz w:val="18"/>
                <w:szCs w:val="18"/>
              </w:rPr>
              <w:fldChar w:fldCharType="end"/>
            </w:r>
          </w:hyperlink>
        </w:p>
        <w:p w14:paraId="03CE8A1F" w14:textId="176ADAE9" w:rsidR="007D3353" w:rsidRPr="007D3353" w:rsidRDefault="00404D52" w:rsidP="007D3353">
          <w:pPr>
            <w:pStyle w:val="TDC2"/>
            <w:tabs>
              <w:tab w:val="right" w:leader="dot" w:pos="7696"/>
            </w:tabs>
            <w:spacing w:before="0" w:beforeAutospacing="0" w:after="0" w:afterAutospacing="0" w:line="240" w:lineRule="auto"/>
            <w:rPr>
              <w:rFonts w:asciiTheme="minorHAnsi" w:eastAsiaTheme="minorEastAsia" w:hAnsiTheme="minorHAnsi"/>
              <w:noProof/>
              <w:sz w:val="18"/>
              <w:szCs w:val="18"/>
              <w:lang w:eastAsia="es-MX"/>
            </w:rPr>
          </w:pPr>
          <w:hyperlink w:anchor="_Toc67557930" w:history="1">
            <w:r w:rsidR="007D3353" w:rsidRPr="007D3353">
              <w:rPr>
                <w:rStyle w:val="Hipervnculo"/>
                <w:rFonts w:cs="Arial"/>
                <w:noProof/>
                <w:sz w:val="18"/>
                <w:szCs w:val="18"/>
              </w:rPr>
              <w:t>2. Decisión</w:t>
            </w:r>
            <w:r w:rsidR="007D3353" w:rsidRPr="007D3353">
              <w:rPr>
                <w:noProof/>
                <w:webHidden/>
                <w:sz w:val="18"/>
                <w:szCs w:val="18"/>
              </w:rPr>
              <w:tab/>
            </w:r>
            <w:r w:rsidR="007D3353" w:rsidRPr="007D3353">
              <w:rPr>
                <w:noProof/>
                <w:webHidden/>
                <w:sz w:val="18"/>
                <w:szCs w:val="18"/>
              </w:rPr>
              <w:fldChar w:fldCharType="begin"/>
            </w:r>
            <w:r w:rsidR="007D3353" w:rsidRPr="007D3353">
              <w:rPr>
                <w:noProof/>
                <w:webHidden/>
                <w:sz w:val="18"/>
                <w:szCs w:val="18"/>
              </w:rPr>
              <w:instrText xml:space="preserve"> PAGEREF _Toc67557930 \h </w:instrText>
            </w:r>
            <w:r w:rsidR="007D3353" w:rsidRPr="007D3353">
              <w:rPr>
                <w:noProof/>
                <w:webHidden/>
                <w:sz w:val="18"/>
                <w:szCs w:val="18"/>
              </w:rPr>
            </w:r>
            <w:r w:rsidR="007D3353" w:rsidRPr="007D3353">
              <w:rPr>
                <w:noProof/>
                <w:webHidden/>
                <w:sz w:val="18"/>
                <w:szCs w:val="18"/>
              </w:rPr>
              <w:fldChar w:fldCharType="separate"/>
            </w:r>
            <w:r w:rsidR="00F05BD0">
              <w:rPr>
                <w:noProof/>
                <w:webHidden/>
                <w:sz w:val="18"/>
                <w:szCs w:val="18"/>
              </w:rPr>
              <w:t>6</w:t>
            </w:r>
            <w:r w:rsidR="007D3353" w:rsidRPr="007D3353">
              <w:rPr>
                <w:noProof/>
                <w:webHidden/>
                <w:sz w:val="18"/>
                <w:szCs w:val="18"/>
              </w:rPr>
              <w:fldChar w:fldCharType="end"/>
            </w:r>
          </w:hyperlink>
        </w:p>
        <w:p w14:paraId="25956FF3" w14:textId="3BD0D66F" w:rsidR="007D3353" w:rsidRPr="007D3353" w:rsidRDefault="00404D52" w:rsidP="007D3353">
          <w:pPr>
            <w:pStyle w:val="TDC2"/>
            <w:tabs>
              <w:tab w:val="right" w:leader="dot" w:pos="7696"/>
            </w:tabs>
            <w:spacing w:before="0" w:beforeAutospacing="0" w:after="0" w:afterAutospacing="0" w:line="240" w:lineRule="auto"/>
            <w:rPr>
              <w:rFonts w:asciiTheme="minorHAnsi" w:eastAsiaTheme="minorEastAsia" w:hAnsiTheme="minorHAnsi"/>
              <w:noProof/>
              <w:sz w:val="18"/>
              <w:szCs w:val="18"/>
              <w:lang w:eastAsia="es-MX"/>
            </w:rPr>
          </w:pPr>
          <w:hyperlink w:anchor="_Toc67557931" w:history="1">
            <w:r w:rsidR="007D3353" w:rsidRPr="007D3353">
              <w:rPr>
                <w:rStyle w:val="Hipervnculo"/>
                <w:rFonts w:cs="Arial"/>
                <w:noProof/>
                <w:sz w:val="18"/>
                <w:szCs w:val="18"/>
              </w:rPr>
              <w:t>3. Justificación</w:t>
            </w:r>
            <w:r w:rsidR="007D3353" w:rsidRPr="007D3353">
              <w:rPr>
                <w:noProof/>
                <w:webHidden/>
                <w:sz w:val="18"/>
                <w:szCs w:val="18"/>
              </w:rPr>
              <w:tab/>
            </w:r>
            <w:r w:rsidR="007D3353" w:rsidRPr="007D3353">
              <w:rPr>
                <w:noProof/>
                <w:webHidden/>
                <w:sz w:val="18"/>
                <w:szCs w:val="18"/>
              </w:rPr>
              <w:fldChar w:fldCharType="begin"/>
            </w:r>
            <w:r w:rsidR="007D3353" w:rsidRPr="007D3353">
              <w:rPr>
                <w:noProof/>
                <w:webHidden/>
                <w:sz w:val="18"/>
                <w:szCs w:val="18"/>
              </w:rPr>
              <w:instrText xml:space="preserve"> PAGEREF _Toc67557931 \h </w:instrText>
            </w:r>
            <w:r w:rsidR="007D3353" w:rsidRPr="007D3353">
              <w:rPr>
                <w:noProof/>
                <w:webHidden/>
                <w:sz w:val="18"/>
                <w:szCs w:val="18"/>
              </w:rPr>
            </w:r>
            <w:r w:rsidR="007D3353" w:rsidRPr="007D3353">
              <w:rPr>
                <w:noProof/>
                <w:webHidden/>
                <w:sz w:val="18"/>
                <w:szCs w:val="18"/>
              </w:rPr>
              <w:fldChar w:fldCharType="separate"/>
            </w:r>
            <w:r w:rsidR="00F05BD0">
              <w:rPr>
                <w:noProof/>
                <w:webHidden/>
                <w:sz w:val="18"/>
                <w:szCs w:val="18"/>
              </w:rPr>
              <w:t>6</w:t>
            </w:r>
            <w:r w:rsidR="007D3353" w:rsidRPr="007D3353">
              <w:rPr>
                <w:noProof/>
                <w:webHidden/>
                <w:sz w:val="18"/>
                <w:szCs w:val="18"/>
              </w:rPr>
              <w:fldChar w:fldCharType="end"/>
            </w:r>
          </w:hyperlink>
        </w:p>
        <w:p w14:paraId="70F488F4" w14:textId="6ED90FF9" w:rsidR="007D3353" w:rsidRPr="007D3353" w:rsidRDefault="00404D52" w:rsidP="007D3353">
          <w:pPr>
            <w:pStyle w:val="TDC2"/>
            <w:tabs>
              <w:tab w:val="right" w:leader="dot" w:pos="7696"/>
            </w:tabs>
            <w:spacing w:before="0" w:beforeAutospacing="0" w:after="0" w:afterAutospacing="0" w:line="240" w:lineRule="auto"/>
            <w:rPr>
              <w:rFonts w:asciiTheme="minorHAnsi" w:eastAsiaTheme="minorEastAsia" w:hAnsiTheme="minorHAnsi"/>
              <w:noProof/>
              <w:sz w:val="18"/>
              <w:szCs w:val="18"/>
              <w:lang w:eastAsia="es-MX"/>
            </w:rPr>
          </w:pPr>
          <w:hyperlink w:anchor="_Toc67557932" w:history="1">
            <w:r w:rsidR="007D3353" w:rsidRPr="007D3353">
              <w:rPr>
                <w:rStyle w:val="Hipervnculo"/>
                <w:rFonts w:cs="Arial"/>
                <w:noProof/>
                <w:sz w:val="18"/>
                <w:szCs w:val="18"/>
              </w:rPr>
              <w:t>3.1 ¿Qué se le ordenó al INE al resolver el SUP-RAP-21/2021 y acumulados?</w:t>
            </w:r>
            <w:r w:rsidR="007D3353" w:rsidRPr="007D3353">
              <w:rPr>
                <w:noProof/>
                <w:webHidden/>
                <w:sz w:val="18"/>
                <w:szCs w:val="18"/>
              </w:rPr>
              <w:tab/>
            </w:r>
            <w:r w:rsidR="007D3353" w:rsidRPr="007D3353">
              <w:rPr>
                <w:noProof/>
                <w:webHidden/>
                <w:sz w:val="18"/>
                <w:szCs w:val="18"/>
              </w:rPr>
              <w:fldChar w:fldCharType="begin"/>
            </w:r>
            <w:r w:rsidR="007D3353" w:rsidRPr="007D3353">
              <w:rPr>
                <w:noProof/>
                <w:webHidden/>
                <w:sz w:val="18"/>
                <w:szCs w:val="18"/>
              </w:rPr>
              <w:instrText xml:space="preserve"> PAGEREF _Toc67557932 \h </w:instrText>
            </w:r>
            <w:r w:rsidR="007D3353" w:rsidRPr="007D3353">
              <w:rPr>
                <w:noProof/>
                <w:webHidden/>
                <w:sz w:val="18"/>
                <w:szCs w:val="18"/>
              </w:rPr>
            </w:r>
            <w:r w:rsidR="007D3353" w:rsidRPr="007D3353">
              <w:rPr>
                <w:noProof/>
                <w:webHidden/>
                <w:sz w:val="18"/>
                <w:szCs w:val="18"/>
              </w:rPr>
              <w:fldChar w:fldCharType="separate"/>
            </w:r>
            <w:r w:rsidR="00F05BD0">
              <w:rPr>
                <w:noProof/>
                <w:webHidden/>
                <w:sz w:val="18"/>
                <w:szCs w:val="18"/>
              </w:rPr>
              <w:t>6</w:t>
            </w:r>
            <w:r w:rsidR="007D3353" w:rsidRPr="007D3353">
              <w:rPr>
                <w:noProof/>
                <w:webHidden/>
                <w:sz w:val="18"/>
                <w:szCs w:val="18"/>
              </w:rPr>
              <w:fldChar w:fldCharType="end"/>
            </w:r>
          </w:hyperlink>
        </w:p>
        <w:p w14:paraId="7036E403" w14:textId="0A490321" w:rsidR="007D3353" w:rsidRPr="007D3353" w:rsidRDefault="00404D52" w:rsidP="007D3353">
          <w:pPr>
            <w:pStyle w:val="TDC2"/>
            <w:tabs>
              <w:tab w:val="right" w:leader="dot" w:pos="7696"/>
            </w:tabs>
            <w:spacing w:before="0" w:beforeAutospacing="0" w:after="0" w:afterAutospacing="0" w:line="240" w:lineRule="auto"/>
            <w:rPr>
              <w:rFonts w:asciiTheme="minorHAnsi" w:eastAsiaTheme="minorEastAsia" w:hAnsiTheme="minorHAnsi"/>
              <w:noProof/>
              <w:sz w:val="18"/>
              <w:szCs w:val="18"/>
              <w:lang w:eastAsia="es-MX"/>
            </w:rPr>
          </w:pPr>
          <w:hyperlink w:anchor="_Toc67557933" w:history="1">
            <w:r w:rsidR="007D3353" w:rsidRPr="007D3353">
              <w:rPr>
                <w:rStyle w:val="Hipervnculo"/>
                <w:rFonts w:cs="Arial"/>
                <w:noProof/>
                <w:sz w:val="18"/>
                <w:szCs w:val="18"/>
              </w:rPr>
              <w:t>3.2 ¿Qué hizo el INE?</w:t>
            </w:r>
            <w:r w:rsidR="007D3353" w:rsidRPr="007D3353">
              <w:rPr>
                <w:noProof/>
                <w:webHidden/>
                <w:sz w:val="18"/>
                <w:szCs w:val="18"/>
              </w:rPr>
              <w:tab/>
            </w:r>
            <w:r w:rsidR="007D3353" w:rsidRPr="007D3353">
              <w:rPr>
                <w:noProof/>
                <w:webHidden/>
                <w:sz w:val="18"/>
                <w:szCs w:val="18"/>
              </w:rPr>
              <w:fldChar w:fldCharType="begin"/>
            </w:r>
            <w:r w:rsidR="007D3353" w:rsidRPr="007D3353">
              <w:rPr>
                <w:noProof/>
                <w:webHidden/>
                <w:sz w:val="18"/>
                <w:szCs w:val="18"/>
              </w:rPr>
              <w:instrText xml:space="preserve"> PAGEREF _Toc67557933 \h </w:instrText>
            </w:r>
            <w:r w:rsidR="007D3353" w:rsidRPr="007D3353">
              <w:rPr>
                <w:noProof/>
                <w:webHidden/>
                <w:sz w:val="18"/>
                <w:szCs w:val="18"/>
              </w:rPr>
            </w:r>
            <w:r w:rsidR="007D3353" w:rsidRPr="007D3353">
              <w:rPr>
                <w:noProof/>
                <w:webHidden/>
                <w:sz w:val="18"/>
                <w:szCs w:val="18"/>
              </w:rPr>
              <w:fldChar w:fldCharType="separate"/>
            </w:r>
            <w:r w:rsidR="00F05BD0">
              <w:rPr>
                <w:noProof/>
                <w:webHidden/>
                <w:sz w:val="18"/>
                <w:szCs w:val="18"/>
              </w:rPr>
              <w:t>7</w:t>
            </w:r>
            <w:r w:rsidR="007D3353" w:rsidRPr="007D3353">
              <w:rPr>
                <w:noProof/>
                <w:webHidden/>
                <w:sz w:val="18"/>
                <w:szCs w:val="18"/>
              </w:rPr>
              <w:fldChar w:fldCharType="end"/>
            </w:r>
          </w:hyperlink>
        </w:p>
        <w:p w14:paraId="04D62C2C" w14:textId="2EA98429" w:rsidR="007D3353" w:rsidRPr="007D3353" w:rsidRDefault="00404D52" w:rsidP="007D3353">
          <w:pPr>
            <w:pStyle w:val="TDC2"/>
            <w:tabs>
              <w:tab w:val="right" w:leader="dot" w:pos="7696"/>
            </w:tabs>
            <w:spacing w:before="0" w:beforeAutospacing="0" w:after="0" w:afterAutospacing="0" w:line="240" w:lineRule="auto"/>
            <w:rPr>
              <w:rFonts w:asciiTheme="minorHAnsi" w:eastAsiaTheme="minorEastAsia" w:hAnsiTheme="minorHAnsi"/>
              <w:noProof/>
              <w:sz w:val="18"/>
              <w:szCs w:val="18"/>
              <w:lang w:eastAsia="es-MX"/>
            </w:rPr>
          </w:pPr>
          <w:hyperlink w:anchor="_Toc67557934" w:history="1">
            <w:r w:rsidR="007D3353" w:rsidRPr="007D3353">
              <w:rPr>
                <w:rStyle w:val="Hipervnculo"/>
                <w:rFonts w:cs="Arial"/>
                <w:noProof/>
                <w:sz w:val="18"/>
                <w:szCs w:val="18"/>
              </w:rPr>
              <w:t>3.3 ¿Qué considera Sala Superior?</w:t>
            </w:r>
            <w:r w:rsidR="007D3353" w:rsidRPr="007D3353">
              <w:rPr>
                <w:noProof/>
                <w:webHidden/>
                <w:sz w:val="18"/>
                <w:szCs w:val="18"/>
              </w:rPr>
              <w:tab/>
            </w:r>
            <w:r w:rsidR="007D3353" w:rsidRPr="007D3353">
              <w:rPr>
                <w:noProof/>
                <w:webHidden/>
                <w:sz w:val="18"/>
                <w:szCs w:val="18"/>
              </w:rPr>
              <w:fldChar w:fldCharType="begin"/>
            </w:r>
            <w:r w:rsidR="007D3353" w:rsidRPr="007D3353">
              <w:rPr>
                <w:noProof/>
                <w:webHidden/>
                <w:sz w:val="18"/>
                <w:szCs w:val="18"/>
              </w:rPr>
              <w:instrText xml:space="preserve"> PAGEREF _Toc67557934 \h </w:instrText>
            </w:r>
            <w:r w:rsidR="007D3353" w:rsidRPr="007D3353">
              <w:rPr>
                <w:noProof/>
                <w:webHidden/>
                <w:sz w:val="18"/>
                <w:szCs w:val="18"/>
              </w:rPr>
            </w:r>
            <w:r w:rsidR="007D3353" w:rsidRPr="007D3353">
              <w:rPr>
                <w:noProof/>
                <w:webHidden/>
                <w:sz w:val="18"/>
                <w:szCs w:val="18"/>
              </w:rPr>
              <w:fldChar w:fldCharType="separate"/>
            </w:r>
            <w:r w:rsidR="00F05BD0">
              <w:rPr>
                <w:noProof/>
                <w:webHidden/>
                <w:sz w:val="18"/>
                <w:szCs w:val="18"/>
              </w:rPr>
              <w:t>9</w:t>
            </w:r>
            <w:r w:rsidR="007D3353" w:rsidRPr="007D3353">
              <w:rPr>
                <w:noProof/>
                <w:webHidden/>
                <w:sz w:val="18"/>
                <w:szCs w:val="18"/>
              </w:rPr>
              <w:fldChar w:fldCharType="end"/>
            </w:r>
          </w:hyperlink>
        </w:p>
        <w:p w14:paraId="276948D0" w14:textId="7E88EFA7" w:rsidR="007D3353" w:rsidRPr="007D3353" w:rsidRDefault="00404D52" w:rsidP="007D3353">
          <w:pPr>
            <w:pStyle w:val="TDC2"/>
            <w:tabs>
              <w:tab w:val="right" w:leader="dot" w:pos="7696"/>
            </w:tabs>
            <w:spacing w:before="0" w:beforeAutospacing="0" w:after="0" w:afterAutospacing="0" w:line="240" w:lineRule="auto"/>
            <w:rPr>
              <w:rFonts w:asciiTheme="minorHAnsi" w:eastAsiaTheme="minorEastAsia" w:hAnsiTheme="minorHAnsi"/>
              <w:noProof/>
              <w:sz w:val="18"/>
              <w:szCs w:val="18"/>
              <w:lang w:eastAsia="es-MX"/>
            </w:rPr>
          </w:pPr>
          <w:hyperlink w:anchor="_Toc67557935" w:history="1">
            <w:r w:rsidR="007D3353" w:rsidRPr="007D3353">
              <w:rPr>
                <w:rStyle w:val="Hipervnculo"/>
                <w:rFonts w:cs="Arial"/>
                <w:noProof/>
                <w:sz w:val="18"/>
                <w:szCs w:val="18"/>
              </w:rPr>
              <w:t>4. ¿Cómo se debe acreditar la calidad de migrante?</w:t>
            </w:r>
            <w:r w:rsidR="007D3353" w:rsidRPr="007D3353">
              <w:rPr>
                <w:noProof/>
                <w:webHidden/>
                <w:sz w:val="18"/>
                <w:szCs w:val="18"/>
              </w:rPr>
              <w:tab/>
            </w:r>
            <w:r w:rsidR="007D3353" w:rsidRPr="007D3353">
              <w:rPr>
                <w:noProof/>
                <w:webHidden/>
                <w:sz w:val="18"/>
                <w:szCs w:val="18"/>
              </w:rPr>
              <w:fldChar w:fldCharType="begin"/>
            </w:r>
            <w:r w:rsidR="007D3353" w:rsidRPr="007D3353">
              <w:rPr>
                <w:noProof/>
                <w:webHidden/>
                <w:sz w:val="18"/>
                <w:szCs w:val="18"/>
              </w:rPr>
              <w:instrText xml:space="preserve"> PAGEREF _Toc67557935 \h </w:instrText>
            </w:r>
            <w:r w:rsidR="007D3353" w:rsidRPr="007D3353">
              <w:rPr>
                <w:noProof/>
                <w:webHidden/>
                <w:sz w:val="18"/>
                <w:szCs w:val="18"/>
              </w:rPr>
            </w:r>
            <w:r w:rsidR="007D3353" w:rsidRPr="007D3353">
              <w:rPr>
                <w:noProof/>
                <w:webHidden/>
                <w:sz w:val="18"/>
                <w:szCs w:val="18"/>
              </w:rPr>
              <w:fldChar w:fldCharType="separate"/>
            </w:r>
            <w:r w:rsidR="00F05BD0">
              <w:rPr>
                <w:noProof/>
                <w:webHidden/>
                <w:sz w:val="18"/>
                <w:szCs w:val="18"/>
              </w:rPr>
              <w:t>16</w:t>
            </w:r>
            <w:r w:rsidR="007D3353" w:rsidRPr="007D3353">
              <w:rPr>
                <w:noProof/>
                <w:webHidden/>
                <w:sz w:val="18"/>
                <w:szCs w:val="18"/>
              </w:rPr>
              <w:fldChar w:fldCharType="end"/>
            </w:r>
          </w:hyperlink>
        </w:p>
        <w:p w14:paraId="0D1B0937" w14:textId="6B0708A2" w:rsidR="007D3353" w:rsidRPr="007D3353" w:rsidRDefault="00404D52" w:rsidP="007D3353">
          <w:pPr>
            <w:pStyle w:val="TDC2"/>
            <w:tabs>
              <w:tab w:val="right" w:leader="dot" w:pos="7696"/>
            </w:tabs>
            <w:spacing w:before="0" w:beforeAutospacing="0" w:after="0" w:afterAutospacing="0" w:line="240" w:lineRule="auto"/>
            <w:rPr>
              <w:rFonts w:asciiTheme="minorHAnsi" w:eastAsiaTheme="minorEastAsia" w:hAnsiTheme="minorHAnsi"/>
              <w:noProof/>
              <w:sz w:val="18"/>
              <w:szCs w:val="18"/>
              <w:lang w:eastAsia="es-MX"/>
            </w:rPr>
          </w:pPr>
          <w:hyperlink w:anchor="_Toc67557936" w:history="1">
            <w:r w:rsidR="007D3353" w:rsidRPr="007D3353">
              <w:rPr>
                <w:rStyle w:val="Hipervnculo"/>
                <w:rFonts w:cs="Arial"/>
                <w:noProof/>
                <w:sz w:val="18"/>
                <w:szCs w:val="18"/>
              </w:rPr>
              <w:t>5. Efectos</w:t>
            </w:r>
            <w:r w:rsidR="007D3353" w:rsidRPr="007D3353">
              <w:rPr>
                <w:noProof/>
                <w:webHidden/>
                <w:sz w:val="18"/>
                <w:szCs w:val="18"/>
              </w:rPr>
              <w:tab/>
            </w:r>
            <w:r w:rsidR="007D3353" w:rsidRPr="007D3353">
              <w:rPr>
                <w:noProof/>
                <w:webHidden/>
                <w:sz w:val="18"/>
                <w:szCs w:val="18"/>
              </w:rPr>
              <w:fldChar w:fldCharType="begin"/>
            </w:r>
            <w:r w:rsidR="007D3353" w:rsidRPr="007D3353">
              <w:rPr>
                <w:noProof/>
                <w:webHidden/>
                <w:sz w:val="18"/>
                <w:szCs w:val="18"/>
              </w:rPr>
              <w:instrText xml:space="preserve"> PAGEREF _Toc67557936 \h </w:instrText>
            </w:r>
            <w:r w:rsidR="007D3353" w:rsidRPr="007D3353">
              <w:rPr>
                <w:noProof/>
                <w:webHidden/>
                <w:sz w:val="18"/>
                <w:szCs w:val="18"/>
              </w:rPr>
            </w:r>
            <w:r w:rsidR="007D3353" w:rsidRPr="007D3353">
              <w:rPr>
                <w:noProof/>
                <w:webHidden/>
                <w:sz w:val="18"/>
                <w:szCs w:val="18"/>
              </w:rPr>
              <w:fldChar w:fldCharType="separate"/>
            </w:r>
            <w:r w:rsidR="00F05BD0">
              <w:rPr>
                <w:noProof/>
                <w:webHidden/>
                <w:sz w:val="18"/>
                <w:szCs w:val="18"/>
              </w:rPr>
              <w:t>17</w:t>
            </w:r>
            <w:r w:rsidR="007D3353" w:rsidRPr="007D3353">
              <w:rPr>
                <w:noProof/>
                <w:webHidden/>
                <w:sz w:val="18"/>
                <w:szCs w:val="18"/>
              </w:rPr>
              <w:fldChar w:fldCharType="end"/>
            </w:r>
          </w:hyperlink>
        </w:p>
        <w:p w14:paraId="613D388D" w14:textId="2E8ABBC3" w:rsidR="007D3353" w:rsidRPr="007D3353" w:rsidRDefault="00404D52" w:rsidP="007D3353">
          <w:pPr>
            <w:pStyle w:val="TDC1"/>
            <w:spacing w:after="0"/>
            <w:jc w:val="both"/>
            <w:rPr>
              <w:rFonts w:asciiTheme="minorHAnsi" w:eastAsiaTheme="minorEastAsia" w:hAnsiTheme="minorHAnsi"/>
              <w:noProof/>
              <w:lang w:eastAsia="es-MX"/>
            </w:rPr>
          </w:pPr>
          <w:hyperlink w:anchor="_Toc67557937" w:history="1">
            <w:r w:rsidR="007D3353" w:rsidRPr="007D3353">
              <w:rPr>
                <w:rStyle w:val="Hipervnculo"/>
                <w:rFonts w:eastAsiaTheme="majorEastAsia" w:cs="Arial"/>
                <w:noProof/>
                <w:bdr w:val="none" w:sz="0" w:space="0" w:color="auto" w:frame="1"/>
                <w:lang w:eastAsia="es-ES"/>
              </w:rPr>
              <w:t>VII. RESUELVE</w:t>
            </w:r>
            <w:r w:rsidR="007D3353" w:rsidRPr="007D3353">
              <w:rPr>
                <w:noProof/>
                <w:webHidden/>
              </w:rPr>
              <w:tab/>
            </w:r>
            <w:r w:rsidR="007D3353" w:rsidRPr="007D3353">
              <w:rPr>
                <w:noProof/>
                <w:webHidden/>
              </w:rPr>
              <w:fldChar w:fldCharType="begin"/>
            </w:r>
            <w:r w:rsidR="007D3353" w:rsidRPr="007D3353">
              <w:rPr>
                <w:noProof/>
                <w:webHidden/>
              </w:rPr>
              <w:instrText xml:space="preserve"> PAGEREF _Toc67557937 \h </w:instrText>
            </w:r>
            <w:r w:rsidR="007D3353" w:rsidRPr="007D3353">
              <w:rPr>
                <w:noProof/>
                <w:webHidden/>
              </w:rPr>
            </w:r>
            <w:r w:rsidR="007D3353" w:rsidRPr="007D3353">
              <w:rPr>
                <w:noProof/>
                <w:webHidden/>
              </w:rPr>
              <w:fldChar w:fldCharType="separate"/>
            </w:r>
            <w:r w:rsidR="00F05BD0">
              <w:rPr>
                <w:noProof/>
                <w:webHidden/>
              </w:rPr>
              <w:t>18</w:t>
            </w:r>
            <w:r w:rsidR="007D3353" w:rsidRPr="007D3353">
              <w:rPr>
                <w:noProof/>
                <w:webHidden/>
              </w:rPr>
              <w:fldChar w:fldCharType="end"/>
            </w:r>
          </w:hyperlink>
        </w:p>
        <w:p w14:paraId="6E8BD287" w14:textId="04AF748F" w:rsidR="009310D8" w:rsidRPr="00EB18B4" w:rsidRDefault="009310D8" w:rsidP="007D3353">
          <w:pPr>
            <w:spacing w:before="0" w:beforeAutospacing="0" w:after="0" w:afterAutospacing="0" w:line="240" w:lineRule="auto"/>
            <w:rPr>
              <w:rFonts w:cs="Arial"/>
              <w:sz w:val="18"/>
              <w:szCs w:val="18"/>
            </w:rPr>
          </w:pPr>
          <w:r w:rsidRPr="007D3353">
            <w:rPr>
              <w:rFonts w:cs="Arial"/>
              <w:sz w:val="18"/>
              <w:szCs w:val="18"/>
            </w:rPr>
            <w:fldChar w:fldCharType="end"/>
          </w:r>
        </w:p>
      </w:sdtContent>
    </w:sdt>
    <w:p w14:paraId="05188181" w14:textId="77777777" w:rsidR="009310D8" w:rsidRPr="00B85ADC" w:rsidRDefault="009310D8" w:rsidP="00BE1AEC">
      <w:pPr>
        <w:tabs>
          <w:tab w:val="left" w:pos="8080"/>
        </w:tabs>
        <w:ind w:right="79"/>
        <w:contextualSpacing/>
        <w:jc w:val="center"/>
        <w:outlineLvl w:val="0"/>
        <w:rPr>
          <w:rFonts w:eastAsiaTheme="majorEastAsia" w:cs="Arial"/>
          <w:b/>
          <w:color w:val="000000" w:themeColor="text1"/>
          <w:bdr w:val="none" w:sz="0" w:space="0" w:color="auto" w:frame="1"/>
        </w:rPr>
      </w:pPr>
      <w:bookmarkStart w:id="5" w:name="_Toc67557922"/>
      <w:r w:rsidRPr="00B85ADC">
        <w:rPr>
          <w:rFonts w:eastAsiaTheme="majorEastAsia" w:cs="Arial"/>
          <w:b/>
          <w:color w:val="000000" w:themeColor="text1"/>
          <w:bdr w:val="none" w:sz="0" w:space="0" w:color="auto" w:frame="1"/>
        </w:rPr>
        <w:t>GLOSARIO</w:t>
      </w:r>
      <w:bookmarkEnd w:id="5"/>
    </w:p>
    <w:tbl>
      <w:tblPr>
        <w:tblW w:w="7797" w:type="dxa"/>
        <w:jc w:val="center"/>
        <w:tblLook w:val="01E0" w:firstRow="1" w:lastRow="1" w:firstColumn="1" w:lastColumn="1" w:noHBand="0" w:noVBand="0"/>
      </w:tblPr>
      <w:tblGrid>
        <w:gridCol w:w="2127"/>
        <w:gridCol w:w="5670"/>
      </w:tblGrid>
      <w:tr w:rsidR="009310D8" w:rsidRPr="00B96E5E" w14:paraId="280CCD96" w14:textId="77777777" w:rsidTr="003B09E3">
        <w:trPr>
          <w:trHeight w:val="284"/>
          <w:jc w:val="center"/>
        </w:trPr>
        <w:tc>
          <w:tcPr>
            <w:tcW w:w="2127" w:type="dxa"/>
            <w:vAlign w:val="center"/>
          </w:tcPr>
          <w:p w14:paraId="182CDA1A" w14:textId="30241445" w:rsidR="009310D8" w:rsidRPr="00B96E5E" w:rsidRDefault="00036F0A" w:rsidP="00DE41E7">
            <w:pPr>
              <w:spacing w:before="0" w:beforeAutospacing="0" w:after="0" w:afterAutospacing="0" w:line="240" w:lineRule="auto"/>
              <w:rPr>
                <w:rFonts w:cs="Arial"/>
                <w:b/>
                <w:sz w:val="18"/>
                <w:szCs w:val="18"/>
                <w:lang w:eastAsia="es-MX"/>
              </w:rPr>
            </w:pPr>
            <w:r>
              <w:rPr>
                <w:rFonts w:cs="Arial"/>
                <w:b/>
                <w:sz w:val="18"/>
                <w:szCs w:val="18"/>
                <w:lang w:eastAsia="es-MX"/>
              </w:rPr>
              <w:t>Parte a</w:t>
            </w:r>
            <w:r w:rsidR="009310D8" w:rsidRPr="00B96E5E">
              <w:rPr>
                <w:rFonts w:cs="Arial"/>
                <w:b/>
                <w:sz w:val="18"/>
                <w:szCs w:val="18"/>
                <w:lang w:eastAsia="es-MX"/>
              </w:rPr>
              <w:t>ctor</w:t>
            </w:r>
            <w:r>
              <w:rPr>
                <w:rFonts w:cs="Arial"/>
                <w:b/>
                <w:sz w:val="18"/>
                <w:szCs w:val="18"/>
                <w:lang w:eastAsia="es-MX"/>
              </w:rPr>
              <w:t>a</w:t>
            </w:r>
            <w:r w:rsidR="009310D8" w:rsidRPr="00B96E5E">
              <w:rPr>
                <w:rFonts w:cs="Arial"/>
                <w:b/>
                <w:sz w:val="18"/>
                <w:szCs w:val="18"/>
                <w:lang w:eastAsia="es-MX"/>
              </w:rPr>
              <w:t>:</w:t>
            </w:r>
          </w:p>
        </w:tc>
        <w:tc>
          <w:tcPr>
            <w:tcW w:w="5670" w:type="dxa"/>
            <w:vAlign w:val="center"/>
          </w:tcPr>
          <w:p w14:paraId="0BB7DFAE" w14:textId="77777777" w:rsidR="009310D8" w:rsidRPr="00B96E5E" w:rsidRDefault="009310D8" w:rsidP="00DE41E7">
            <w:pPr>
              <w:spacing w:before="0" w:beforeAutospacing="0" w:after="0" w:afterAutospacing="0" w:line="240" w:lineRule="auto"/>
              <w:rPr>
                <w:rFonts w:cs="Arial"/>
                <w:sz w:val="18"/>
                <w:szCs w:val="18"/>
                <w:lang w:eastAsia="es-MX"/>
              </w:rPr>
            </w:pPr>
            <w:r w:rsidRPr="00387D2F">
              <w:rPr>
                <w:rFonts w:cs="Arial"/>
                <w:sz w:val="18"/>
                <w:szCs w:val="18"/>
                <w:lang w:eastAsia="es-MX"/>
              </w:rPr>
              <w:t>Aaron Ortíz Santos</w:t>
            </w:r>
            <w:r>
              <w:rPr>
                <w:rFonts w:cs="Arial"/>
                <w:sz w:val="18"/>
                <w:szCs w:val="18"/>
                <w:lang w:eastAsia="es-MX"/>
              </w:rPr>
              <w:t xml:space="preserve">, </w:t>
            </w:r>
            <w:r w:rsidRPr="00387D2F">
              <w:rPr>
                <w:rFonts w:cs="Arial"/>
                <w:sz w:val="18"/>
                <w:szCs w:val="18"/>
                <w:lang w:eastAsia="es-MX"/>
              </w:rPr>
              <w:t>Carlos Manuel Martínez Hernández</w:t>
            </w:r>
            <w:r>
              <w:rPr>
                <w:rFonts w:cs="Arial"/>
                <w:sz w:val="18"/>
                <w:szCs w:val="18"/>
                <w:lang w:eastAsia="es-MX"/>
              </w:rPr>
              <w:t xml:space="preserve">, </w:t>
            </w:r>
            <w:r w:rsidRPr="00387D2F">
              <w:rPr>
                <w:rFonts w:cs="Arial"/>
                <w:sz w:val="18"/>
                <w:szCs w:val="18"/>
                <w:lang w:eastAsia="es-MX"/>
              </w:rPr>
              <w:t>Francisco Javier Moreno Castillo</w:t>
            </w:r>
            <w:r>
              <w:rPr>
                <w:rFonts w:cs="Arial"/>
                <w:sz w:val="18"/>
                <w:szCs w:val="18"/>
                <w:lang w:eastAsia="es-MX"/>
              </w:rPr>
              <w:t xml:space="preserve"> y otros.</w:t>
            </w:r>
          </w:p>
        </w:tc>
      </w:tr>
      <w:tr w:rsidR="009310D8" w:rsidRPr="00B96E5E" w14:paraId="438EF695" w14:textId="77777777" w:rsidTr="003B09E3">
        <w:trPr>
          <w:trHeight w:val="284"/>
          <w:jc w:val="center"/>
        </w:trPr>
        <w:tc>
          <w:tcPr>
            <w:tcW w:w="2127" w:type="dxa"/>
            <w:vAlign w:val="center"/>
          </w:tcPr>
          <w:p w14:paraId="0E37AFE3" w14:textId="77777777" w:rsidR="009310D8" w:rsidRPr="00B96E5E" w:rsidRDefault="009310D8" w:rsidP="00DE41E7">
            <w:pPr>
              <w:spacing w:before="0" w:beforeAutospacing="0" w:after="0" w:afterAutospacing="0" w:line="240" w:lineRule="auto"/>
              <w:rPr>
                <w:rFonts w:cs="Arial"/>
                <w:b/>
                <w:sz w:val="18"/>
                <w:szCs w:val="18"/>
                <w:lang w:eastAsia="es-MX"/>
              </w:rPr>
            </w:pPr>
            <w:r>
              <w:rPr>
                <w:rFonts w:cs="Arial"/>
                <w:b/>
                <w:sz w:val="18"/>
                <w:szCs w:val="18"/>
                <w:lang w:eastAsia="es-MX"/>
              </w:rPr>
              <w:t>Acuerdo impugnado:</w:t>
            </w:r>
          </w:p>
        </w:tc>
        <w:tc>
          <w:tcPr>
            <w:tcW w:w="5670" w:type="dxa"/>
            <w:vAlign w:val="center"/>
          </w:tcPr>
          <w:p w14:paraId="09635A61" w14:textId="77777777" w:rsidR="009310D8" w:rsidRPr="006B4C2D" w:rsidRDefault="009310D8" w:rsidP="00DE41E7">
            <w:pPr>
              <w:spacing w:before="0" w:beforeAutospacing="0" w:after="0" w:afterAutospacing="0" w:line="240" w:lineRule="auto"/>
              <w:rPr>
                <w:rFonts w:cs="Arial"/>
                <w:sz w:val="18"/>
                <w:szCs w:val="18"/>
                <w:lang w:eastAsia="es-MX"/>
              </w:rPr>
            </w:pPr>
            <w:bookmarkStart w:id="6" w:name="_Hlk67317242"/>
            <w:r w:rsidRPr="00387D2F">
              <w:rPr>
                <w:rFonts w:cs="Arial"/>
                <w:sz w:val="18"/>
                <w:szCs w:val="18"/>
                <w:lang w:eastAsia="es-MX"/>
              </w:rPr>
              <w:t>INE/CG160/2021.</w:t>
            </w:r>
            <w:bookmarkEnd w:id="6"/>
          </w:p>
        </w:tc>
      </w:tr>
      <w:tr w:rsidR="009310D8" w:rsidRPr="00B96E5E" w14:paraId="0198C278" w14:textId="77777777" w:rsidTr="003B09E3">
        <w:trPr>
          <w:trHeight w:val="284"/>
          <w:jc w:val="center"/>
        </w:trPr>
        <w:tc>
          <w:tcPr>
            <w:tcW w:w="2127" w:type="dxa"/>
            <w:vAlign w:val="center"/>
          </w:tcPr>
          <w:p w14:paraId="5E968692" w14:textId="77777777" w:rsidR="009310D8" w:rsidRPr="00B96E5E" w:rsidRDefault="009310D8" w:rsidP="00DE41E7">
            <w:pPr>
              <w:spacing w:before="0" w:beforeAutospacing="0" w:after="0" w:afterAutospacing="0" w:line="240" w:lineRule="auto"/>
              <w:rPr>
                <w:rFonts w:cs="Arial"/>
                <w:b/>
                <w:sz w:val="18"/>
                <w:szCs w:val="18"/>
                <w:lang w:eastAsia="es-MX"/>
              </w:rPr>
            </w:pPr>
            <w:r>
              <w:rPr>
                <w:rFonts w:cs="Arial"/>
                <w:b/>
                <w:sz w:val="18"/>
                <w:szCs w:val="18"/>
                <w:lang w:eastAsia="es-MX"/>
              </w:rPr>
              <w:t>Consejo General:</w:t>
            </w:r>
          </w:p>
        </w:tc>
        <w:tc>
          <w:tcPr>
            <w:tcW w:w="5670" w:type="dxa"/>
            <w:vAlign w:val="center"/>
          </w:tcPr>
          <w:p w14:paraId="4FB58414" w14:textId="77777777" w:rsidR="009310D8" w:rsidRPr="0024773C" w:rsidRDefault="009310D8" w:rsidP="00DE41E7">
            <w:pPr>
              <w:spacing w:before="0" w:beforeAutospacing="0" w:after="0" w:afterAutospacing="0" w:line="240" w:lineRule="auto"/>
              <w:rPr>
                <w:rFonts w:cs="Arial"/>
                <w:sz w:val="18"/>
                <w:szCs w:val="18"/>
                <w:lang w:eastAsia="es-MX"/>
              </w:rPr>
            </w:pPr>
            <w:r>
              <w:rPr>
                <w:rFonts w:cs="Arial"/>
                <w:sz w:val="18"/>
                <w:szCs w:val="18"/>
                <w:lang w:eastAsia="es-MX"/>
              </w:rPr>
              <w:t>Consejo General del Instituto Nacional Electoral.</w:t>
            </w:r>
          </w:p>
        </w:tc>
      </w:tr>
      <w:tr w:rsidR="009310D8" w:rsidRPr="00B96E5E" w14:paraId="3B52E3CD" w14:textId="77777777" w:rsidTr="003B09E3">
        <w:trPr>
          <w:trHeight w:val="284"/>
          <w:jc w:val="center"/>
        </w:trPr>
        <w:tc>
          <w:tcPr>
            <w:tcW w:w="2127" w:type="dxa"/>
            <w:vAlign w:val="center"/>
          </w:tcPr>
          <w:p w14:paraId="5C6928D8" w14:textId="77777777" w:rsidR="009310D8" w:rsidRPr="00B96E5E" w:rsidRDefault="009310D8" w:rsidP="00DE41E7">
            <w:pPr>
              <w:spacing w:before="0" w:beforeAutospacing="0" w:after="0" w:afterAutospacing="0" w:line="240" w:lineRule="auto"/>
              <w:rPr>
                <w:rFonts w:cs="Arial"/>
                <w:b/>
                <w:sz w:val="18"/>
                <w:szCs w:val="18"/>
                <w:lang w:eastAsia="es-MX"/>
              </w:rPr>
            </w:pPr>
            <w:r w:rsidRPr="00B96E5E">
              <w:rPr>
                <w:rFonts w:cs="Arial"/>
                <w:b/>
                <w:sz w:val="18"/>
                <w:szCs w:val="18"/>
                <w:lang w:eastAsia="es-MX"/>
              </w:rPr>
              <w:t>Juicio ciudadano:</w:t>
            </w:r>
          </w:p>
        </w:tc>
        <w:tc>
          <w:tcPr>
            <w:tcW w:w="5670" w:type="dxa"/>
            <w:vAlign w:val="center"/>
          </w:tcPr>
          <w:p w14:paraId="4950C99A" w14:textId="77777777" w:rsidR="009310D8" w:rsidRPr="00B96E5E" w:rsidRDefault="009310D8" w:rsidP="00DE41E7">
            <w:pPr>
              <w:spacing w:before="0" w:beforeAutospacing="0" w:after="0" w:afterAutospacing="0" w:line="240" w:lineRule="auto"/>
              <w:rPr>
                <w:rFonts w:cs="Arial"/>
                <w:sz w:val="18"/>
                <w:szCs w:val="18"/>
                <w:lang w:eastAsia="es-MX"/>
              </w:rPr>
            </w:pPr>
            <w:r w:rsidRPr="00B96E5E">
              <w:rPr>
                <w:rFonts w:cs="Arial"/>
                <w:sz w:val="18"/>
                <w:szCs w:val="18"/>
                <w:lang w:eastAsia="es-MX"/>
              </w:rPr>
              <w:t>Juicio para la protección de los derechos político-electorales del ciudadano</w:t>
            </w:r>
            <w:r>
              <w:rPr>
                <w:rFonts w:cs="Arial"/>
                <w:sz w:val="18"/>
                <w:szCs w:val="18"/>
                <w:lang w:eastAsia="es-MX"/>
              </w:rPr>
              <w:t>.</w:t>
            </w:r>
          </w:p>
        </w:tc>
      </w:tr>
      <w:tr w:rsidR="009310D8" w:rsidRPr="00B96E5E" w14:paraId="4085590C" w14:textId="77777777" w:rsidTr="003B09E3">
        <w:trPr>
          <w:trHeight w:val="284"/>
          <w:jc w:val="center"/>
        </w:trPr>
        <w:tc>
          <w:tcPr>
            <w:tcW w:w="2127" w:type="dxa"/>
            <w:vAlign w:val="center"/>
          </w:tcPr>
          <w:p w14:paraId="75F9F48E" w14:textId="77777777" w:rsidR="009310D8" w:rsidRPr="00B96E5E" w:rsidRDefault="009310D8" w:rsidP="00DE41E7">
            <w:pPr>
              <w:spacing w:before="0" w:beforeAutospacing="0" w:after="0" w:afterAutospacing="0" w:line="240" w:lineRule="auto"/>
              <w:rPr>
                <w:rFonts w:cs="Arial"/>
                <w:b/>
                <w:sz w:val="18"/>
                <w:szCs w:val="18"/>
              </w:rPr>
            </w:pPr>
            <w:r w:rsidRPr="00B96E5E">
              <w:rPr>
                <w:rFonts w:cs="Arial"/>
                <w:b/>
                <w:sz w:val="18"/>
                <w:szCs w:val="18"/>
              </w:rPr>
              <w:t>Ley de Medios:</w:t>
            </w:r>
          </w:p>
        </w:tc>
        <w:tc>
          <w:tcPr>
            <w:tcW w:w="5670" w:type="dxa"/>
            <w:vAlign w:val="center"/>
          </w:tcPr>
          <w:p w14:paraId="1127D790" w14:textId="77777777" w:rsidR="009310D8" w:rsidRPr="00B96E5E" w:rsidRDefault="009310D8" w:rsidP="00DE41E7">
            <w:pPr>
              <w:spacing w:before="0" w:beforeAutospacing="0" w:after="0" w:afterAutospacing="0" w:line="240" w:lineRule="auto"/>
              <w:rPr>
                <w:rFonts w:cs="Arial"/>
                <w:sz w:val="18"/>
                <w:szCs w:val="18"/>
                <w:lang w:eastAsia="es-MX"/>
              </w:rPr>
            </w:pPr>
            <w:r w:rsidRPr="00B96E5E">
              <w:rPr>
                <w:rFonts w:cs="Arial"/>
                <w:sz w:val="18"/>
                <w:szCs w:val="18"/>
                <w:lang w:eastAsia="es-MX"/>
              </w:rPr>
              <w:t>Ley General del Sistema de Medios de Impugnación en Materia Electoral</w:t>
            </w:r>
            <w:r>
              <w:rPr>
                <w:rFonts w:cs="Arial"/>
                <w:sz w:val="18"/>
                <w:szCs w:val="18"/>
                <w:lang w:eastAsia="es-MX"/>
              </w:rPr>
              <w:t>.</w:t>
            </w:r>
          </w:p>
        </w:tc>
      </w:tr>
      <w:tr w:rsidR="009310D8" w:rsidRPr="00B96E5E" w14:paraId="05B33F31" w14:textId="77777777" w:rsidTr="003B09E3">
        <w:trPr>
          <w:trHeight w:val="284"/>
          <w:jc w:val="center"/>
        </w:trPr>
        <w:tc>
          <w:tcPr>
            <w:tcW w:w="2127" w:type="dxa"/>
            <w:vAlign w:val="center"/>
          </w:tcPr>
          <w:p w14:paraId="56B601DE" w14:textId="77777777" w:rsidR="009310D8" w:rsidRPr="00B96E5E" w:rsidRDefault="009310D8" w:rsidP="00DE41E7">
            <w:pPr>
              <w:spacing w:before="0" w:beforeAutospacing="0" w:after="0" w:afterAutospacing="0" w:line="240" w:lineRule="auto"/>
              <w:rPr>
                <w:rFonts w:cs="Arial"/>
                <w:b/>
                <w:sz w:val="18"/>
                <w:szCs w:val="18"/>
              </w:rPr>
            </w:pPr>
            <w:r>
              <w:rPr>
                <w:rFonts w:cs="Arial"/>
                <w:b/>
                <w:sz w:val="18"/>
                <w:szCs w:val="18"/>
              </w:rPr>
              <w:t>Sala Superior:</w:t>
            </w:r>
          </w:p>
        </w:tc>
        <w:tc>
          <w:tcPr>
            <w:tcW w:w="5670" w:type="dxa"/>
            <w:vAlign w:val="center"/>
          </w:tcPr>
          <w:p w14:paraId="1F7279B1" w14:textId="77777777" w:rsidR="009310D8" w:rsidRPr="00B96E5E" w:rsidRDefault="009310D8" w:rsidP="00DE41E7">
            <w:pPr>
              <w:spacing w:before="0" w:beforeAutospacing="0" w:after="0" w:afterAutospacing="0" w:line="240" w:lineRule="auto"/>
              <w:rPr>
                <w:rFonts w:cs="Arial"/>
                <w:sz w:val="18"/>
                <w:szCs w:val="18"/>
                <w:lang w:eastAsia="es-MX"/>
              </w:rPr>
            </w:pPr>
            <w:r>
              <w:rPr>
                <w:rFonts w:cs="Arial"/>
                <w:sz w:val="18"/>
                <w:szCs w:val="18"/>
                <w:lang w:eastAsia="es-MX"/>
              </w:rPr>
              <w:t>Sala Superior del Tribunal Electoral del Poder Judicial de la Federación.</w:t>
            </w:r>
          </w:p>
        </w:tc>
      </w:tr>
    </w:tbl>
    <w:p w14:paraId="488BDDA4" w14:textId="79B3F0E0" w:rsidR="009310D8" w:rsidRDefault="00D678F2" w:rsidP="00BE1AEC">
      <w:pPr>
        <w:tabs>
          <w:tab w:val="left" w:pos="8080"/>
        </w:tabs>
        <w:ind w:right="79"/>
        <w:jc w:val="center"/>
        <w:outlineLvl w:val="0"/>
        <w:rPr>
          <w:rFonts w:eastAsiaTheme="majorEastAsia" w:cs="Arial"/>
          <w:b/>
          <w:color w:val="000000" w:themeColor="text1"/>
          <w:szCs w:val="24"/>
          <w:bdr w:val="none" w:sz="0" w:space="0" w:color="auto" w:frame="1"/>
          <w:lang w:val="es-ES" w:eastAsia="es-ES"/>
        </w:rPr>
      </w:pPr>
      <w:bookmarkStart w:id="7" w:name="_Toc67557923"/>
      <w:r w:rsidRPr="005A40B7">
        <w:rPr>
          <w:rFonts w:eastAsiaTheme="majorEastAsia" w:cs="Arial"/>
          <w:b/>
          <w:color w:val="000000" w:themeColor="text1"/>
          <w:szCs w:val="24"/>
          <w:bdr w:val="none" w:sz="0" w:space="0" w:color="auto" w:frame="1"/>
          <w:lang w:val="es-ES" w:eastAsia="es-ES"/>
        </w:rPr>
        <w:t xml:space="preserve">I. </w:t>
      </w:r>
      <w:r w:rsidR="009310D8" w:rsidRPr="005A40B7">
        <w:rPr>
          <w:rFonts w:eastAsiaTheme="majorEastAsia" w:cs="Arial"/>
          <w:b/>
          <w:color w:val="000000" w:themeColor="text1"/>
          <w:szCs w:val="24"/>
          <w:bdr w:val="none" w:sz="0" w:space="0" w:color="auto" w:frame="1"/>
          <w:lang w:val="es-ES" w:eastAsia="es-ES"/>
        </w:rPr>
        <w:t>ANTECEDENTES</w:t>
      </w:r>
      <w:bookmarkEnd w:id="7"/>
    </w:p>
    <w:bookmarkEnd w:id="0"/>
    <w:p w14:paraId="38C2C82D" w14:textId="086A595F" w:rsidR="009310D8" w:rsidRPr="005A40B7" w:rsidRDefault="009310D8" w:rsidP="00DE41E7">
      <w:pPr>
        <w:widowControl w:val="0"/>
        <w:rPr>
          <w:rFonts w:cs="Arial"/>
          <w:bCs/>
          <w:szCs w:val="24"/>
        </w:rPr>
      </w:pPr>
      <w:r w:rsidRPr="005A40B7">
        <w:rPr>
          <w:rFonts w:cs="Arial"/>
          <w:b/>
          <w:szCs w:val="24"/>
        </w:rPr>
        <w:lastRenderedPageBreak/>
        <w:t>1. Sentencia de Sala Superior</w:t>
      </w:r>
      <w:r w:rsidRPr="005A40B7">
        <w:rPr>
          <w:rStyle w:val="Refdenotaalpie"/>
          <w:rFonts w:cs="Arial"/>
          <w:b/>
          <w:szCs w:val="24"/>
        </w:rPr>
        <w:footnoteReference w:id="2"/>
      </w:r>
      <w:r w:rsidRPr="005A40B7">
        <w:rPr>
          <w:rFonts w:cs="Arial"/>
          <w:b/>
          <w:szCs w:val="24"/>
        </w:rPr>
        <w:t>.</w:t>
      </w:r>
      <w:r w:rsidRPr="005A40B7">
        <w:rPr>
          <w:rFonts w:cs="Arial"/>
          <w:szCs w:val="24"/>
        </w:rPr>
        <w:t xml:space="preserve"> El veinticuatro de febrero</w:t>
      </w:r>
      <w:r w:rsidRPr="005A40B7">
        <w:rPr>
          <w:rStyle w:val="Refdenotaalpie"/>
          <w:rFonts w:cs="Arial"/>
          <w:szCs w:val="24"/>
        </w:rPr>
        <w:footnoteReference w:id="3"/>
      </w:r>
      <w:r w:rsidRPr="005A40B7">
        <w:rPr>
          <w:rFonts w:cs="Arial"/>
          <w:szCs w:val="24"/>
        </w:rPr>
        <w:t>, esta Sala Superior ordenó al Consejo General modificar el acuerdo INE/CG18/2021</w:t>
      </w:r>
      <w:r w:rsidRPr="005A40B7">
        <w:rPr>
          <w:rStyle w:val="Refdenotaalpie"/>
          <w:rFonts w:cs="Arial"/>
          <w:szCs w:val="24"/>
        </w:rPr>
        <w:footnoteReference w:id="4"/>
      </w:r>
      <w:r w:rsidRPr="005A40B7">
        <w:rPr>
          <w:rFonts w:cs="Arial"/>
          <w:szCs w:val="24"/>
        </w:rPr>
        <w:t>, entre otras cuestiones, a fin de que implement</w:t>
      </w:r>
      <w:r w:rsidR="00036F0A">
        <w:rPr>
          <w:rFonts w:cs="Arial"/>
          <w:szCs w:val="24"/>
        </w:rPr>
        <w:t>e</w:t>
      </w:r>
      <w:r w:rsidRPr="005A40B7">
        <w:rPr>
          <w:rFonts w:cs="Arial"/>
          <w:szCs w:val="24"/>
        </w:rPr>
        <w:t xml:space="preserve"> </w:t>
      </w:r>
      <w:r w:rsidRPr="005A40B7">
        <w:rPr>
          <w:rFonts w:cs="Arial"/>
          <w:bCs/>
          <w:szCs w:val="24"/>
        </w:rPr>
        <w:t xml:space="preserve">acciones afirmativas para las personas mexicanas migrantes y residentes en el extranjero. </w:t>
      </w:r>
    </w:p>
    <w:p w14:paraId="238639E5" w14:textId="77777777" w:rsidR="009310D8" w:rsidRPr="005A40B7" w:rsidRDefault="009310D8" w:rsidP="005A40B7">
      <w:pPr>
        <w:rPr>
          <w:rFonts w:cs="Arial"/>
          <w:bCs/>
          <w:szCs w:val="24"/>
        </w:rPr>
      </w:pPr>
      <w:r w:rsidRPr="005A40B7">
        <w:rPr>
          <w:rFonts w:cs="Arial"/>
          <w:b/>
          <w:bCs/>
          <w:szCs w:val="24"/>
        </w:rPr>
        <w:t>2. Acuerdo impugnado</w:t>
      </w:r>
      <w:r w:rsidRPr="005A40B7">
        <w:rPr>
          <w:rFonts w:cs="Arial"/>
          <w:bCs/>
          <w:szCs w:val="24"/>
          <w:vertAlign w:val="superscript"/>
        </w:rPr>
        <w:footnoteReference w:id="5"/>
      </w:r>
      <w:r w:rsidRPr="005A40B7">
        <w:rPr>
          <w:rFonts w:cs="Arial"/>
          <w:bCs/>
          <w:szCs w:val="24"/>
        </w:rPr>
        <w:t>. En cumplimiento a lo ordenado por esta Sala Superior, el</w:t>
      </w:r>
      <w:r w:rsidRPr="005A40B7">
        <w:rPr>
          <w:rFonts w:cs="Arial"/>
          <w:szCs w:val="24"/>
        </w:rPr>
        <w:t xml:space="preserve"> cuatro de marzo, el Consejo General </w:t>
      </w:r>
      <w:r w:rsidRPr="005A40B7">
        <w:rPr>
          <w:rFonts w:cs="Arial"/>
          <w:bCs/>
          <w:szCs w:val="24"/>
        </w:rPr>
        <w:t xml:space="preserve">estableció, entre otras cuestiones, que los partidos políticos nacionales deberán registrar una fórmula de personas mexicanas migrantes y residentes en el extranjero en cada una de las cinco circunscripciones en los primeros diez lugares, </w:t>
      </w:r>
      <w:r w:rsidRPr="005A40B7">
        <w:rPr>
          <w:rFonts w:cs="Arial"/>
          <w:szCs w:val="24"/>
        </w:rPr>
        <w:t>aplicables para el registro de candidaturas a diputaciones federales por el principio de representación proporcional.</w:t>
      </w:r>
    </w:p>
    <w:p w14:paraId="6F67CDF8" w14:textId="77777777" w:rsidR="009310D8" w:rsidRPr="005A40B7" w:rsidRDefault="009310D8" w:rsidP="005A40B7">
      <w:pPr>
        <w:rPr>
          <w:rFonts w:cs="Arial"/>
          <w:bCs/>
          <w:szCs w:val="24"/>
        </w:rPr>
      </w:pPr>
      <w:r w:rsidRPr="005A40B7">
        <w:rPr>
          <w:rFonts w:cs="Arial"/>
          <w:bCs/>
          <w:szCs w:val="24"/>
        </w:rPr>
        <w:t>Dicho acuerdo fue publicado en el Diario Oficial de la Federación el dieciséis de marzo</w:t>
      </w:r>
      <w:r w:rsidRPr="005A40B7">
        <w:rPr>
          <w:rStyle w:val="Refdenotaalpie"/>
          <w:rFonts w:cs="Arial"/>
          <w:bCs/>
          <w:szCs w:val="24"/>
        </w:rPr>
        <w:footnoteReference w:id="6"/>
      </w:r>
      <w:r w:rsidRPr="005A40B7">
        <w:rPr>
          <w:rFonts w:cs="Arial"/>
          <w:bCs/>
          <w:szCs w:val="24"/>
        </w:rPr>
        <w:t>.</w:t>
      </w:r>
    </w:p>
    <w:p w14:paraId="7C55A3BE" w14:textId="6B90147A" w:rsidR="009310D8" w:rsidRPr="005A40B7" w:rsidRDefault="009310D8" w:rsidP="005A40B7">
      <w:pPr>
        <w:rPr>
          <w:rFonts w:cs="Arial"/>
          <w:b/>
          <w:szCs w:val="24"/>
        </w:rPr>
      </w:pPr>
      <w:r w:rsidRPr="005A40B7">
        <w:rPr>
          <w:rFonts w:cs="Arial"/>
          <w:b/>
          <w:szCs w:val="24"/>
        </w:rPr>
        <w:t>3. Juicios ciudadanos</w:t>
      </w:r>
      <w:r w:rsidR="00AC75C4">
        <w:rPr>
          <w:rFonts w:cs="Arial"/>
          <w:b/>
          <w:szCs w:val="24"/>
        </w:rPr>
        <w:t>.</w:t>
      </w:r>
    </w:p>
    <w:p w14:paraId="7C77AB94" w14:textId="77777777" w:rsidR="009310D8" w:rsidRPr="005A40B7" w:rsidRDefault="009310D8" w:rsidP="005A40B7">
      <w:pPr>
        <w:rPr>
          <w:rFonts w:cs="Arial"/>
          <w:szCs w:val="24"/>
        </w:rPr>
      </w:pPr>
      <w:r w:rsidRPr="005A40B7">
        <w:rPr>
          <w:rFonts w:cs="Arial"/>
          <w:b/>
          <w:bCs/>
          <w:szCs w:val="24"/>
        </w:rPr>
        <w:t xml:space="preserve">a. Demandas. </w:t>
      </w:r>
      <w:r w:rsidRPr="005A40B7">
        <w:rPr>
          <w:rFonts w:cs="Arial"/>
          <w:szCs w:val="24"/>
        </w:rPr>
        <w:t>El veinte de marzo, los actores promovieron juicios ciudadanos para impugnar el acuerdo del Consejo General</w:t>
      </w:r>
      <w:r w:rsidRPr="005A40B7">
        <w:rPr>
          <w:rStyle w:val="Refdenotaalpie"/>
          <w:rFonts w:cs="Arial"/>
          <w:szCs w:val="24"/>
        </w:rPr>
        <w:footnoteReference w:id="7"/>
      </w:r>
      <w:r w:rsidRPr="005A40B7">
        <w:rPr>
          <w:rFonts w:cs="Arial"/>
          <w:szCs w:val="24"/>
        </w:rPr>
        <w:t>.</w:t>
      </w:r>
    </w:p>
    <w:p w14:paraId="69CCFB74" w14:textId="710F0704" w:rsidR="004E2D30" w:rsidRDefault="009310D8" w:rsidP="005A40B7">
      <w:pPr>
        <w:rPr>
          <w:rFonts w:cs="Arial"/>
          <w:szCs w:val="24"/>
        </w:rPr>
      </w:pPr>
      <w:r w:rsidRPr="005A40B7">
        <w:rPr>
          <w:rFonts w:cs="Arial"/>
          <w:b/>
          <w:szCs w:val="24"/>
        </w:rPr>
        <w:t xml:space="preserve">b. Turno. </w:t>
      </w:r>
      <w:r w:rsidRPr="005A40B7">
        <w:rPr>
          <w:rFonts w:cs="Arial"/>
          <w:szCs w:val="24"/>
        </w:rPr>
        <w:t xml:space="preserve">En su oportunidad, el magistrado presidente ordenó integrar los expedientes </w:t>
      </w:r>
      <w:r w:rsidR="004E2D30">
        <w:rPr>
          <w:rFonts w:cs="Arial"/>
          <w:szCs w:val="24"/>
        </w:rPr>
        <w:t>y</w:t>
      </w:r>
      <w:r w:rsidR="004E2D30" w:rsidRPr="005A40B7">
        <w:rPr>
          <w:rFonts w:cs="Arial"/>
          <w:szCs w:val="24"/>
        </w:rPr>
        <w:t xml:space="preserve"> los turnó a la ponencia del magistrado Felipe de la Mata Pizaña</w:t>
      </w:r>
      <w:r w:rsidR="004E2D30">
        <w:rPr>
          <w:rFonts w:cs="Arial"/>
          <w:szCs w:val="24"/>
        </w:rPr>
        <w:t xml:space="preserve">, conforme a lo siguiente: </w:t>
      </w:r>
    </w:p>
    <w:tbl>
      <w:tblPr>
        <w:tblStyle w:val="Tablaconcuadrcula"/>
        <w:tblW w:w="0" w:type="auto"/>
        <w:jc w:val="center"/>
        <w:tblLook w:val="04A0" w:firstRow="1" w:lastRow="0" w:firstColumn="1" w:lastColumn="0" w:noHBand="0" w:noVBand="1"/>
      </w:tblPr>
      <w:tblGrid>
        <w:gridCol w:w="2263"/>
        <w:gridCol w:w="3622"/>
      </w:tblGrid>
      <w:tr w:rsidR="004E2D30" w:rsidRPr="001F5162" w14:paraId="1F2EA48C" w14:textId="77777777" w:rsidTr="004E2D30">
        <w:trPr>
          <w:tblHeader/>
          <w:jc w:val="center"/>
        </w:trPr>
        <w:tc>
          <w:tcPr>
            <w:tcW w:w="2263" w:type="dxa"/>
            <w:shd w:val="clear" w:color="auto" w:fill="B4C6E7" w:themeFill="accent1" w:themeFillTint="66"/>
          </w:tcPr>
          <w:p w14:paraId="58C421E6" w14:textId="77777777" w:rsidR="004E2D30" w:rsidRPr="001F5162" w:rsidRDefault="004E2D30" w:rsidP="007D6A6B">
            <w:pPr>
              <w:jc w:val="center"/>
              <w:rPr>
                <w:b/>
                <w:sz w:val="20"/>
              </w:rPr>
            </w:pPr>
            <w:r w:rsidRPr="001F5162">
              <w:rPr>
                <w:b/>
                <w:sz w:val="20"/>
              </w:rPr>
              <w:t>Expediente</w:t>
            </w:r>
          </w:p>
        </w:tc>
        <w:tc>
          <w:tcPr>
            <w:tcW w:w="3622" w:type="dxa"/>
            <w:shd w:val="clear" w:color="auto" w:fill="B4C6E7" w:themeFill="accent1" w:themeFillTint="66"/>
          </w:tcPr>
          <w:p w14:paraId="775551C3" w14:textId="77777777" w:rsidR="004E2D30" w:rsidRPr="001F5162" w:rsidRDefault="004E2D30" w:rsidP="007D6A6B">
            <w:pPr>
              <w:jc w:val="center"/>
              <w:rPr>
                <w:b/>
                <w:sz w:val="20"/>
              </w:rPr>
            </w:pPr>
            <w:r>
              <w:rPr>
                <w:b/>
                <w:sz w:val="20"/>
              </w:rPr>
              <w:t>Parte actora</w:t>
            </w:r>
          </w:p>
        </w:tc>
      </w:tr>
      <w:tr w:rsidR="004E2D30" w:rsidRPr="001F5162" w14:paraId="6F3037A6" w14:textId="77777777" w:rsidTr="007D6A6B">
        <w:trPr>
          <w:jc w:val="center"/>
        </w:trPr>
        <w:tc>
          <w:tcPr>
            <w:tcW w:w="2263" w:type="dxa"/>
          </w:tcPr>
          <w:p w14:paraId="5B6B4854" w14:textId="77777777" w:rsidR="004E2D30" w:rsidRPr="001F5162" w:rsidRDefault="004E2D30" w:rsidP="007D6A6B">
            <w:pPr>
              <w:jc w:val="center"/>
              <w:rPr>
                <w:sz w:val="20"/>
              </w:rPr>
            </w:pPr>
            <w:r w:rsidRPr="001F5162">
              <w:rPr>
                <w:sz w:val="20"/>
              </w:rPr>
              <w:t>SUP-JDC-346/2021</w:t>
            </w:r>
          </w:p>
        </w:tc>
        <w:tc>
          <w:tcPr>
            <w:tcW w:w="3622" w:type="dxa"/>
          </w:tcPr>
          <w:p w14:paraId="3DC2A492" w14:textId="77777777" w:rsidR="004E2D30" w:rsidRPr="001F5162" w:rsidRDefault="004E2D30" w:rsidP="007D6A6B">
            <w:pPr>
              <w:jc w:val="center"/>
              <w:rPr>
                <w:sz w:val="20"/>
              </w:rPr>
            </w:pPr>
            <w:r w:rsidRPr="001F5162">
              <w:rPr>
                <w:sz w:val="20"/>
              </w:rPr>
              <w:t xml:space="preserve">Aaron Ortíz Santos </w:t>
            </w:r>
          </w:p>
        </w:tc>
      </w:tr>
      <w:tr w:rsidR="004E2D30" w:rsidRPr="001F5162" w14:paraId="50C86F23" w14:textId="77777777" w:rsidTr="007D6A6B">
        <w:trPr>
          <w:jc w:val="center"/>
        </w:trPr>
        <w:tc>
          <w:tcPr>
            <w:tcW w:w="2263" w:type="dxa"/>
          </w:tcPr>
          <w:p w14:paraId="27D3C781" w14:textId="77777777" w:rsidR="004E2D30" w:rsidRPr="001F5162" w:rsidRDefault="004E2D30" w:rsidP="007D6A6B">
            <w:pPr>
              <w:jc w:val="center"/>
              <w:rPr>
                <w:sz w:val="20"/>
              </w:rPr>
            </w:pPr>
            <w:r w:rsidRPr="001F5162">
              <w:rPr>
                <w:sz w:val="20"/>
              </w:rPr>
              <w:t>SUP-JDC-347/2021</w:t>
            </w:r>
          </w:p>
        </w:tc>
        <w:tc>
          <w:tcPr>
            <w:tcW w:w="3622" w:type="dxa"/>
          </w:tcPr>
          <w:p w14:paraId="02995E6F" w14:textId="77777777" w:rsidR="004E2D30" w:rsidRPr="001F5162" w:rsidRDefault="004E2D30" w:rsidP="007D6A6B">
            <w:pPr>
              <w:jc w:val="center"/>
              <w:rPr>
                <w:sz w:val="20"/>
              </w:rPr>
            </w:pPr>
            <w:r w:rsidRPr="001F5162">
              <w:rPr>
                <w:sz w:val="20"/>
              </w:rPr>
              <w:t>Carlos Manuel Martínez Hernández</w:t>
            </w:r>
          </w:p>
        </w:tc>
      </w:tr>
      <w:tr w:rsidR="004E2D30" w:rsidRPr="001F5162" w14:paraId="06D854A3" w14:textId="77777777" w:rsidTr="007D6A6B">
        <w:trPr>
          <w:jc w:val="center"/>
        </w:trPr>
        <w:tc>
          <w:tcPr>
            <w:tcW w:w="2263" w:type="dxa"/>
          </w:tcPr>
          <w:p w14:paraId="345C6F01" w14:textId="77777777" w:rsidR="004E2D30" w:rsidRPr="001F5162" w:rsidRDefault="004E2D30" w:rsidP="007D6A6B">
            <w:pPr>
              <w:jc w:val="center"/>
              <w:rPr>
                <w:sz w:val="20"/>
              </w:rPr>
            </w:pPr>
            <w:r w:rsidRPr="001F5162">
              <w:rPr>
                <w:sz w:val="20"/>
              </w:rPr>
              <w:t>SUP-JDC-348/2021</w:t>
            </w:r>
          </w:p>
        </w:tc>
        <w:tc>
          <w:tcPr>
            <w:tcW w:w="3622" w:type="dxa"/>
          </w:tcPr>
          <w:p w14:paraId="591B4950" w14:textId="77777777" w:rsidR="004E2D30" w:rsidRPr="001F5162" w:rsidRDefault="004E2D30" w:rsidP="007D6A6B">
            <w:pPr>
              <w:jc w:val="center"/>
              <w:rPr>
                <w:sz w:val="20"/>
              </w:rPr>
            </w:pPr>
            <w:r w:rsidRPr="001F5162">
              <w:rPr>
                <w:sz w:val="20"/>
              </w:rPr>
              <w:t>Francisco Javier Moreno Castillo</w:t>
            </w:r>
          </w:p>
        </w:tc>
      </w:tr>
      <w:tr w:rsidR="004E2D30" w:rsidRPr="001F5162" w14:paraId="53AE1B71" w14:textId="77777777" w:rsidTr="007D6A6B">
        <w:trPr>
          <w:jc w:val="center"/>
        </w:trPr>
        <w:tc>
          <w:tcPr>
            <w:tcW w:w="2263" w:type="dxa"/>
          </w:tcPr>
          <w:p w14:paraId="3433AB23" w14:textId="77777777" w:rsidR="004E2D30" w:rsidRPr="001F5162" w:rsidRDefault="004E2D30" w:rsidP="007D6A6B">
            <w:pPr>
              <w:jc w:val="center"/>
              <w:rPr>
                <w:sz w:val="20"/>
              </w:rPr>
            </w:pPr>
            <w:r w:rsidRPr="001F5162">
              <w:rPr>
                <w:sz w:val="20"/>
              </w:rPr>
              <w:t>SUP-JDC-349/2021</w:t>
            </w:r>
          </w:p>
        </w:tc>
        <w:tc>
          <w:tcPr>
            <w:tcW w:w="3622" w:type="dxa"/>
          </w:tcPr>
          <w:p w14:paraId="3D3920DA" w14:textId="49CAA9FD" w:rsidR="004E2D30" w:rsidRPr="001F5162" w:rsidRDefault="0015238F" w:rsidP="007D6A6B">
            <w:pPr>
              <w:jc w:val="center"/>
              <w:rPr>
                <w:sz w:val="20"/>
              </w:rPr>
            </w:pPr>
            <w:r>
              <w:rPr>
                <w:sz w:val="20"/>
              </w:rPr>
              <w:t xml:space="preserve">J. </w:t>
            </w:r>
            <w:r w:rsidR="004E2D30" w:rsidRPr="001F5162">
              <w:rPr>
                <w:sz w:val="20"/>
              </w:rPr>
              <w:t>Guadalupe Gómez de Lara</w:t>
            </w:r>
          </w:p>
        </w:tc>
      </w:tr>
      <w:tr w:rsidR="004E2D30" w:rsidRPr="001F5162" w14:paraId="51C5E2D2" w14:textId="77777777" w:rsidTr="007D6A6B">
        <w:trPr>
          <w:jc w:val="center"/>
        </w:trPr>
        <w:tc>
          <w:tcPr>
            <w:tcW w:w="2263" w:type="dxa"/>
          </w:tcPr>
          <w:p w14:paraId="595FAC7E" w14:textId="77777777" w:rsidR="004E2D30" w:rsidRPr="001F5162" w:rsidRDefault="004E2D30" w:rsidP="007D6A6B">
            <w:pPr>
              <w:jc w:val="center"/>
              <w:rPr>
                <w:sz w:val="20"/>
              </w:rPr>
            </w:pPr>
            <w:r w:rsidRPr="001F5162">
              <w:rPr>
                <w:sz w:val="20"/>
              </w:rPr>
              <w:lastRenderedPageBreak/>
              <w:t>SUP-JDC-350/2021</w:t>
            </w:r>
          </w:p>
        </w:tc>
        <w:tc>
          <w:tcPr>
            <w:tcW w:w="3622" w:type="dxa"/>
          </w:tcPr>
          <w:p w14:paraId="466953EF" w14:textId="77777777" w:rsidR="004E2D30" w:rsidRPr="001F5162" w:rsidRDefault="004E2D30" w:rsidP="007D6A6B">
            <w:pPr>
              <w:jc w:val="center"/>
              <w:rPr>
                <w:sz w:val="20"/>
              </w:rPr>
            </w:pPr>
            <w:r w:rsidRPr="001F5162">
              <w:rPr>
                <w:sz w:val="20"/>
              </w:rPr>
              <w:t xml:space="preserve">José Pedro González Ramírez </w:t>
            </w:r>
          </w:p>
        </w:tc>
      </w:tr>
      <w:tr w:rsidR="004E2D30" w:rsidRPr="001F5162" w14:paraId="3538E25B" w14:textId="77777777" w:rsidTr="007D6A6B">
        <w:trPr>
          <w:jc w:val="center"/>
        </w:trPr>
        <w:tc>
          <w:tcPr>
            <w:tcW w:w="2263" w:type="dxa"/>
          </w:tcPr>
          <w:p w14:paraId="2F9B7AD1" w14:textId="77777777" w:rsidR="004E2D30" w:rsidRPr="001F5162" w:rsidRDefault="004E2D30" w:rsidP="007D6A6B">
            <w:pPr>
              <w:jc w:val="center"/>
              <w:rPr>
                <w:sz w:val="20"/>
              </w:rPr>
            </w:pPr>
            <w:r w:rsidRPr="001F5162">
              <w:rPr>
                <w:sz w:val="20"/>
              </w:rPr>
              <w:t>SUP-JDC-351/2021</w:t>
            </w:r>
          </w:p>
        </w:tc>
        <w:tc>
          <w:tcPr>
            <w:tcW w:w="3622" w:type="dxa"/>
          </w:tcPr>
          <w:p w14:paraId="7AC3664F" w14:textId="77777777" w:rsidR="004E2D30" w:rsidRPr="001F5162" w:rsidRDefault="004E2D30" w:rsidP="007D6A6B">
            <w:pPr>
              <w:jc w:val="center"/>
              <w:rPr>
                <w:sz w:val="20"/>
              </w:rPr>
            </w:pPr>
            <w:r w:rsidRPr="001F5162">
              <w:rPr>
                <w:sz w:val="20"/>
              </w:rPr>
              <w:t>Gladys Magaly Pinto Durán</w:t>
            </w:r>
          </w:p>
        </w:tc>
      </w:tr>
      <w:tr w:rsidR="004E2D30" w:rsidRPr="001F5162" w14:paraId="4FA6EF1C" w14:textId="77777777" w:rsidTr="007D6A6B">
        <w:trPr>
          <w:jc w:val="center"/>
        </w:trPr>
        <w:tc>
          <w:tcPr>
            <w:tcW w:w="2263" w:type="dxa"/>
          </w:tcPr>
          <w:p w14:paraId="6250880F" w14:textId="77777777" w:rsidR="004E2D30" w:rsidRPr="001F5162" w:rsidRDefault="004E2D30" w:rsidP="007D6A6B">
            <w:pPr>
              <w:jc w:val="center"/>
              <w:rPr>
                <w:sz w:val="20"/>
              </w:rPr>
            </w:pPr>
            <w:r w:rsidRPr="001F5162">
              <w:rPr>
                <w:sz w:val="20"/>
              </w:rPr>
              <w:t>SUP-JDC-352/2021</w:t>
            </w:r>
          </w:p>
        </w:tc>
        <w:tc>
          <w:tcPr>
            <w:tcW w:w="3622" w:type="dxa"/>
          </w:tcPr>
          <w:p w14:paraId="4680A0D5" w14:textId="77777777" w:rsidR="004E2D30" w:rsidRPr="001F5162" w:rsidRDefault="004E2D30" w:rsidP="007D6A6B">
            <w:pPr>
              <w:jc w:val="center"/>
              <w:rPr>
                <w:sz w:val="20"/>
              </w:rPr>
            </w:pPr>
            <w:r w:rsidRPr="001F5162">
              <w:rPr>
                <w:sz w:val="20"/>
              </w:rPr>
              <w:t>Eduardo Blancas Sandoval</w:t>
            </w:r>
          </w:p>
        </w:tc>
      </w:tr>
      <w:tr w:rsidR="004E2D30" w:rsidRPr="001F5162" w14:paraId="0804D076" w14:textId="77777777" w:rsidTr="007D6A6B">
        <w:trPr>
          <w:jc w:val="center"/>
        </w:trPr>
        <w:tc>
          <w:tcPr>
            <w:tcW w:w="2263" w:type="dxa"/>
          </w:tcPr>
          <w:p w14:paraId="522FD5F2" w14:textId="77777777" w:rsidR="004E2D30" w:rsidRPr="001F5162" w:rsidRDefault="004E2D30" w:rsidP="007D6A6B">
            <w:pPr>
              <w:jc w:val="center"/>
              <w:rPr>
                <w:sz w:val="20"/>
              </w:rPr>
            </w:pPr>
            <w:r w:rsidRPr="001F5162">
              <w:rPr>
                <w:sz w:val="20"/>
              </w:rPr>
              <w:t>SUP-JDC-353/2021</w:t>
            </w:r>
          </w:p>
        </w:tc>
        <w:tc>
          <w:tcPr>
            <w:tcW w:w="3622" w:type="dxa"/>
          </w:tcPr>
          <w:p w14:paraId="102F776A" w14:textId="77777777" w:rsidR="004E2D30" w:rsidRPr="001F5162" w:rsidRDefault="004E2D30" w:rsidP="007D6A6B">
            <w:pPr>
              <w:jc w:val="center"/>
              <w:rPr>
                <w:sz w:val="20"/>
              </w:rPr>
            </w:pPr>
            <w:r w:rsidRPr="001F5162">
              <w:rPr>
                <w:sz w:val="20"/>
              </w:rPr>
              <w:t>Cesar Augusto Michel Aldana</w:t>
            </w:r>
          </w:p>
        </w:tc>
      </w:tr>
      <w:tr w:rsidR="004E2D30" w:rsidRPr="001F5162" w14:paraId="3A27FF1A" w14:textId="77777777" w:rsidTr="007D6A6B">
        <w:trPr>
          <w:jc w:val="center"/>
        </w:trPr>
        <w:tc>
          <w:tcPr>
            <w:tcW w:w="2263" w:type="dxa"/>
          </w:tcPr>
          <w:p w14:paraId="3BBE0620" w14:textId="77777777" w:rsidR="004E2D30" w:rsidRPr="001F5162" w:rsidRDefault="004E2D30" w:rsidP="007D6A6B">
            <w:pPr>
              <w:jc w:val="center"/>
              <w:rPr>
                <w:sz w:val="20"/>
              </w:rPr>
            </w:pPr>
            <w:r w:rsidRPr="001F5162">
              <w:rPr>
                <w:sz w:val="20"/>
              </w:rPr>
              <w:t>SUP-JDC-354/2021</w:t>
            </w:r>
          </w:p>
        </w:tc>
        <w:tc>
          <w:tcPr>
            <w:tcW w:w="3622" w:type="dxa"/>
          </w:tcPr>
          <w:p w14:paraId="03FDC981" w14:textId="77777777" w:rsidR="004E2D30" w:rsidRPr="001F5162" w:rsidRDefault="004E2D30" w:rsidP="007D6A6B">
            <w:pPr>
              <w:jc w:val="center"/>
              <w:rPr>
                <w:sz w:val="20"/>
              </w:rPr>
            </w:pPr>
            <w:r w:rsidRPr="001F5162">
              <w:rPr>
                <w:sz w:val="20"/>
              </w:rPr>
              <w:t>Vicente Ortiz Ángel</w:t>
            </w:r>
          </w:p>
        </w:tc>
      </w:tr>
      <w:tr w:rsidR="004E2D30" w:rsidRPr="001F5162" w14:paraId="6372EFC6" w14:textId="77777777" w:rsidTr="007D6A6B">
        <w:trPr>
          <w:jc w:val="center"/>
        </w:trPr>
        <w:tc>
          <w:tcPr>
            <w:tcW w:w="2263" w:type="dxa"/>
          </w:tcPr>
          <w:p w14:paraId="2B726CDA" w14:textId="77777777" w:rsidR="004E2D30" w:rsidRPr="001F5162" w:rsidRDefault="004E2D30" w:rsidP="007D6A6B">
            <w:pPr>
              <w:jc w:val="center"/>
              <w:rPr>
                <w:sz w:val="20"/>
              </w:rPr>
            </w:pPr>
            <w:r w:rsidRPr="001F5162">
              <w:rPr>
                <w:sz w:val="20"/>
              </w:rPr>
              <w:t>SUP-JDC-355/2021</w:t>
            </w:r>
          </w:p>
        </w:tc>
        <w:tc>
          <w:tcPr>
            <w:tcW w:w="3622" w:type="dxa"/>
          </w:tcPr>
          <w:p w14:paraId="5FC6A9F4" w14:textId="6AFB64DF" w:rsidR="004E2D30" w:rsidRPr="001F5162" w:rsidRDefault="004E2D30" w:rsidP="007D6A6B">
            <w:pPr>
              <w:jc w:val="center"/>
              <w:rPr>
                <w:sz w:val="20"/>
              </w:rPr>
            </w:pPr>
            <w:r w:rsidRPr="001F5162">
              <w:rPr>
                <w:sz w:val="20"/>
              </w:rPr>
              <w:t>Mario Alfonso Muñoz Co</w:t>
            </w:r>
            <w:r w:rsidR="002F59D4">
              <w:rPr>
                <w:sz w:val="20"/>
              </w:rPr>
              <w:t>r</w:t>
            </w:r>
            <w:r w:rsidRPr="001F5162">
              <w:rPr>
                <w:sz w:val="20"/>
              </w:rPr>
              <w:t>o</w:t>
            </w:r>
            <w:r w:rsidR="002F59D4">
              <w:rPr>
                <w:sz w:val="20"/>
              </w:rPr>
              <w:t>n</w:t>
            </w:r>
            <w:r w:rsidRPr="001F5162">
              <w:rPr>
                <w:sz w:val="20"/>
              </w:rPr>
              <w:t>ado</w:t>
            </w:r>
          </w:p>
        </w:tc>
      </w:tr>
      <w:tr w:rsidR="004E2D30" w:rsidRPr="001F5162" w14:paraId="4D5F6865" w14:textId="77777777" w:rsidTr="007D6A6B">
        <w:trPr>
          <w:jc w:val="center"/>
        </w:trPr>
        <w:tc>
          <w:tcPr>
            <w:tcW w:w="2263" w:type="dxa"/>
          </w:tcPr>
          <w:p w14:paraId="4B655B9E" w14:textId="77777777" w:rsidR="004E2D30" w:rsidRPr="001F5162" w:rsidRDefault="004E2D30" w:rsidP="007D6A6B">
            <w:pPr>
              <w:jc w:val="center"/>
              <w:rPr>
                <w:sz w:val="20"/>
              </w:rPr>
            </w:pPr>
            <w:r w:rsidRPr="001F5162">
              <w:rPr>
                <w:sz w:val="20"/>
              </w:rPr>
              <w:t>SUP-JDC-356/2021</w:t>
            </w:r>
          </w:p>
        </w:tc>
        <w:tc>
          <w:tcPr>
            <w:tcW w:w="3622" w:type="dxa"/>
          </w:tcPr>
          <w:p w14:paraId="0A788A54" w14:textId="77777777" w:rsidR="004E2D30" w:rsidRPr="001F5162" w:rsidRDefault="004E2D30" w:rsidP="007D6A6B">
            <w:pPr>
              <w:jc w:val="center"/>
              <w:rPr>
                <w:sz w:val="20"/>
              </w:rPr>
            </w:pPr>
            <w:r w:rsidRPr="001F5162">
              <w:rPr>
                <w:sz w:val="20"/>
              </w:rPr>
              <w:t>Josefina Imelda Beltrán Lugo</w:t>
            </w:r>
          </w:p>
        </w:tc>
      </w:tr>
      <w:tr w:rsidR="004E2D30" w:rsidRPr="001F5162" w14:paraId="3173BDD4" w14:textId="77777777" w:rsidTr="007D6A6B">
        <w:trPr>
          <w:jc w:val="center"/>
        </w:trPr>
        <w:tc>
          <w:tcPr>
            <w:tcW w:w="2263" w:type="dxa"/>
          </w:tcPr>
          <w:p w14:paraId="6034C727" w14:textId="77777777" w:rsidR="004E2D30" w:rsidRPr="001F5162" w:rsidRDefault="004E2D30" w:rsidP="007D6A6B">
            <w:pPr>
              <w:jc w:val="center"/>
              <w:rPr>
                <w:sz w:val="20"/>
              </w:rPr>
            </w:pPr>
            <w:r w:rsidRPr="001F5162">
              <w:rPr>
                <w:sz w:val="20"/>
              </w:rPr>
              <w:t>SUP-JDC-357/2021</w:t>
            </w:r>
          </w:p>
        </w:tc>
        <w:tc>
          <w:tcPr>
            <w:tcW w:w="3622" w:type="dxa"/>
          </w:tcPr>
          <w:p w14:paraId="63C9028D" w14:textId="77777777" w:rsidR="004E2D30" w:rsidRPr="001F5162" w:rsidRDefault="004E2D30" w:rsidP="007D6A6B">
            <w:pPr>
              <w:jc w:val="center"/>
              <w:rPr>
                <w:sz w:val="20"/>
              </w:rPr>
            </w:pPr>
            <w:r w:rsidRPr="001F5162">
              <w:rPr>
                <w:sz w:val="20"/>
              </w:rPr>
              <w:t>Felipe Cabral Soto</w:t>
            </w:r>
          </w:p>
        </w:tc>
      </w:tr>
      <w:tr w:rsidR="004E2D30" w:rsidRPr="001F5162" w14:paraId="30F4ECA3" w14:textId="77777777" w:rsidTr="007D6A6B">
        <w:trPr>
          <w:jc w:val="center"/>
        </w:trPr>
        <w:tc>
          <w:tcPr>
            <w:tcW w:w="2263" w:type="dxa"/>
          </w:tcPr>
          <w:p w14:paraId="4046495B" w14:textId="77777777" w:rsidR="004E2D30" w:rsidRPr="001F5162" w:rsidRDefault="004E2D30" w:rsidP="007D6A6B">
            <w:pPr>
              <w:jc w:val="center"/>
              <w:rPr>
                <w:sz w:val="20"/>
              </w:rPr>
            </w:pPr>
            <w:r w:rsidRPr="001F5162">
              <w:rPr>
                <w:sz w:val="20"/>
              </w:rPr>
              <w:t>SUP-JDC-358/2021</w:t>
            </w:r>
          </w:p>
        </w:tc>
        <w:tc>
          <w:tcPr>
            <w:tcW w:w="3622" w:type="dxa"/>
          </w:tcPr>
          <w:p w14:paraId="6378EBA4" w14:textId="77777777" w:rsidR="004E2D30" w:rsidRPr="001F5162" w:rsidRDefault="004E2D30" w:rsidP="007D6A6B">
            <w:pPr>
              <w:jc w:val="center"/>
              <w:rPr>
                <w:sz w:val="20"/>
              </w:rPr>
            </w:pPr>
            <w:r w:rsidRPr="001F5162">
              <w:rPr>
                <w:sz w:val="20"/>
              </w:rPr>
              <w:t>Jorge Arturo García Rangel</w:t>
            </w:r>
          </w:p>
        </w:tc>
      </w:tr>
      <w:tr w:rsidR="004E2D30" w:rsidRPr="001F5162" w14:paraId="150888E2" w14:textId="77777777" w:rsidTr="007D6A6B">
        <w:trPr>
          <w:jc w:val="center"/>
        </w:trPr>
        <w:tc>
          <w:tcPr>
            <w:tcW w:w="2263" w:type="dxa"/>
          </w:tcPr>
          <w:p w14:paraId="3F26FEEF" w14:textId="77777777" w:rsidR="004E2D30" w:rsidRPr="001F5162" w:rsidRDefault="004E2D30" w:rsidP="007D6A6B">
            <w:pPr>
              <w:jc w:val="center"/>
              <w:rPr>
                <w:sz w:val="20"/>
              </w:rPr>
            </w:pPr>
            <w:r w:rsidRPr="001F5162">
              <w:rPr>
                <w:sz w:val="20"/>
              </w:rPr>
              <w:t>SUP-JDC-359/2021</w:t>
            </w:r>
          </w:p>
        </w:tc>
        <w:tc>
          <w:tcPr>
            <w:tcW w:w="3622" w:type="dxa"/>
          </w:tcPr>
          <w:p w14:paraId="560EE8DF" w14:textId="77777777" w:rsidR="004E2D30" w:rsidRPr="001F5162" w:rsidRDefault="004E2D30" w:rsidP="007D6A6B">
            <w:pPr>
              <w:jc w:val="center"/>
              <w:rPr>
                <w:sz w:val="20"/>
              </w:rPr>
            </w:pPr>
            <w:r w:rsidRPr="001F5162">
              <w:rPr>
                <w:sz w:val="20"/>
              </w:rPr>
              <w:t>Miguel Ángel González Valadez</w:t>
            </w:r>
          </w:p>
        </w:tc>
      </w:tr>
    </w:tbl>
    <w:p w14:paraId="5523F723" w14:textId="77777777" w:rsidR="009310D8" w:rsidRPr="005A40B7" w:rsidRDefault="009310D8" w:rsidP="005A40B7">
      <w:pPr>
        <w:rPr>
          <w:rFonts w:cs="Arial"/>
          <w:color w:val="000000"/>
          <w:szCs w:val="24"/>
        </w:rPr>
      </w:pPr>
      <w:r w:rsidRPr="005A40B7">
        <w:rPr>
          <w:rFonts w:cs="Arial"/>
          <w:b/>
          <w:bCs/>
          <w:color w:val="000000"/>
          <w:szCs w:val="24"/>
        </w:rPr>
        <w:t xml:space="preserve">c. Admisión y cierre de instrucción. </w:t>
      </w:r>
      <w:r w:rsidRPr="005A40B7">
        <w:rPr>
          <w:rFonts w:cs="Arial"/>
          <w:color w:val="000000"/>
          <w:szCs w:val="24"/>
        </w:rPr>
        <w:t>En su momento, se admitieron las demandas, se cerró la instrucción y se ordenó formular el respectivo proyecto de sentencia.</w:t>
      </w:r>
    </w:p>
    <w:p w14:paraId="5FCCD9EC" w14:textId="0A4C3365" w:rsidR="009310D8" w:rsidRPr="005A40B7" w:rsidRDefault="00D678F2" w:rsidP="005A40B7">
      <w:pPr>
        <w:tabs>
          <w:tab w:val="left" w:pos="8080"/>
        </w:tabs>
        <w:ind w:right="78"/>
        <w:jc w:val="center"/>
        <w:outlineLvl w:val="0"/>
        <w:rPr>
          <w:rFonts w:eastAsiaTheme="majorEastAsia" w:cs="Arial"/>
          <w:b/>
          <w:color w:val="000000" w:themeColor="text1"/>
          <w:szCs w:val="24"/>
          <w:bdr w:val="none" w:sz="0" w:space="0" w:color="auto" w:frame="1"/>
        </w:rPr>
      </w:pPr>
      <w:bookmarkStart w:id="9" w:name="_Toc67557924"/>
      <w:r w:rsidRPr="005A40B7">
        <w:rPr>
          <w:rFonts w:eastAsiaTheme="majorEastAsia" w:cs="Arial"/>
          <w:b/>
          <w:color w:val="000000" w:themeColor="text1"/>
          <w:szCs w:val="24"/>
          <w:bdr w:val="none" w:sz="0" w:space="0" w:color="auto" w:frame="1"/>
        </w:rPr>
        <w:t xml:space="preserve">II. </w:t>
      </w:r>
      <w:r w:rsidR="009310D8" w:rsidRPr="005A40B7">
        <w:rPr>
          <w:rFonts w:eastAsiaTheme="majorEastAsia" w:cs="Arial"/>
          <w:b/>
          <w:color w:val="000000" w:themeColor="text1"/>
          <w:szCs w:val="24"/>
          <w:bdr w:val="none" w:sz="0" w:space="0" w:color="auto" w:frame="1"/>
        </w:rPr>
        <w:t>COMPETENCIA</w:t>
      </w:r>
      <w:bookmarkEnd w:id="9"/>
    </w:p>
    <w:p w14:paraId="50D11544" w14:textId="503E57D9" w:rsidR="009310D8" w:rsidRPr="005A40B7" w:rsidRDefault="009310D8" w:rsidP="005A40B7">
      <w:pPr>
        <w:widowControl w:val="0"/>
        <w:rPr>
          <w:rFonts w:eastAsia="Times New Roman" w:cs="Arial"/>
          <w:szCs w:val="24"/>
          <w:lang w:eastAsia="es-MX"/>
        </w:rPr>
      </w:pPr>
      <w:bookmarkStart w:id="10" w:name="_Toc63119897"/>
      <w:bookmarkStart w:id="11" w:name="_Toc64464625"/>
      <w:bookmarkStart w:id="12" w:name="_Toc15605892"/>
      <w:r w:rsidRPr="005A40B7">
        <w:rPr>
          <w:rFonts w:eastAsia="Times New Roman" w:cs="Arial"/>
          <w:szCs w:val="24"/>
          <w:lang w:eastAsia="es-MX"/>
        </w:rPr>
        <w:t>Esta Sala Superior es competente para conocer y resolver el asunto, porque se trata de juicios ciudadanos vinculados con la posible vulneración del derecho político</w:t>
      </w:r>
      <w:r w:rsidR="00AC75C4">
        <w:rPr>
          <w:rFonts w:eastAsia="Times New Roman" w:cs="Arial"/>
          <w:szCs w:val="24"/>
          <w:lang w:eastAsia="es-MX"/>
        </w:rPr>
        <w:t>-electoral</w:t>
      </w:r>
      <w:r w:rsidRPr="005A40B7">
        <w:rPr>
          <w:rFonts w:eastAsia="Times New Roman" w:cs="Arial"/>
          <w:szCs w:val="24"/>
          <w:lang w:eastAsia="es-MX"/>
        </w:rPr>
        <w:t xml:space="preserve"> de ser votado de los actores con motivo de las acciones afirmativas </w:t>
      </w:r>
      <w:r w:rsidRPr="005A40B7">
        <w:rPr>
          <w:rFonts w:cs="Arial"/>
          <w:szCs w:val="24"/>
        </w:rPr>
        <w:t>implementadas por el Consejo General para las personas mexicanas migrantes y residentes en el extranjero aplicables para el registro de candidaturas a diputaciones federales por el principio de representación proporcional</w:t>
      </w:r>
      <w:r w:rsidRPr="005A40B7">
        <w:rPr>
          <w:rFonts w:eastAsia="Times New Roman" w:cs="Arial"/>
          <w:szCs w:val="24"/>
          <w:lang w:eastAsia="es-MX"/>
        </w:rPr>
        <w:t>.</w:t>
      </w:r>
      <w:r w:rsidRPr="005A40B7">
        <w:rPr>
          <w:rStyle w:val="Refdenotaalpie"/>
          <w:rFonts w:eastAsia="Times New Roman" w:cs="Arial"/>
          <w:szCs w:val="24"/>
          <w:lang w:eastAsia="es-MX"/>
        </w:rPr>
        <w:footnoteReference w:id="8"/>
      </w:r>
    </w:p>
    <w:p w14:paraId="58D4EE9C" w14:textId="3F258431" w:rsidR="009310D8" w:rsidRPr="005A40B7" w:rsidRDefault="00D678F2" w:rsidP="005A40B7">
      <w:pPr>
        <w:tabs>
          <w:tab w:val="left" w:pos="8080"/>
        </w:tabs>
        <w:ind w:right="78"/>
        <w:outlineLvl w:val="0"/>
        <w:rPr>
          <w:rFonts w:eastAsiaTheme="majorEastAsia" w:cs="Arial"/>
          <w:b/>
          <w:bCs/>
          <w:color w:val="000000" w:themeColor="text1"/>
          <w:szCs w:val="24"/>
        </w:rPr>
      </w:pPr>
      <w:bookmarkStart w:id="13" w:name="_Toc67557925"/>
      <w:r w:rsidRPr="005A40B7">
        <w:rPr>
          <w:rFonts w:eastAsiaTheme="majorEastAsia" w:cs="Arial"/>
          <w:b/>
          <w:color w:val="000000" w:themeColor="text1"/>
          <w:szCs w:val="24"/>
          <w:bdr w:val="none" w:sz="0" w:space="0" w:color="auto" w:frame="1"/>
        </w:rPr>
        <w:t xml:space="preserve">III. </w:t>
      </w:r>
      <w:r w:rsidR="009310D8" w:rsidRPr="005A40B7">
        <w:rPr>
          <w:rFonts w:eastAsiaTheme="majorEastAsia" w:cs="Arial"/>
          <w:b/>
          <w:color w:val="000000" w:themeColor="text1"/>
          <w:szCs w:val="24"/>
          <w:bdr w:val="none" w:sz="0" w:space="0" w:color="auto" w:frame="1"/>
        </w:rPr>
        <w:t>JUSTIFICACIÓN PARA RESOLVER EN SESIÓN NO PRESENCIAL</w:t>
      </w:r>
      <w:bookmarkEnd w:id="10"/>
      <w:bookmarkEnd w:id="11"/>
      <w:bookmarkEnd w:id="13"/>
    </w:p>
    <w:p w14:paraId="7BD2A9FE" w14:textId="77777777" w:rsidR="009310D8" w:rsidRPr="005A40B7" w:rsidRDefault="009310D8" w:rsidP="005A40B7">
      <w:pPr>
        <w:shd w:val="clear" w:color="auto" w:fill="FFFFFF" w:themeFill="background1"/>
        <w:tabs>
          <w:tab w:val="left" w:pos="8080"/>
        </w:tabs>
        <w:ind w:right="78"/>
        <w:rPr>
          <w:rFonts w:cs="Arial"/>
          <w:color w:val="000000" w:themeColor="text1"/>
          <w:szCs w:val="24"/>
        </w:rPr>
      </w:pPr>
      <w:r w:rsidRPr="005A40B7">
        <w:rPr>
          <w:rFonts w:cs="Arial"/>
          <w:color w:val="000000" w:themeColor="text1"/>
          <w:szCs w:val="24"/>
        </w:rPr>
        <w:t>Esta Sala Superior emitió el Acuerdo General 8/2020</w:t>
      </w:r>
      <w:r w:rsidRPr="005A40B7">
        <w:rPr>
          <w:rStyle w:val="Refdenotaalpie"/>
          <w:rFonts w:cs="Arial"/>
          <w:color w:val="000000" w:themeColor="text1"/>
          <w:szCs w:val="24"/>
        </w:rPr>
        <w:footnoteReference w:id="9"/>
      </w:r>
      <w:r w:rsidRPr="005A40B7">
        <w:rPr>
          <w:rFonts w:cs="Arial"/>
          <w:color w:val="000000" w:themeColor="text1"/>
          <w:szCs w:val="24"/>
        </w:rPr>
        <w:t xml:space="preserve">, por el cual restableció la resolución de todos los medios de impugnación. En el punto de acuerdo segundo, determinó que las sesiones continuarán por </w:t>
      </w:r>
      <w:r w:rsidRPr="005A40B7">
        <w:rPr>
          <w:rFonts w:cs="Arial"/>
          <w:color w:val="000000" w:themeColor="text1"/>
          <w:szCs w:val="24"/>
        </w:rPr>
        <w:lastRenderedPageBreak/>
        <w:t>videoconferencia, hasta decidir algo distinto. Por ello, se justifica la resolución de este asunto en sesión no presencial.</w:t>
      </w:r>
    </w:p>
    <w:p w14:paraId="5BD05CE6" w14:textId="3B9A1E38" w:rsidR="009310D8" w:rsidRPr="005A40B7" w:rsidRDefault="00D678F2" w:rsidP="005A40B7">
      <w:pPr>
        <w:pStyle w:val="Ttulo1"/>
        <w:keepNext w:val="0"/>
        <w:keepLines w:val="0"/>
        <w:widowControl w:val="0"/>
        <w:spacing w:before="100" w:after="100"/>
        <w:jc w:val="center"/>
        <w:rPr>
          <w:rFonts w:ascii="Arial" w:eastAsia="Times New Roman" w:hAnsi="Arial" w:cs="Arial"/>
          <w:b/>
          <w:color w:val="auto"/>
          <w:sz w:val="24"/>
          <w:szCs w:val="24"/>
          <w:lang w:eastAsia="es-MX"/>
        </w:rPr>
      </w:pPr>
      <w:bookmarkStart w:id="14" w:name="_Toc43116879"/>
      <w:bookmarkStart w:id="15" w:name="_Toc50739634"/>
      <w:bookmarkStart w:id="16" w:name="_Toc51281530"/>
      <w:bookmarkStart w:id="17" w:name="_Toc66975737"/>
      <w:bookmarkStart w:id="18" w:name="_Toc67557926"/>
      <w:r w:rsidRPr="005A40B7">
        <w:rPr>
          <w:rFonts w:ascii="Arial" w:eastAsia="Times New Roman" w:hAnsi="Arial" w:cs="Arial"/>
          <w:b/>
          <w:color w:val="auto"/>
          <w:sz w:val="24"/>
          <w:szCs w:val="24"/>
          <w:lang w:eastAsia="es-MX"/>
        </w:rPr>
        <w:t xml:space="preserve">IV. </w:t>
      </w:r>
      <w:r w:rsidR="009310D8" w:rsidRPr="005A40B7">
        <w:rPr>
          <w:rFonts w:ascii="Arial" w:eastAsia="Times New Roman" w:hAnsi="Arial" w:cs="Arial"/>
          <w:b/>
          <w:color w:val="auto"/>
          <w:sz w:val="24"/>
          <w:szCs w:val="24"/>
          <w:lang w:eastAsia="es-MX"/>
        </w:rPr>
        <w:t>ACUMULACIÓN</w:t>
      </w:r>
      <w:bookmarkEnd w:id="14"/>
      <w:bookmarkEnd w:id="15"/>
      <w:bookmarkEnd w:id="16"/>
      <w:bookmarkEnd w:id="17"/>
      <w:bookmarkEnd w:id="18"/>
    </w:p>
    <w:p w14:paraId="6388C57C" w14:textId="77777777" w:rsidR="009310D8" w:rsidRPr="005A40B7" w:rsidRDefault="009310D8" w:rsidP="005A40B7">
      <w:pPr>
        <w:widowControl w:val="0"/>
        <w:rPr>
          <w:rFonts w:eastAsia="Times New Roman" w:cs="Arial"/>
          <w:szCs w:val="24"/>
          <w:lang w:eastAsia="es-MX"/>
        </w:rPr>
      </w:pPr>
      <w:r w:rsidRPr="005A40B7">
        <w:rPr>
          <w:rFonts w:cs="Arial"/>
          <w:szCs w:val="24"/>
          <w:lang w:eastAsia="es-MX"/>
        </w:rPr>
        <w:t>Procede acumular los juicios ciudadanos porque existe conexidad en la causa, esto es, identidad en la autoridad responsable -Consejo General- y en el acto impugnado -acuerdo INE/CG160/2021-</w:t>
      </w:r>
      <w:r w:rsidRPr="005A40B7">
        <w:rPr>
          <w:rFonts w:eastAsia="Times New Roman" w:cs="Arial"/>
          <w:szCs w:val="24"/>
          <w:lang w:eastAsia="es-MX"/>
        </w:rPr>
        <w:t>.</w:t>
      </w:r>
    </w:p>
    <w:p w14:paraId="110D0F66" w14:textId="064B851A" w:rsidR="009310D8" w:rsidRPr="005A40B7" w:rsidRDefault="009310D8" w:rsidP="005A40B7">
      <w:pPr>
        <w:rPr>
          <w:rFonts w:cs="Arial"/>
          <w:szCs w:val="24"/>
        </w:rPr>
      </w:pPr>
      <w:r w:rsidRPr="005A40B7">
        <w:rPr>
          <w:rFonts w:cs="Arial"/>
          <w:szCs w:val="24"/>
          <w:lang w:eastAsia="es-MX"/>
        </w:rPr>
        <w:t>En consecuencia,</w:t>
      </w:r>
      <w:r w:rsidRPr="005A40B7">
        <w:rPr>
          <w:rFonts w:cs="Arial"/>
          <w:szCs w:val="24"/>
        </w:rPr>
        <w:t xml:space="preserve"> se acumulan los </w:t>
      </w:r>
      <w:r w:rsidR="00785C79">
        <w:rPr>
          <w:rFonts w:cs="Arial"/>
          <w:szCs w:val="24"/>
        </w:rPr>
        <w:t xml:space="preserve">expedientes de los </w:t>
      </w:r>
      <w:r w:rsidRPr="005A40B7">
        <w:rPr>
          <w:rFonts w:cs="Arial"/>
          <w:szCs w:val="24"/>
        </w:rPr>
        <w:t xml:space="preserve">juicios ciudadanos </w:t>
      </w:r>
      <w:r w:rsidR="00857528">
        <w:rPr>
          <w:rFonts w:cs="Arial"/>
          <w:szCs w:val="24"/>
        </w:rPr>
        <w:br/>
      </w:r>
      <w:r w:rsidRPr="005A40B7">
        <w:rPr>
          <w:rFonts w:cs="Arial"/>
          <w:szCs w:val="24"/>
        </w:rPr>
        <w:t xml:space="preserve">SUP-JDC-347/2021, SUP-JDC-348/2021, SUP-JDC-349/2021, </w:t>
      </w:r>
      <w:r w:rsidR="00857528">
        <w:rPr>
          <w:rFonts w:cs="Arial"/>
          <w:szCs w:val="24"/>
        </w:rPr>
        <w:br/>
      </w:r>
      <w:r w:rsidRPr="005A40B7">
        <w:rPr>
          <w:rFonts w:cs="Arial"/>
          <w:szCs w:val="24"/>
        </w:rPr>
        <w:t xml:space="preserve">SUP-JDC-350/2021, SUP-JDC-351/2021, SUP-JDC-352/2021, </w:t>
      </w:r>
      <w:r w:rsidR="00857528">
        <w:rPr>
          <w:rFonts w:cs="Arial"/>
          <w:szCs w:val="24"/>
        </w:rPr>
        <w:br/>
      </w:r>
      <w:r w:rsidRPr="005A40B7">
        <w:rPr>
          <w:rFonts w:cs="Arial"/>
          <w:szCs w:val="24"/>
        </w:rPr>
        <w:t xml:space="preserve">SUP-JDC-353/2021, SUP-JDC-354/2021, SUP-JDC-355/2021, </w:t>
      </w:r>
      <w:r w:rsidR="00857528">
        <w:rPr>
          <w:rFonts w:cs="Arial"/>
          <w:szCs w:val="24"/>
        </w:rPr>
        <w:br/>
      </w:r>
      <w:r w:rsidRPr="005A40B7">
        <w:rPr>
          <w:rFonts w:cs="Arial"/>
          <w:szCs w:val="24"/>
        </w:rPr>
        <w:t xml:space="preserve">SUP-JDC-356/2021, SUP-JDC-357/2021, SUP-JDC-358/2021, </w:t>
      </w:r>
      <w:r w:rsidR="00857528">
        <w:rPr>
          <w:rFonts w:cs="Arial"/>
          <w:szCs w:val="24"/>
        </w:rPr>
        <w:br/>
      </w:r>
      <w:r w:rsidRPr="005A40B7">
        <w:rPr>
          <w:rFonts w:cs="Arial"/>
          <w:szCs w:val="24"/>
        </w:rPr>
        <w:t xml:space="preserve">SUP-JDC-359/2021, al juicio ciudadano SUP-JDC-346/2021, por ser el primero que se recibió. </w:t>
      </w:r>
    </w:p>
    <w:p w14:paraId="3D147E5E" w14:textId="77777777" w:rsidR="009310D8" w:rsidRPr="005A40B7" w:rsidRDefault="009310D8" w:rsidP="005A40B7">
      <w:pPr>
        <w:rPr>
          <w:rFonts w:cs="Arial"/>
          <w:szCs w:val="24"/>
        </w:rPr>
      </w:pPr>
      <w:r w:rsidRPr="005A40B7">
        <w:rPr>
          <w:rFonts w:cs="Arial"/>
          <w:szCs w:val="24"/>
          <w:lang w:eastAsia="es-MX"/>
        </w:rPr>
        <w:t>Por lo anterior, deberá glosarse copia certificada de los puntos resolutivos de la sentencia, a los autos de los expedientes acumulados</w:t>
      </w:r>
      <w:r w:rsidRPr="005A40B7">
        <w:rPr>
          <w:rFonts w:cs="Arial"/>
          <w:szCs w:val="24"/>
        </w:rPr>
        <w:t>.</w:t>
      </w:r>
    </w:p>
    <w:p w14:paraId="5640AC78" w14:textId="6A1FC965" w:rsidR="009310D8" w:rsidRPr="005A40B7" w:rsidRDefault="00D678F2" w:rsidP="005A40B7">
      <w:pPr>
        <w:tabs>
          <w:tab w:val="left" w:pos="8080"/>
        </w:tabs>
        <w:ind w:right="78"/>
        <w:jc w:val="center"/>
        <w:outlineLvl w:val="0"/>
        <w:rPr>
          <w:rFonts w:eastAsiaTheme="majorEastAsia" w:cs="Arial"/>
          <w:b/>
          <w:color w:val="000000" w:themeColor="text1"/>
          <w:szCs w:val="24"/>
          <w:bdr w:val="none" w:sz="0" w:space="0" w:color="auto" w:frame="1"/>
          <w:lang w:eastAsia="es-ES"/>
        </w:rPr>
      </w:pPr>
      <w:bookmarkStart w:id="19" w:name="_Toc67557927"/>
      <w:bookmarkEnd w:id="12"/>
      <w:r w:rsidRPr="005A40B7">
        <w:rPr>
          <w:rFonts w:eastAsiaTheme="majorEastAsia" w:cs="Arial"/>
          <w:b/>
          <w:color w:val="000000" w:themeColor="text1"/>
          <w:szCs w:val="24"/>
          <w:bdr w:val="none" w:sz="0" w:space="0" w:color="auto" w:frame="1"/>
          <w:lang w:eastAsia="es-ES"/>
        </w:rPr>
        <w:t xml:space="preserve">V. </w:t>
      </w:r>
      <w:r w:rsidR="009310D8" w:rsidRPr="005A40B7">
        <w:rPr>
          <w:rFonts w:eastAsiaTheme="majorEastAsia" w:cs="Arial"/>
          <w:b/>
          <w:color w:val="000000" w:themeColor="text1"/>
          <w:szCs w:val="24"/>
          <w:bdr w:val="none" w:sz="0" w:space="0" w:color="auto" w:frame="1"/>
          <w:lang w:eastAsia="es-ES"/>
        </w:rPr>
        <w:t>REQUISITOS PARA ADMITIR LAS DEMANDAS</w:t>
      </w:r>
      <w:bookmarkEnd w:id="19"/>
    </w:p>
    <w:p w14:paraId="0A256D03" w14:textId="77777777" w:rsidR="009310D8" w:rsidRPr="005A40B7" w:rsidRDefault="009310D8" w:rsidP="005A40B7">
      <w:pPr>
        <w:rPr>
          <w:rFonts w:cs="Arial"/>
          <w:color w:val="000000" w:themeColor="text1"/>
          <w:szCs w:val="24"/>
          <w:lang w:eastAsia="es-MX"/>
        </w:rPr>
      </w:pPr>
      <w:r w:rsidRPr="005A40B7">
        <w:rPr>
          <w:rFonts w:eastAsia="Times New Roman" w:cs="Arial"/>
          <w:color w:val="000000" w:themeColor="text1"/>
          <w:szCs w:val="24"/>
          <w:lang w:eastAsia="es-MX"/>
        </w:rPr>
        <w:t>Las demandas cumplen los requisitos para dictar una sentencia de fondo:</w:t>
      </w:r>
      <w:r w:rsidRPr="005A40B7">
        <w:rPr>
          <w:rFonts w:eastAsia="Times New Roman" w:cs="Arial"/>
          <w:color w:val="000000" w:themeColor="text1"/>
          <w:szCs w:val="24"/>
          <w:vertAlign w:val="superscript"/>
          <w:lang w:eastAsia="es-MX"/>
        </w:rPr>
        <w:footnoteReference w:id="10"/>
      </w:r>
    </w:p>
    <w:p w14:paraId="58D3B167" w14:textId="7B58E438" w:rsidR="009310D8" w:rsidRPr="005A40B7" w:rsidRDefault="009310D8" w:rsidP="005A40B7">
      <w:pPr>
        <w:rPr>
          <w:rFonts w:eastAsia="Calibri" w:cs="Arial"/>
          <w:szCs w:val="24"/>
          <w:lang w:eastAsia="es-MX"/>
        </w:rPr>
      </w:pPr>
      <w:r w:rsidRPr="005A40B7">
        <w:rPr>
          <w:rFonts w:eastAsia="Calibri" w:cs="Arial"/>
          <w:b/>
          <w:bCs/>
          <w:szCs w:val="24"/>
          <w:lang w:eastAsia="es-MX"/>
        </w:rPr>
        <w:t xml:space="preserve">I. Forma. </w:t>
      </w:r>
      <w:r w:rsidRPr="005A40B7">
        <w:rPr>
          <w:rFonts w:eastAsia="Calibri" w:cs="Arial"/>
          <w:szCs w:val="24"/>
          <w:lang w:eastAsia="es-MX"/>
        </w:rPr>
        <w:t>Las demandas se presentaron por escrito; se hace constar el nombre de los actores y su firma autógrafa</w:t>
      </w:r>
      <w:r w:rsidR="004822D4">
        <w:rPr>
          <w:rFonts w:eastAsia="Calibri" w:cs="Arial"/>
          <w:szCs w:val="24"/>
          <w:lang w:eastAsia="es-MX"/>
        </w:rPr>
        <w:t>,</w:t>
      </w:r>
      <w:r w:rsidRPr="005A40B7">
        <w:rPr>
          <w:rFonts w:eastAsia="Calibri" w:cs="Arial"/>
          <w:szCs w:val="24"/>
          <w:lang w:eastAsia="es-MX"/>
        </w:rPr>
        <w:t xml:space="preserve"> el acto impugnado y la autoridad responsable</w:t>
      </w:r>
      <w:r w:rsidR="004822D4">
        <w:rPr>
          <w:rFonts w:eastAsia="Calibri" w:cs="Arial"/>
          <w:szCs w:val="24"/>
          <w:lang w:eastAsia="es-MX"/>
        </w:rPr>
        <w:t>,</w:t>
      </w:r>
      <w:r w:rsidRPr="005A40B7">
        <w:rPr>
          <w:rFonts w:eastAsia="Calibri" w:cs="Arial"/>
          <w:szCs w:val="24"/>
          <w:lang w:eastAsia="es-MX"/>
        </w:rPr>
        <w:t xml:space="preserve"> los hechos</w:t>
      </w:r>
      <w:r w:rsidR="004822D4">
        <w:rPr>
          <w:rFonts w:eastAsia="Calibri" w:cs="Arial"/>
          <w:szCs w:val="24"/>
          <w:lang w:eastAsia="es-MX"/>
        </w:rPr>
        <w:t>,</w:t>
      </w:r>
      <w:r w:rsidRPr="005A40B7">
        <w:rPr>
          <w:rFonts w:eastAsia="Calibri" w:cs="Arial"/>
          <w:szCs w:val="24"/>
          <w:lang w:eastAsia="es-MX"/>
        </w:rPr>
        <w:t xml:space="preserve"> los agravios, y los artículos posiblemente violados</w:t>
      </w:r>
      <w:r w:rsidRPr="005A40B7">
        <w:rPr>
          <w:rStyle w:val="Refdenotaalpie"/>
          <w:rFonts w:eastAsia="Calibri" w:cs="Arial"/>
          <w:szCs w:val="24"/>
          <w:lang w:eastAsia="es-MX"/>
        </w:rPr>
        <w:footnoteReference w:id="11"/>
      </w:r>
      <w:r w:rsidRPr="005A40B7">
        <w:rPr>
          <w:rFonts w:eastAsia="Calibri" w:cs="Arial"/>
          <w:szCs w:val="24"/>
          <w:lang w:eastAsia="es-MX"/>
        </w:rPr>
        <w:t>.</w:t>
      </w:r>
    </w:p>
    <w:p w14:paraId="4C49A7CA" w14:textId="6A9FA3C2" w:rsidR="009310D8" w:rsidRPr="005A40B7" w:rsidRDefault="009310D8" w:rsidP="005A40B7">
      <w:pPr>
        <w:rPr>
          <w:rFonts w:eastAsia="Calibri" w:cs="Arial"/>
          <w:szCs w:val="24"/>
          <w:lang w:eastAsia="es-MX"/>
        </w:rPr>
      </w:pPr>
      <w:r w:rsidRPr="005A40B7">
        <w:rPr>
          <w:rFonts w:eastAsia="Calibri" w:cs="Arial"/>
          <w:b/>
          <w:bCs/>
          <w:szCs w:val="24"/>
          <w:lang w:eastAsia="es-MX"/>
        </w:rPr>
        <w:t xml:space="preserve">II. Oportunidad. </w:t>
      </w:r>
      <w:r w:rsidRPr="005A40B7">
        <w:rPr>
          <w:rFonts w:eastAsia="Calibri" w:cs="Arial"/>
          <w:bCs/>
          <w:szCs w:val="24"/>
          <w:lang w:eastAsia="es-MX"/>
        </w:rPr>
        <w:t xml:space="preserve">Los juicios son oportunos, porque </w:t>
      </w:r>
      <w:r w:rsidRPr="005A40B7">
        <w:rPr>
          <w:rFonts w:eastAsia="Calibri" w:cs="Arial"/>
          <w:szCs w:val="24"/>
          <w:lang w:eastAsia="es-MX"/>
        </w:rPr>
        <w:t xml:space="preserve">el acuerdo impugnado se publicó en el Diario Oficial de la Federación el dieciséis de </w:t>
      </w:r>
      <w:r w:rsidRPr="005A40B7">
        <w:rPr>
          <w:rFonts w:eastAsia="Calibri" w:cs="Arial"/>
          <w:szCs w:val="24"/>
          <w:lang w:eastAsia="es-MX"/>
        </w:rPr>
        <w:lastRenderedPageBreak/>
        <w:t>marzo y la</w:t>
      </w:r>
      <w:r w:rsidR="00036F0A">
        <w:rPr>
          <w:rFonts w:eastAsia="Calibri" w:cs="Arial"/>
          <w:szCs w:val="24"/>
          <w:lang w:eastAsia="es-MX"/>
        </w:rPr>
        <w:t>s</w:t>
      </w:r>
      <w:r w:rsidRPr="005A40B7">
        <w:rPr>
          <w:rFonts w:eastAsia="Calibri" w:cs="Arial"/>
          <w:szCs w:val="24"/>
          <w:lang w:eastAsia="es-MX"/>
        </w:rPr>
        <w:t xml:space="preserve"> demanda</w:t>
      </w:r>
      <w:r w:rsidR="00036F0A">
        <w:rPr>
          <w:rFonts w:eastAsia="Calibri" w:cs="Arial"/>
          <w:szCs w:val="24"/>
          <w:lang w:eastAsia="es-MX"/>
        </w:rPr>
        <w:t>s</w:t>
      </w:r>
      <w:r w:rsidRPr="005A40B7">
        <w:rPr>
          <w:rFonts w:eastAsia="Calibri" w:cs="Arial"/>
          <w:szCs w:val="24"/>
          <w:lang w:eastAsia="es-MX"/>
        </w:rPr>
        <w:t xml:space="preserve"> se present</w:t>
      </w:r>
      <w:r w:rsidR="00036F0A">
        <w:rPr>
          <w:rFonts w:eastAsia="Calibri" w:cs="Arial"/>
          <w:szCs w:val="24"/>
          <w:lang w:eastAsia="es-MX"/>
        </w:rPr>
        <w:t>aron</w:t>
      </w:r>
      <w:r w:rsidRPr="005A40B7">
        <w:rPr>
          <w:rFonts w:eastAsia="Calibri" w:cs="Arial"/>
          <w:szCs w:val="24"/>
          <w:lang w:eastAsia="es-MX"/>
        </w:rPr>
        <w:t xml:space="preserve"> el veinte siguiente, es decir, dentro del plazo legal de cuatro días</w:t>
      </w:r>
      <w:r w:rsidRPr="005A40B7">
        <w:rPr>
          <w:rStyle w:val="Refdenotaalpie"/>
          <w:rFonts w:eastAsia="Calibri" w:cs="Arial"/>
          <w:szCs w:val="24"/>
          <w:lang w:eastAsia="es-MX"/>
        </w:rPr>
        <w:footnoteReference w:id="12"/>
      </w:r>
      <w:r w:rsidRPr="005A40B7">
        <w:rPr>
          <w:rFonts w:eastAsia="Calibri" w:cs="Arial"/>
          <w:szCs w:val="24"/>
          <w:lang w:eastAsia="es-MX"/>
        </w:rPr>
        <w:t>.</w:t>
      </w:r>
    </w:p>
    <w:p w14:paraId="40B6D563" w14:textId="243CBF92" w:rsidR="009310D8" w:rsidRPr="005A40B7" w:rsidRDefault="009310D8" w:rsidP="005A40B7">
      <w:pPr>
        <w:rPr>
          <w:rFonts w:cs="Arial"/>
          <w:color w:val="000000" w:themeColor="text1"/>
          <w:szCs w:val="24"/>
        </w:rPr>
      </w:pPr>
      <w:r w:rsidRPr="005A40B7">
        <w:rPr>
          <w:rFonts w:eastAsia="Calibri" w:cs="Arial"/>
          <w:b/>
          <w:bCs/>
          <w:szCs w:val="24"/>
          <w:lang w:eastAsia="es-MX"/>
        </w:rPr>
        <w:t xml:space="preserve">III. Legitimación. </w:t>
      </w:r>
      <w:r w:rsidRPr="005A40B7">
        <w:rPr>
          <w:rFonts w:cs="Arial"/>
          <w:color w:val="000000" w:themeColor="text1"/>
          <w:szCs w:val="24"/>
        </w:rPr>
        <w:t>L</w:t>
      </w:r>
      <w:r w:rsidR="00DE41E7">
        <w:rPr>
          <w:rFonts w:cs="Arial"/>
          <w:color w:val="000000" w:themeColor="text1"/>
          <w:szCs w:val="24"/>
        </w:rPr>
        <w:t xml:space="preserve">a parte </w:t>
      </w:r>
      <w:r w:rsidR="009373E3">
        <w:rPr>
          <w:rFonts w:cs="Arial"/>
          <w:color w:val="000000" w:themeColor="text1"/>
          <w:szCs w:val="24"/>
        </w:rPr>
        <w:t xml:space="preserve">actora </w:t>
      </w:r>
      <w:r w:rsidR="009373E3" w:rsidRPr="005A40B7">
        <w:rPr>
          <w:rFonts w:cs="Arial"/>
          <w:color w:val="000000" w:themeColor="text1"/>
          <w:szCs w:val="24"/>
        </w:rPr>
        <w:t>de</w:t>
      </w:r>
      <w:r w:rsidRPr="005A40B7">
        <w:rPr>
          <w:rFonts w:cs="Arial"/>
          <w:color w:val="000000" w:themeColor="text1"/>
          <w:szCs w:val="24"/>
        </w:rPr>
        <w:t xml:space="preserve"> los juicios ciudadanos cuenta</w:t>
      </w:r>
      <w:r w:rsidR="00DE41E7">
        <w:rPr>
          <w:rFonts w:cs="Arial"/>
          <w:color w:val="000000" w:themeColor="text1"/>
          <w:szCs w:val="24"/>
        </w:rPr>
        <w:t xml:space="preserve"> </w:t>
      </w:r>
      <w:r w:rsidRPr="005A40B7">
        <w:rPr>
          <w:rFonts w:cs="Arial"/>
          <w:color w:val="000000" w:themeColor="text1"/>
          <w:szCs w:val="24"/>
        </w:rPr>
        <w:t>con legitimación, toda vez que son promovidos por ciudadanos que comparecen por propio derecho.</w:t>
      </w:r>
    </w:p>
    <w:p w14:paraId="41250B1C" w14:textId="68D8CB0E" w:rsidR="009310D8" w:rsidRPr="005A40B7" w:rsidRDefault="009310D8" w:rsidP="005A40B7">
      <w:pPr>
        <w:rPr>
          <w:rFonts w:eastAsia="Calibri" w:cs="Arial"/>
          <w:szCs w:val="24"/>
          <w:lang w:eastAsia="es-MX"/>
        </w:rPr>
      </w:pPr>
      <w:r w:rsidRPr="005A40B7">
        <w:rPr>
          <w:rFonts w:eastAsia="Calibri" w:cs="Arial"/>
          <w:b/>
          <w:bCs/>
          <w:szCs w:val="24"/>
          <w:lang w:eastAsia="es-MX"/>
        </w:rPr>
        <w:t xml:space="preserve">IV. Interés </w:t>
      </w:r>
      <w:r w:rsidR="00B61750">
        <w:rPr>
          <w:rFonts w:eastAsia="Calibri" w:cs="Arial"/>
          <w:b/>
          <w:bCs/>
          <w:szCs w:val="24"/>
          <w:lang w:eastAsia="es-MX"/>
        </w:rPr>
        <w:t>legítimo</w:t>
      </w:r>
      <w:r w:rsidRPr="005A40B7">
        <w:rPr>
          <w:rFonts w:eastAsia="Calibri" w:cs="Arial"/>
          <w:b/>
          <w:bCs/>
          <w:szCs w:val="24"/>
          <w:lang w:eastAsia="es-MX"/>
        </w:rPr>
        <w:t>.</w:t>
      </w:r>
      <w:r w:rsidRPr="005A40B7">
        <w:rPr>
          <w:rFonts w:eastAsia="Calibri" w:cs="Arial"/>
          <w:szCs w:val="24"/>
          <w:lang w:eastAsia="es-MX"/>
        </w:rPr>
        <w:t xml:space="preserve"> L</w:t>
      </w:r>
      <w:r w:rsidRPr="005A40B7">
        <w:rPr>
          <w:rFonts w:cs="Arial"/>
          <w:szCs w:val="24"/>
        </w:rPr>
        <w:t>os actores en los juicios ciudadanos cuentan con interés legítimo para controvertir el acto impugnado, dado que, señalan que pertenecen a un grupo discriminado y en desventaja, —</w:t>
      </w:r>
      <w:r w:rsidRPr="005A40B7">
        <w:rPr>
          <w:rFonts w:cs="Arial"/>
          <w:i/>
          <w:iCs/>
          <w:szCs w:val="24"/>
        </w:rPr>
        <w:t>personas residentes en el extranjero</w:t>
      </w:r>
      <w:r w:rsidRPr="005A40B7">
        <w:rPr>
          <w:rFonts w:cs="Arial"/>
          <w:szCs w:val="24"/>
        </w:rPr>
        <w:t xml:space="preserve">— con la pretensión de que la acción afirmativa implementada en el acuerdo impugnado únicamente beneficie a </w:t>
      </w:r>
      <w:r w:rsidR="00A503BA">
        <w:rPr>
          <w:rFonts w:cs="Arial"/>
          <w:szCs w:val="24"/>
        </w:rPr>
        <w:t xml:space="preserve">personas </w:t>
      </w:r>
      <w:r w:rsidRPr="005A40B7">
        <w:rPr>
          <w:rFonts w:cs="Arial"/>
          <w:szCs w:val="24"/>
        </w:rPr>
        <w:t>mexican</w:t>
      </w:r>
      <w:r w:rsidR="00A503BA">
        <w:rPr>
          <w:rFonts w:cs="Arial"/>
          <w:szCs w:val="24"/>
        </w:rPr>
        <w:t>a</w:t>
      </w:r>
      <w:r w:rsidRPr="005A40B7">
        <w:rPr>
          <w:rFonts w:cs="Arial"/>
          <w:szCs w:val="24"/>
        </w:rPr>
        <w:t>s residentes en el extranjero y no aquellas que residen en el país y que han realizado trabajo a favor de la comunidad migrante, por lo que cuentan con interés para cuestionar el acuerdo impugnado</w:t>
      </w:r>
      <w:r w:rsidRPr="005A40B7">
        <w:rPr>
          <w:rStyle w:val="Refdenotaalpie"/>
          <w:rFonts w:cs="Arial"/>
          <w:szCs w:val="24"/>
        </w:rPr>
        <w:footnoteReference w:id="13"/>
      </w:r>
      <w:r w:rsidRPr="005A40B7">
        <w:rPr>
          <w:rFonts w:cs="Arial"/>
          <w:szCs w:val="24"/>
        </w:rPr>
        <w:t>.</w:t>
      </w:r>
    </w:p>
    <w:p w14:paraId="45280A56" w14:textId="77777777" w:rsidR="009310D8" w:rsidRPr="005A40B7" w:rsidRDefault="009310D8" w:rsidP="005A40B7">
      <w:pPr>
        <w:rPr>
          <w:rFonts w:eastAsia="Calibri" w:cs="Arial"/>
          <w:szCs w:val="24"/>
        </w:rPr>
      </w:pPr>
      <w:r w:rsidRPr="005A40B7">
        <w:rPr>
          <w:rFonts w:eastAsia="Calibri" w:cs="Arial"/>
          <w:b/>
          <w:bCs/>
          <w:szCs w:val="24"/>
          <w:lang w:eastAsia="es-MX"/>
        </w:rPr>
        <w:t xml:space="preserve">V. </w:t>
      </w:r>
      <w:r w:rsidRPr="005A40B7">
        <w:rPr>
          <w:rFonts w:eastAsia="Calibri" w:cs="Arial"/>
          <w:b/>
          <w:szCs w:val="24"/>
          <w:lang w:eastAsia="es-MX"/>
        </w:rPr>
        <w:t>Definitividad</w:t>
      </w:r>
      <w:r w:rsidRPr="005A40B7">
        <w:rPr>
          <w:rFonts w:eastAsia="Calibri" w:cs="Arial"/>
          <w:b/>
          <w:bCs/>
          <w:szCs w:val="24"/>
          <w:lang w:eastAsia="es-MX"/>
        </w:rPr>
        <w:t xml:space="preserve">. </w:t>
      </w:r>
      <w:r w:rsidRPr="005A40B7">
        <w:rPr>
          <w:rFonts w:eastAsia="Calibri" w:cs="Arial"/>
          <w:szCs w:val="24"/>
        </w:rPr>
        <w:t>No existe otro medio de impugnación para controvertir la determinación impugnada.</w:t>
      </w:r>
    </w:p>
    <w:p w14:paraId="79D6E1C8" w14:textId="164351F0" w:rsidR="000F0895" w:rsidRPr="005A40B7" w:rsidRDefault="000F0895" w:rsidP="005A40B7">
      <w:pPr>
        <w:tabs>
          <w:tab w:val="left" w:pos="8080"/>
        </w:tabs>
        <w:ind w:right="78"/>
        <w:jc w:val="center"/>
        <w:outlineLvl w:val="0"/>
        <w:rPr>
          <w:rFonts w:eastAsiaTheme="majorEastAsia" w:cs="Arial"/>
          <w:b/>
          <w:color w:val="000000" w:themeColor="text1"/>
          <w:szCs w:val="24"/>
          <w:bdr w:val="none" w:sz="0" w:space="0" w:color="auto" w:frame="1"/>
          <w:lang w:eastAsia="es-ES"/>
        </w:rPr>
      </w:pPr>
      <w:bookmarkStart w:id="20" w:name="_Toc67557928"/>
      <w:r w:rsidRPr="005A40B7">
        <w:rPr>
          <w:rFonts w:eastAsiaTheme="majorEastAsia" w:cs="Arial"/>
          <w:b/>
          <w:color w:val="000000" w:themeColor="text1"/>
          <w:szCs w:val="24"/>
          <w:bdr w:val="none" w:sz="0" w:space="0" w:color="auto" w:frame="1"/>
          <w:lang w:eastAsia="es-ES"/>
        </w:rPr>
        <w:t>V</w:t>
      </w:r>
      <w:r w:rsidR="00FB3658" w:rsidRPr="005A40B7">
        <w:rPr>
          <w:rFonts w:eastAsiaTheme="majorEastAsia" w:cs="Arial"/>
          <w:b/>
          <w:color w:val="000000" w:themeColor="text1"/>
          <w:szCs w:val="24"/>
          <w:bdr w:val="none" w:sz="0" w:space="0" w:color="auto" w:frame="1"/>
          <w:lang w:eastAsia="es-ES"/>
        </w:rPr>
        <w:t>I</w:t>
      </w:r>
      <w:r w:rsidRPr="005A40B7">
        <w:rPr>
          <w:rFonts w:eastAsiaTheme="majorEastAsia" w:cs="Arial"/>
          <w:b/>
          <w:color w:val="000000" w:themeColor="text1"/>
          <w:szCs w:val="24"/>
          <w:bdr w:val="none" w:sz="0" w:space="0" w:color="auto" w:frame="1"/>
          <w:lang w:eastAsia="es-ES"/>
        </w:rPr>
        <w:t>. ESTUDIO DE FONDO</w:t>
      </w:r>
      <w:bookmarkEnd w:id="1"/>
      <w:bookmarkEnd w:id="20"/>
    </w:p>
    <w:p w14:paraId="43A09D95" w14:textId="77777777" w:rsidR="000F0895" w:rsidRPr="005A40B7" w:rsidRDefault="000F0895" w:rsidP="005A40B7">
      <w:pPr>
        <w:pStyle w:val="Ttulo2"/>
        <w:spacing w:before="100" w:after="100"/>
        <w:rPr>
          <w:rFonts w:ascii="Arial" w:hAnsi="Arial" w:cs="Arial"/>
          <w:b/>
          <w:bCs/>
          <w:color w:val="000000" w:themeColor="text1"/>
          <w:sz w:val="24"/>
          <w:szCs w:val="24"/>
        </w:rPr>
      </w:pPr>
      <w:bookmarkStart w:id="21" w:name="_Toc67557929"/>
      <w:bookmarkStart w:id="22" w:name="_Toc66301808"/>
      <w:r w:rsidRPr="005A40B7">
        <w:rPr>
          <w:rFonts w:ascii="Arial" w:hAnsi="Arial" w:cs="Arial"/>
          <w:b/>
          <w:bCs/>
          <w:color w:val="000000" w:themeColor="text1"/>
          <w:sz w:val="24"/>
          <w:szCs w:val="24"/>
        </w:rPr>
        <w:t>1. Planteamiento</w:t>
      </w:r>
      <w:bookmarkEnd w:id="21"/>
      <w:r w:rsidRPr="005A40B7">
        <w:rPr>
          <w:rFonts w:ascii="Arial" w:hAnsi="Arial" w:cs="Arial"/>
          <w:b/>
          <w:bCs/>
          <w:color w:val="000000" w:themeColor="text1"/>
          <w:sz w:val="24"/>
          <w:szCs w:val="24"/>
        </w:rPr>
        <w:t xml:space="preserve"> </w:t>
      </w:r>
      <w:bookmarkEnd w:id="22"/>
    </w:p>
    <w:p w14:paraId="03CA3493" w14:textId="7D9C81AC" w:rsidR="000F0895" w:rsidRPr="005A40B7" w:rsidRDefault="000F0895" w:rsidP="005A40B7">
      <w:pPr>
        <w:rPr>
          <w:rFonts w:cs="Arial"/>
          <w:bCs/>
          <w:szCs w:val="24"/>
        </w:rPr>
      </w:pPr>
      <w:r w:rsidRPr="005A40B7">
        <w:rPr>
          <w:rFonts w:cs="Arial"/>
          <w:bCs/>
          <w:szCs w:val="24"/>
        </w:rPr>
        <w:t xml:space="preserve">Los actores </w:t>
      </w:r>
      <w:r w:rsidR="002A5D4D" w:rsidRPr="005A40B7">
        <w:rPr>
          <w:rFonts w:cs="Arial"/>
          <w:bCs/>
          <w:szCs w:val="24"/>
        </w:rPr>
        <w:t xml:space="preserve">impugnan la determinación del Consejo General, porque no están de acuerdo con </w:t>
      </w:r>
      <w:r w:rsidRPr="005A40B7">
        <w:rPr>
          <w:rFonts w:cs="Arial"/>
          <w:bCs/>
          <w:szCs w:val="24"/>
        </w:rPr>
        <w:t>que</w:t>
      </w:r>
      <w:r w:rsidR="002A5D4D" w:rsidRPr="005A40B7">
        <w:rPr>
          <w:rFonts w:cs="Arial"/>
          <w:bCs/>
          <w:szCs w:val="24"/>
        </w:rPr>
        <w:t xml:space="preserve"> el vínculo con la comunidad migrante </w:t>
      </w:r>
      <w:r w:rsidRPr="005A40B7">
        <w:rPr>
          <w:rFonts w:cs="Arial"/>
          <w:bCs/>
          <w:szCs w:val="24"/>
        </w:rPr>
        <w:t>se haya ampliado para personas que residen en México y que han realizado trabajo</w:t>
      </w:r>
      <w:r w:rsidR="002A5D4D" w:rsidRPr="005A40B7">
        <w:rPr>
          <w:rFonts w:cs="Arial"/>
          <w:bCs/>
          <w:szCs w:val="24"/>
        </w:rPr>
        <w:t xml:space="preserve"> a favor de</w:t>
      </w:r>
      <w:r w:rsidRPr="005A40B7">
        <w:rPr>
          <w:rFonts w:cs="Arial"/>
          <w:bCs/>
          <w:szCs w:val="24"/>
        </w:rPr>
        <w:t xml:space="preserve"> la comunidad migrante</w:t>
      </w:r>
      <w:r w:rsidR="0041566D">
        <w:rPr>
          <w:rFonts w:cs="Arial"/>
          <w:bCs/>
          <w:szCs w:val="24"/>
        </w:rPr>
        <w:t>.</w:t>
      </w:r>
    </w:p>
    <w:p w14:paraId="7F4F9DE7" w14:textId="77777777" w:rsidR="000F0895" w:rsidRPr="005A40B7" w:rsidRDefault="000F0895" w:rsidP="005A40B7">
      <w:pPr>
        <w:rPr>
          <w:rFonts w:cs="Arial"/>
          <w:bCs/>
          <w:szCs w:val="24"/>
        </w:rPr>
      </w:pPr>
      <w:r w:rsidRPr="005A40B7">
        <w:rPr>
          <w:rFonts w:cs="Arial"/>
          <w:bCs/>
          <w:szCs w:val="24"/>
        </w:rPr>
        <w:t xml:space="preserve">Consideran que </w:t>
      </w:r>
      <w:r w:rsidR="00614E04" w:rsidRPr="005A40B7">
        <w:rPr>
          <w:rFonts w:cs="Arial"/>
          <w:bCs/>
          <w:szCs w:val="24"/>
        </w:rPr>
        <w:t xml:space="preserve">las </w:t>
      </w:r>
      <w:r w:rsidRPr="005A40B7">
        <w:rPr>
          <w:rFonts w:cs="Arial"/>
          <w:bCs/>
          <w:szCs w:val="24"/>
        </w:rPr>
        <w:t>personas</w:t>
      </w:r>
      <w:r w:rsidR="00614E04" w:rsidRPr="005A40B7">
        <w:rPr>
          <w:rFonts w:cs="Arial"/>
          <w:bCs/>
          <w:szCs w:val="24"/>
        </w:rPr>
        <w:t xml:space="preserve"> que viven en México</w:t>
      </w:r>
      <w:r w:rsidRPr="005A40B7">
        <w:rPr>
          <w:rFonts w:cs="Arial"/>
          <w:bCs/>
          <w:szCs w:val="24"/>
        </w:rPr>
        <w:t xml:space="preserve"> no sufren de la condición vulnerable que </w:t>
      </w:r>
      <w:r w:rsidR="00614E04" w:rsidRPr="005A40B7">
        <w:rPr>
          <w:rFonts w:cs="Arial"/>
          <w:bCs/>
          <w:szCs w:val="24"/>
        </w:rPr>
        <w:t xml:space="preserve">tienen </w:t>
      </w:r>
      <w:r w:rsidRPr="005A40B7">
        <w:rPr>
          <w:rFonts w:cs="Arial"/>
          <w:bCs/>
          <w:szCs w:val="24"/>
        </w:rPr>
        <w:t>quienes residen en el extranjero.</w:t>
      </w:r>
    </w:p>
    <w:p w14:paraId="2C699118" w14:textId="77777777" w:rsidR="000F0895" w:rsidRPr="005A40B7" w:rsidRDefault="000F0895" w:rsidP="005A40B7">
      <w:pPr>
        <w:rPr>
          <w:rFonts w:cs="Arial"/>
          <w:bCs/>
          <w:szCs w:val="24"/>
        </w:rPr>
      </w:pPr>
      <w:r w:rsidRPr="005A40B7">
        <w:rPr>
          <w:rFonts w:cs="Arial"/>
          <w:bCs/>
          <w:szCs w:val="24"/>
        </w:rPr>
        <w:lastRenderedPageBreak/>
        <w:t xml:space="preserve">Estiman que las personas no residentes en el extranjero, aunque tengan estudios sobre </w:t>
      </w:r>
      <w:r w:rsidR="00614E04" w:rsidRPr="005A40B7">
        <w:rPr>
          <w:rFonts w:cs="Arial"/>
          <w:bCs/>
          <w:szCs w:val="24"/>
        </w:rPr>
        <w:t>la comunidad migrante</w:t>
      </w:r>
      <w:r w:rsidRPr="005A40B7">
        <w:rPr>
          <w:rFonts w:cs="Arial"/>
          <w:bCs/>
          <w:szCs w:val="24"/>
        </w:rPr>
        <w:t>, no conocen las condiciones sociopolíticas objetivas de la comunidad.</w:t>
      </w:r>
    </w:p>
    <w:p w14:paraId="68F00807" w14:textId="77777777" w:rsidR="00F158A8" w:rsidRPr="005A40B7" w:rsidRDefault="000F0895" w:rsidP="005A40B7">
      <w:pPr>
        <w:rPr>
          <w:rFonts w:cs="Arial"/>
          <w:bCs/>
          <w:szCs w:val="24"/>
        </w:rPr>
      </w:pPr>
      <w:r w:rsidRPr="005A40B7">
        <w:rPr>
          <w:rFonts w:cs="Arial"/>
          <w:bCs/>
          <w:szCs w:val="24"/>
        </w:rPr>
        <w:t>Dicen que el INE agregó elementos esenciales que no fueron contemplados en la sentencia y que son contrarios al criterio emitido por las y los magistrados.</w:t>
      </w:r>
    </w:p>
    <w:p w14:paraId="5B70EB3A" w14:textId="77777777" w:rsidR="00614E04" w:rsidRPr="005A40B7" w:rsidRDefault="00614E04" w:rsidP="005A40B7">
      <w:pPr>
        <w:pStyle w:val="Ttulo2"/>
        <w:spacing w:before="100" w:after="100"/>
        <w:rPr>
          <w:rFonts w:ascii="Arial" w:hAnsi="Arial" w:cs="Arial"/>
          <w:b/>
          <w:bCs/>
          <w:color w:val="000000" w:themeColor="text1"/>
          <w:sz w:val="24"/>
          <w:szCs w:val="24"/>
        </w:rPr>
      </w:pPr>
      <w:bookmarkStart w:id="23" w:name="_Toc67557930"/>
      <w:r w:rsidRPr="005A40B7">
        <w:rPr>
          <w:rFonts w:ascii="Arial" w:hAnsi="Arial" w:cs="Arial"/>
          <w:b/>
          <w:bCs/>
          <w:color w:val="000000" w:themeColor="text1"/>
          <w:sz w:val="24"/>
          <w:szCs w:val="24"/>
        </w:rPr>
        <w:t>2. Decisión</w:t>
      </w:r>
      <w:bookmarkEnd w:id="23"/>
      <w:r w:rsidRPr="005A40B7">
        <w:rPr>
          <w:rFonts w:ascii="Arial" w:hAnsi="Arial" w:cs="Arial"/>
          <w:b/>
          <w:bCs/>
          <w:color w:val="000000" w:themeColor="text1"/>
          <w:sz w:val="24"/>
          <w:szCs w:val="24"/>
        </w:rPr>
        <w:t xml:space="preserve"> </w:t>
      </w:r>
    </w:p>
    <w:p w14:paraId="0FEC6F4C" w14:textId="6DC9EB61" w:rsidR="00EB40CC" w:rsidRDefault="001E3DF8" w:rsidP="005A40B7">
      <w:pPr>
        <w:rPr>
          <w:rFonts w:cs="Arial"/>
          <w:bCs/>
          <w:szCs w:val="24"/>
        </w:rPr>
      </w:pPr>
      <w:r w:rsidRPr="0018262A">
        <w:rPr>
          <w:rFonts w:cs="Arial"/>
          <w:bCs/>
          <w:szCs w:val="24"/>
        </w:rPr>
        <w:t xml:space="preserve">Son </w:t>
      </w:r>
      <w:r w:rsidR="00EB40CC" w:rsidRPr="0018262A">
        <w:rPr>
          <w:rFonts w:cs="Arial"/>
          <w:b/>
          <w:szCs w:val="24"/>
        </w:rPr>
        <w:t>fundados</w:t>
      </w:r>
      <w:r w:rsidRPr="0018262A">
        <w:rPr>
          <w:rFonts w:cs="Arial"/>
          <w:bCs/>
          <w:szCs w:val="24"/>
        </w:rPr>
        <w:t xml:space="preserve"> los agravios expuestos por los actores porque</w:t>
      </w:r>
      <w:r w:rsidR="00EB40CC" w:rsidRPr="0018262A">
        <w:rPr>
          <w:rFonts w:cs="Arial"/>
          <w:bCs/>
          <w:szCs w:val="24"/>
        </w:rPr>
        <w:t>, efectivamente, la responsable desvirtuó la acción afirmativa, al establecer la posibilidad que sean postuladas personas que vivan en México, siendo que esa medida afirmativa se estableció en beneficio de las personas migrantes y residentes en el extranjero</w:t>
      </w:r>
      <w:r w:rsidR="00975FEB">
        <w:rPr>
          <w:rFonts w:cs="Arial"/>
          <w:bCs/>
          <w:szCs w:val="24"/>
        </w:rPr>
        <w:t xml:space="preserve">, con independencia que se encuentren o no en </w:t>
      </w:r>
      <w:r w:rsidR="00F474B4">
        <w:rPr>
          <w:rFonts w:cs="Arial"/>
          <w:bCs/>
          <w:szCs w:val="24"/>
        </w:rPr>
        <w:t xml:space="preserve">el padrón electoral de residentes </w:t>
      </w:r>
      <w:r w:rsidR="00975FEB">
        <w:rPr>
          <w:rFonts w:cs="Arial"/>
          <w:bCs/>
          <w:szCs w:val="24"/>
        </w:rPr>
        <w:t xml:space="preserve">en el extranjero. </w:t>
      </w:r>
    </w:p>
    <w:p w14:paraId="19A7B5B3" w14:textId="78B12CEC" w:rsidR="00367904" w:rsidRPr="005A40B7" w:rsidRDefault="00367904" w:rsidP="005A40B7">
      <w:pPr>
        <w:pStyle w:val="Ttulo2"/>
        <w:spacing w:before="100" w:after="100"/>
        <w:rPr>
          <w:rFonts w:ascii="Arial" w:hAnsi="Arial" w:cs="Arial"/>
          <w:b/>
          <w:bCs/>
          <w:color w:val="000000" w:themeColor="text1"/>
          <w:sz w:val="24"/>
          <w:szCs w:val="24"/>
        </w:rPr>
      </w:pPr>
      <w:bookmarkStart w:id="24" w:name="_Toc67557931"/>
      <w:r w:rsidRPr="005A40B7">
        <w:rPr>
          <w:rFonts w:ascii="Arial" w:hAnsi="Arial" w:cs="Arial"/>
          <w:b/>
          <w:bCs/>
          <w:color w:val="000000" w:themeColor="text1"/>
          <w:sz w:val="24"/>
          <w:szCs w:val="24"/>
        </w:rPr>
        <w:t>3. Justificación</w:t>
      </w:r>
      <w:bookmarkEnd w:id="24"/>
      <w:r w:rsidRPr="005A40B7">
        <w:rPr>
          <w:rFonts w:ascii="Arial" w:hAnsi="Arial" w:cs="Arial"/>
          <w:b/>
          <w:bCs/>
          <w:color w:val="000000" w:themeColor="text1"/>
          <w:sz w:val="24"/>
          <w:szCs w:val="24"/>
        </w:rPr>
        <w:t xml:space="preserve"> </w:t>
      </w:r>
    </w:p>
    <w:p w14:paraId="19C8DD63" w14:textId="7C99B3B1" w:rsidR="00367904" w:rsidRPr="005A40B7" w:rsidRDefault="00BE37F4" w:rsidP="005A40B7">
      <w:pPr>
        <w:rPr>
          <w:rFonts w:cs="Arial"/>
          <w:bCs/>
          <w:szCs w:val="24"/>
        </w:rPr>
      </w:pPr>
      <w:r w:rsidRPr="00733E45">
        <w:rPr>
          <w:rFonts w:cs="Arial"/>
          <w:bCs/>
          <w:szCs w:val="24"/>
        </w:rPr>
        <w:t xml:space="preserve">A fin de evidenciar </w:t>
      </w:r>
      <w:r w:rsidR="00EB40CC" w:rsidRPr="00733E45">
        <w:rPr>
          <w:rFonts w:cs="Arial"/>
          <w:bCs/>
          <w:szCs w:val="24"/>
        </w:rPr>
        <w:t>lo fundado</w:t>
      </w:r>
      <w:r w:rsidRPr="00733E45">
        <w:rPr>
          <w:rFonts w:cs="Arial"/>
          <w:bCs/>
          <w:szCs w:val="24"/>
        </w:rPr>
        <w:t xml:space="preserve"> de los agravios</w:t>
      </w:r>
      <w:r w:rsidR="00D72E99" w:rsidRPr="00733E45">
        <w:rPr>
          <w:rFonts w:cs="Arial"/>
          <w:bCs/>
          <w:szCs w:val="24"/>
        </w:rPr>
        <w:t xml:space="preserve">, en primer </w:t>
      </w:r>
      <w:r w:rsidR="00F03114" w:rsidRPr="00733E45">
        <w:rPr>
          <w:rFonts w:cs="Arial"/>
          <w:bCs/>
          <w:szCs w:val="24"/>
        </w:rPr>
        <w:t>lugar,</w:t>
      </w:r>
      <w:r w:rsidR="00D72E99" w:rsidRPr="00733E45">
        <w:rPr>
          <w:rFonts w:cs="Arial"/>
          <w:bCs/>
          <w:szCs w:val="24"/>
        </w:rPr>
        <w:t xml:space="preserve"> se precisará </w:t>
      </w:r>
      <w:r w:rsidRPr="00733E45">
        <w:rPr>
          <w:rFonts w:cs="Arial"/>
          <w:bCs/>
          <w:szCs w:val="24"/>
        </w:rPr>
        <w:t xml:space="preserve">qué fue lo que </w:t>
      </w:r>
      <w:r w:rsidR="00B43DA9" w:rsidRPr="00733E45">
        <w:rPr>
          <w:rFonts w:cs="Arial"/>
          <w:bCs/>
          <w:szCs w:val="24"/>
        </w:rPr>
        <w:t>Sala Superior le ordenó al INE al resolver el SUP-RAP-21/2021</w:t>
      </w:r>
      <w:r w:rsidR="00D37C21" w:rsidRPr="00733E45">
        <w:rPr>
          <w:rFonts w:cs="Arial"/>
          <w:bCs/>
          <w:szCs w:val="24"/>
        </w:rPr>
        <w:t xml:space="preserve"> y acumulados</w:t>
      </w:r>
      <w:r w:rsidR="00D72E99" w:rsidRPr="00733E45">
        <w:rPr>
          <w:rFonts w:cs="Arial"/>
          <w:bCs/>
          <w:szCs w:val="24"/>
        </w:rPr>
        <w:t xml:space="preserve">; enseguida se </w:t>
      </w:r>
      <w:r w:rsidR="000B7E53" w:rsidRPr="00733E45">
        <w:rPr>
          <w:rFonts w:cs="Arial"/>
          <w:bCs/>
          <w:szCs w:val="24"/>
        </w:rPr>
        <w:t>indicará qué hizo el INE</w:t>
      </w:r>
      <w:r w:rsidR="00FD1F3E" w:rsidRPr="00733E45">
        <w:rPr>
          <w:rFonts w:cs="Arial"/>
          <w:bCs/>
          <w:szCs w:val="24"/>
        </w:rPr>
        <w:t xml:space="preserve"> para cumplir lo ordenado</w:t>
      </w:r>
      <w:r w:rsidR="002155CB" w:rsidRPr="00733E45">
        <w:rPr>
          <w:rFonts w:cs="Arial"/>
          <w:bCs/>
          <w:szCs w:val="24"/>
        </w:rPr>
        <w:t>;</w:t>
      </w:r>
      <w:r w:rsidR="00F6318C" w:rsidRPr="00733E45">
        <w:rPr>
          <w:rFonts w:cs="Arial"/>
          <w:bCs/>
          <w:szCs w:val="24"/>
        </w:rPr>
        <w:t xml:space="preserve"> y</w:t>
      </w:r>
      <w:r w:rsidR="002155CB" w:rsidRPr="00733E45">
        <w:rPr>
          <w:rFonts w:cs="Arial"/>
          <w:bCs/>
          <w:szCs w:val="24"/>
        </w:rPr>
        <w:t xml:space="preserve"> finalmente</w:t>
      </w:r>
      <w:r w:rsidR="00F03114" w:rsidRPr="00733E45">
        <w:rPr>
          <w:rFonts w:cs="Arial"/>
          <w:bCs/>
          <w:szCs w:val="24"/>
        </w:rPr>
        <w:t xml:space="preserve"> se </w:t>
      </w:r>
      <w:r w:rsidR="00D943C9" w:rsidRPr="00733E45">
        <w:rPr>
          <w:rFonts w:cs="Arial"/>
          <w:bCs/>
          <w:szCs w:val="24"/>
        </w:rPr>
        <w:t>expondrán las</w:t>
      </w:r>
      <w:r w:rsidR="00EB40CC" w:rsidRPr="00733E45">
        <w:rPr>
          <w:rFonts w:cs="Arial"/>
          <w:bCs/>
          <w:szCs w:val="24"/>
        </w:rPr>
        <w:t xml:space="preserve"> </w:t>
      </w:r>
      <w:r w:rsidR="00D943C9" w:rsidRPr="00733E45">
        <w:rPr>
          <w:rFonts w:cs="Arial"/>
          <w:bCs/>
          <w:szCs w:val="24"/>
        </w:rPr>
        <w:t>consideraci</w:t>
      </w:r>
      <w:r w:rsidR="00EB40CC" w:rsidRPr="00733E45">
        <w:rPr>
          <w:rFonts w:cs="Arial"/>
          <w:bCs/>
          <w:szCs w:val="24"/>
        </w:rPr>
        <w:t>ones</w:t>
      </w:r>
      <w:r w:rsidR="00D943C9" w:rsidRPr="00733E45">
        <w:rPr>
          <w:rFonts w:cs="Arial"/>
          <w:bCs/>
          <w:szCs w:val="24"/>
        </w:rPr>
        <w:t xml:space="preserve"> al caso concreto.</w:t>
      </w:r>
    </w:p>
    <w:p w14:paraId="79EE3E9E" w14:textId="66506053" w:rsidR="00D943C9" w:rsidRPr="005A40B7" w:rsidRDefault="00D943C9" w:rsidP="005A40B7">
      <w:pPr>
        <w:pStyle w:val="Ttulo2"/>
        <w:spacing w:before="100" w:after="100"/>
        <w:rPr>
          <w:rFonts w:ascii="Arial" w:hAnsi="Arial" w:cs="Arial"/>
          <w:b/>
          <w:bCs/>
          <w:color w:val="000000" w:themeColor="text1"/>
          <w:sz w:val="24"/>
          <w:szCs w:val="24"/>
        </w:rPr>
      </w:pPr>
      <w:bookmarkStart w:id="25" w:name="_Toc67557932"/>
      <w:r w:rsidRPr="005A40B7">
        <w:rPr>
          <w:rFonts w:ascii="Arial" w:hAnsi="Arial" w:cs="Arial"/>
          <w:b/>
          <w:bCs/>
          <w:color w:val="000000" w:themeColor="text1"/>
          <w:sz w:val="24"/>
          <w:szCs w:val="24"/>
        </w:rPr>
        <w:t>3.1 ¿Qué se le ordenó al INE al resolver el SUP-RAP-21/2021 y acumulados?</w:t>
      </w:r>
      <w:bookmarkEnd w:id="25"/>
    </w:p>
    <w:p w14:paraId="35A6BB3E" w14:textId="487AAEB4" w:rsidR="00986C27" w:rsidRPr="005A40B7" w:rsidRDefault="00C42902" w:rsidP="005A40B7">
      <w:pPr>
        <w:rPr>
          <w:rFonts w:cs="Arial"/>
          <w:bCs/>
          <w:szCs w:val="24"/>
        </w:rPr>
      </w:pPr>
      <w:r w:rsidRPr="005A40B7">
        <w:rPr>
          <w:rFonts w:cs="Arial"/>
          <w:bCs/>
          <w:szCs w:val="24"/>
        </w:rPr>
        <w:t xml:space="preserve">La Sala Superior </w:t>
      </w:r>
      <w:r w:rsidR="00651F11" w:rsidRPr="005A40B7">
        <w:rPr>
          <w:rFonts w:cs="Arial"/>
          <w:bCs/>
          <w:szCs w:val="24"/>
        </w:rPr>
        <w:t>al reso</w:t>
      </w:r>
      <w:r w:rsidR="00456FAB" w:rsidRPr="005A40B7">
        <w:rPr>
          <w:rFonts w:cs="Arial"/>
          <w:bCs/>
          <w:szCs w:val="24"/>
        </w:rPr>
        <w:t>l</w:t>
      </w:r>
      <w:r w:rsidR="00651F11" w:rsidRPr="005A40B7">
        <w:rPr>
          <w:rFonts w:cs="Arial"/>
          <w:bCs/>
          <w:szCs w:val="24"/>
        </w:rPr>
        <w:t>ver el recu</w:t>
      </w:r>
      <w:r w:rsidR="00456FAB" w:rsidRPr="005A40B7">
        <w:rPr>
          <w:rFonts w:cs="Arial"/>
          <w:bCs/>
          <w:szCs w:val="24"/>
        </w:rPr>
        <w:t>r</w:t>
      </w:r>
      <w:r w:rsidR="00651F11" w:rsidRPr="005A40B7">
        <w:rPr>
          <w:rFonts w:cs="Arial"/>
          <w:bCs/>
          <w:szCs w:val="24"/>
        </w:rPr>
        <w:t xml:space="preserve">so de apelación </w:t>
      </w:r>
      <w:r w:rsidR="00456FAB" w:rsidRPr="005A40B7">
        <w:rPr>
          <w:rFonts w:cs="Arial"/>
          <w:bCs/>
          <w:szCs w:val="24"/>
        </w:rPr>
        <w:t>señalado estimó que</w:t>
      </w:r>
      <w:r w:rsidR="00986C27" w:rsidRPr="005A40B7">
        <w:rPr>
          <w:rFonts w:cs="Arial"/>
          <w:bCs/>
          <w:szCs w:val="24"/>
        </w:rPr>
        <w:t xml:space="preserve"> el INE debía implementar medidas afirmativas a favor</w:t>
      </w:r>
      <w:r w:rsidR="00903140">
        <w:rPr>
          <w:rFonts w:cs="Arial"/>
          <w:bCs/>
          <w:szCs w:val="24"/>
        </w:rPr>
        <w:t xml:space="preserve"> de</w:t>
      </w:r>
      <w:r w:rsidR="00986C27" w:rsidRPr="005A40B7">
        <w:rPr>
          <w:rFonts w:cs="Arial"/>
          <w:bCs/>
          <w:szCs w:val="24"/>
        </w:rPr>
        <w:t xml:space="preserve"> personas mexicanas migrantes y residentes en el extranjero.</w:t>
      </w:r>
    </w:p>
    <w:p w14:paraId="7866A73A" w14:textId="77777777" w:rsidR="004A7DA2" w:rsidRPr="00DE41E7" w:rsidRDefault="00986C27" w:rsidP="005A40B7">
      <w:pPr>
        <w:rPr>
          <w:rFonts w:cs="Arial"/>
          <w:b/>
          <w:szCs w:val="24"/>
        </w:rPr>
      </w:pPr>
      <w:r w:rsidRPr="005A40B7">
        <w:rPr>
          <w:rFonts w:cs="Arial"/>
          <w:bCs/>
          <w:szCs w:val="24"/>
        </w:rPr>
        <w:t>Lo anterior</w:t>
      </w:r>
      <w:r w:rsidR="00637D96" w:rsidRPr="005A40B7">
        <w:rPr>
          <w:rFonts w:cs="Arial"/>
          <w:bCs/>
          <w:szCs w:val="24"/>
        </w:rPr>
        <w:t>, en aras de garantizar los</w:t>
      </w:r>
      <w:r w:rsidR="00414C4B" w:rsidRPr="005A40B7">
        <w:rPr>
          <w:rFonts w:cs="Arial"/>
          <w:szCs w:val="24"/>
        </w:rPr>
        <w:t xml:space="preserve"> </w:t>
      </w:r>
      <w:r w:rsidR="00414C4B" w:rsidRPr="005A40B7">
        <w:rPr>
          <w:rFonts w:cs="Arial"/>
          <w:bCs/>
          <w:szCs w:val="24"/>
        </w:rPr>
        <w:t>derechos políticos y electorales</w:t>
      </w:r>
      <w:r w:rsidR="00433542" w:rsidRPr="005A40B7">
        <w:rPr>
          <w:rFonts w:cs="Arial"/>
          <w:bCs/>
          <w:szCs w:val="24"/>
        </w:rPr>
        <w:t>,</w:t>
      </w:r>
      <w:r w:rsidR="00414C4B" w:rsidRPr="005A40B7">
        <w:rPr>
          <w:rFonts w:cs="Arial"/>
          <w:bCs/>
          <w:szCs w:val="24"/>
        </w:rPr>
        <w:t xml:space="preserve"> </w:t>
      </w:r>
      <w:r w:rsidR="00433542" w:rsidRPr="005A40B7">
        <w:rPr>
          <w:rFonts w:cs="Arial"/>
          <w:bCs/>
          <w:szCs w:val="24"/>
        </w:rPr>
        <w:t xml:space="preserve">en específico, su derecho a la participación política, </w:t>
      </w:r>
      <w:r w:rsidR="00414C4B" w:rsidRPr="00E66839">
        <w:rPr>
          <w:rFonts w:cs="Arial"/>
          <w:bCs/>
          <w:szCs w:val="24"/>
        </w:rPr>
        <w:t xml:space="preserve">de las y los mexicanos </w:t>
      </w:r>
      <w:r w:rsidR="00414C4B" w:rsidRPr="00E66839">
        <w:rPr>
          <w:rFonts w:cs="Arial"/>
          <w:bCs/>
          <w:szCs w:val="24"/>
        </w:rPr>
        <w:lastRenderedPageBreak/>
        <w:t>en cualquier ubicación que residan, buscando permanentemente la maximización de su ejercicio</w:t>
      </w:r>
      <w:r w:rsidR="004A7DA2" w:rsidRPr="00E66839">
        <w:rPr>
          <w:rFonts w:cs="Arial"/>
          <w:bCs/>
          <w:szCs w:val="24"/>
        </w:rPr>
        <w:t>.</w:t>
      </w:r>
    </w:p>
    <w:p w14:paraId="351AF625" w14:textId="20665FFD" w:rsidR="00C42902" w:rsidRPr="005A40B7" w:rsidRDefault="00C42902" w:rsidP="005A40B7">
      <w:pPr>
        <w:rPr>
          <w:rFonts w:cs="Arial"/>
          <w:bCs/>
          <w:szCs w:val="24"/>
        </w:rPr>
      </w:pPr>
      <w:r w:rsidRPr="005A40B7">
        <w:rPr>
          <w:rFonts w:cs="Arial"/>
          <w:bCs/>
          <w:szCs w:val="24"/>
        </w:rPr>
        <w:t>E</w:t>
      </w:r>
      <w:r w:rsidR="00E52ADE" w:rsidRPr="005A40B7">
        <w:rPr>
          <w:rFonts w:cs="Arial"/>
          <w:bCs/>
          <w:szCs w:val="24"/>
        </w:rPr>
        <w:t>ntre otros aspectos, e</w:t>
      </w:r>
      <w:r w:rsidRPr="005A40B7">
        <w:rPr>
          <w:rFonts w:cs="Arial"/>
          <w:bCs/>
          <w:szCs w:val="24"/>
        </w:rPr>
        <w:t>ste órgano jurisdiccional</w:t>
      </w:r>
      <w:r w:rsidR="006C6992" w:rsidRPr="005A40B7">
        <w:rPr>
          <w:rFonts w:cs="Arial"/>
          <w:bCs/>
          <w:szCs w:val="24"/>
        </w:rPr>
        <w:t xml:space="preserve"> señaló que se podía interpretar</w:t>
      </w:r>
      <w:r w:rsidR="004B0B51" w:rsidRPr="005A40B7">
        <w:rPr>
          <w:rFonts w:cs="Arial"/>
          <w:szCs w:val="24"/>
        </w:rPr>
        <w:t xml:space="preserve"> </w:t>
      </w:r>
      <w:r w:rsidR="004B0B51" w:rsidRPr="005A40B7">
        <w:rPr>
          <w:rFonts w:cs="Arial"/>
          <w:bCs/>
          <w:szCs w:val="24"/>
        </w:rPr>
        <w:t xml:space="preserve">el requisito de residencia efectiva como la necesidad de que las y los aspirantes </w:t>
      </w:r>
      <w:r w:rsidR="004B0B51" w:rsidRPr="005A40B7">
        <w:rPr>
          <w:rFonts w:cs="Arial"/>
          <w:b/>
          <w:szCs w:val="24"/>
        </w:rPr>
        <w:t>demuestren algún tipo de vínculo con alguna de las entidades federativas y con la comunidad de migrantes en donde residan</w:t>
      </w:r>
      <w:r w:rsidR="004B0B51" w:rsidRPr="005A40B7">
        <w:rPr>
          <w:rFonts w:cs="Arial"/>
          <w:bCs/>
          <w:szCs w:val="24"/>
        </w:rPr>
        <w:t>.</w:t>
      </w:r>
    </w:p>
    <w:p w14:paraId="251C0876" w14:textId="3EAD79BD" w:rsidR="00B33DFE" w:rsidRPr="005A40B7" w:rsidRDefault="001508D1" w:rsidP="005A40B7">
      <w:pPr>
        <w:rPr>
          <w:rFonts w:cs="Arial"/>
          <w:bCs/>
          <w:szCs w:val="24"/>
        </w:rPr>
      </w:pPr>
      <w:r w:rsidRPr="005A40B7">
        <w:rPr>
          <w:rFonts w:cs="Arial"/>
          <w:bCs/>
          <w:szCs w:val="24"/>
        </w:rPr>
        <w:t>Finalmente, determinó que no se</w:t>
      </w:r>
      <w:r w:rsidR="00B33DFE" w:rsidRPr="005A40B7">
        <w:rPr>
          <w:rFonts w:cs="Arial"/>
          <w:bCs/>
          <w:szCs w:val="24"/>
        </w:rPr>
        <w:t xml:space="preserve"> advertía</w:t>
      </w:r>
      <w:r w:rsidR="00DF3B59" w:rsidRPr="005A40B7">
        <w:rPr>
          <w:rFonts w:cs="Arial"/>
          <w:bCs/>
          <w:szCs w:val="24"/>
        </w:rPr>
        <w:t xml:space="preserve"> algún</w:t>
      </w:r>
      <w:r w:rsidR="00102257" w:rsidRPr="005A40B7">
        <w:rPr>
          <w:rFonts w:cs="Arial"/>
          <w:szCs w:val="24"/>
        </w:rPr>
        <w:t xml:space="preserve"> </w:t>
      </w:r>
      <w:r w:rsidR="00102257" w:rsidRPr="005A40B7">
        <w:rPr>
          <w:rFonts w:cs="Arial"/>
          <w:bCs/>
          <w:szCs w:val="24"/>
        </w:rPr>
        <w:t>elemento objetivo que permit</w:t>
      </w:r>
      <w:r w:rsidR="00D52A7D" w:rsidRPr="005A40B7">
        <w:rPr>
          <w:rFonts w:cs="Arial"/>
          <w:bCs/>
          <w:szCs w:val="24"/>
        </w:rPr>
        <w:t>ier</w:t>
      </w:r>
      <w:r w:rsidR="00102257" w:rsidRPr="005A40B7">
        <w:rPr>
          <w:rFonts w:cs="Arial"/>
          <w:bCs/>
          <w:szCs w:val="24"/>
        </w:rPr>
        <w:t>a concluir que el diseño constitucional y legal impid</w:t>
      </w:r>
      <w:r w:rsidR="00D52A7D" w:rsidRPr="005A40B7">
        <w:rPr>
          <w:rFonts w:cs="Arial"/>
          <w:bCs/>
          <w:szCs w:val="24"/>
        </w:rPr>
        <w:t>iera</w:t>
      </w:r>
      <w:r w:rsidR="00102257" w:rsidRPr="005A40B7">
        <w:rPr>
          <w:rFonts w:cs="Arial"/>
          <w:bCs/>
          <w:szCs w:val="24"/>
        </w:rPr>
        <w:t xml:space="preserve"> la implementación de una medida afirmativa a favor de la comunidad migrante</w:t>
      </w:r>
      <w:r w:rsidR="00B33DFE" w:rsidRPr="005A40B7">
        <w:rPr>
          <w:rFonts w:cs="Arial"/>
          <w:bCs/>
          <w:szCs w:val="24"/>
        </w:rPr>
        <w:t>.</w:t>
      </w:r>
    </w:p>
    <w:p w14:paraId="3592498F" w14:textId="14DC57C0" w:rsidR="00651F11" w:rsidRPr="005A40B7" w:rsidRDefault="00B33DFE" w:rsidP="005A40B7">
      <w:pPr>
        <w:rPr>
          <w:rFonts w:cs="Arial"/>
          <w:bCs/>
          <w:szCs w:val="24"/>
        </w:rPr>
      </w:pPr>
      <w:r w:rsidRPr="005A40B7">
        <w:rPr>
          <w:rFonts w:cs="Arial"/>
          <w:bCs/>
          <w:szCs w:val="24"/>
        </w:rPr>
        <w:t>En ese sentido</w:t>
      </w:r>
      <w:r w:rsidR="00101B07" w:rsidRPr="005A40B7">
        <w:rPr>
          <w:rFonts w:cs="Arial"/>
          <w:bCs/>
          <w:szCs w:val="24"/>
        </w:rPr>
        <w:t>,</w:t>
      </w:r>
      <w:r w:rsidR="00A226E5" w:rsidRPr="005A40B7">
        <w:rPr>
          <w:rFonts w:cs="Arial"/>
          <w:bCs/>
          <w:szCs w:val="24"/>
        </w:rPr>
        <w:t xml:space="preserve"> esta Sala Superior</w:t>
      </w:r>
      <w:r w:rsidR="00101B07" w:rsidRPr="005A40B7">
        <w:rPr>
          <w:rFonts w:cs="Arial"/>
          <w:bCs/>
          <w:szCs w:val="24"/>
        </w:rPr>
        <w:t xml:space="preserve"> ordenó al INE que</w:t>
      </w:r>
      <w:r w:rsidR="00D65041" w:rsidRPr="005A40B7">
        <w:rPr>
          <w:rFonts w:cs="Arial"/>
          <w:bCs/>
          <w:szCs w:val="24"/>
        </w:rPr>
        <w:t xml:space="preserve"> </w:t>
      </w:r>
      <w:r w:rsidRPr="005A40B7">
        <w:rPr>
          <w:rFonts w:cs="Arial"/>
          <w:bCs/>
          <w:szCs w:val="24"/>
        </w:rPr>
        <w:t>implementara una medida afirmativa a favor de la comunidad migrante, en</w:t>
      </w:r>
      <w:r w:rsidR="00651F11" w:rsidRPr="005A40B7">
        <w:rPr>
          <w:rFonts w:cs="Arial"/>
          <w:bCs/>
          <w:szCs w:val="24"/>
        </w:rPr>
        <w:t xml:space="preserve"> la</w:t>
      </w:r>
      <w:r w:rsidR="0028142A" w:rsidRPr="005A40B7">
        <w:rPr>
          <w:rFonts w:cs="Arial"/>
          <w:bCs/>
          <w:szCs w:val="24"/>
        </w:rPr>
        <w:t xml:space="preserve"> cual</w:t>
      </w:r>
      <w:r w:rsidR="00651F11" w:rsidRPr="005A40B7">
        <w:rPr>
          <w:rFonts w:cs="Arial"/>
          <w:bCs/>
          <w:szCs w:val="24"/>
        </w:rPr>
        <w:t xml:space="preserve"> contemplara: </w:t>
      </w:r>
    </w:p>
    <w:p w14:paraId="481CD64E" w14:textId="2808EFF1" w:rsidR="00651F11" w:rsidRPr="005A40B7" w:rsidRDefault="00651F11" w:rsidP="005A40B7">
      <w:pPr>
        <w:rPr>
          <w:rFonts w:cs="Arial"/>
          <w:bCs/>
          <w:szCs w:val="24"/>
        </w:rPr>
      </w:pPr>
      <w:r w:rsidRPr="005A40B7">
        <w:rPr>
          <w:rFonts w:cs="Arial"/>
          <w:b/>
          <w:szCs w:val="24"/>
        </w:rPr>
        <w:t>a)</w:t>
      </w:r>
      <w:r w:rsidRPr="005A40B7">
        <w:rPr>
          <w:rFonts w:cs="Arial"/>
          <w:bCs/>
          <w:szCs w:val="24"/>
        </w:rPr>
        <w:t xml:space="preserve"> Las formas en que las candidaturas </w:t>
      </w:r>
      <w:r w:rsidR="008D4856" w:rsidRPr="005A40B7">
        <w:rPr>
          <w:rFonts w:cs="Arial"/>
          <w:bCs/>
          <w:szCs w:val="24"/>
        </w:rPr>
        <w:t>podían</w:t>
      </w:r>
      <w:r w:rsidRPr="005A40B7">
        <w:rPr>
          <w:rFonts w:cs="Arial"/>
          <w:bCs/>
          <w:szCs w:val="24"/>
        </w:rPr>
        <w:t xml:space="preserve"> cumplir con la vinculación con su estado de origen y la comunidad migrante.</w:t>
      </w:r>
    </w:p>
    <w:p w14:paraId="155642A2" w14:textId="0C2D4D3C" w:rsidR="00651F11" w:rsidRPr="005A40B7" w:rsidRDefault="00651F11" w:rsidP="005A40B7">
      <w:pPr>
        <w:rPr>
          <w:rFonts w:cs="Arial"/>
          <w:bCs/>
          <w:szCs w:val="24"/>
        </w:rPr>
      </w:pPr>
      <w:r w:rsidRPr="005A40B7">
        <w:rPr>
          <w:rFonts w:cs="Arial"/>
          <w:b/>
          <w:szCs w:val="24"/>
        </w:rPr>
        <w:t>b)</w:t>
      </w:r>
      <w:r w:rsidRPr="005A40B7">
        <w:rPr>
          <w:rFonts w:cs="Arial"/>
          <w:bCs/>
          <w:szCs w:val="24"/>
        </w:rPr>
        <w:t xml:space="preserve"> El número de candidaturas y circunscripciones por las que participarían, considerando que únicamente solicita</w:t>
      </w:r>
      <w:r w:rsidR="005A1DF5" w:rsidRPr="005A40B7">
        <w:rPr>
          <w:rFonts w:cs="Arial"/>
          <w:bCs/>
          <w:szCs w:val="24"/>
        </w:rPr>
        <w:t>ro</w:t>
      </w:r>
      <w:r w:rsidRPr="005A40B7">
        <w:rPr>
          <w:rFonts w:cs="Arial"/>
          <w:bCs/>
          <w:szCs w:val="24"/>
        </w:rPr>
        <w:t>n participar por RP.</w:t>
      </w:r>
    </w:p>
    <w:p w14:paraId="7991F0DB" w14:textId="7B90C239" w:rsidR="00367904" w:rsidRPr="005A40B7" w:rsidRDefault="00651F11" w:rsidP="005A40B7">
      <w:pPr>
        <w:rPr>
          <w:rFonts w:cs="Arial"/>
          <w:bCs/>
          <w:szCs w:val="24"/>
        </w:rPr>
      </w:pPr>
      <w:r w:rsidRPr="005A40B7">
        <w:rPr>
          <w:rFonts w:cs="Arial"/>
          <w:b/>
          <w:szCs w:val="24"/>
        </w:rPr>
        <w:t>c)</w:t>
      </w:r>
      <w:r w:rsidRPr="005A40B7">
        <w:rPr>
          <w:rFonts w:cs="Arial"/>
          <w:bCs/>
          <w:szCs w:val="24"/>
        </w:rPr>
        <w:t xml:space="preserve"> </w:t>
      </w:r>
      <w:r w:rsidR="00C135D7" w:rsidRPr="005A40B7">
        <w:rPr>
          <w:rFonts w:cs="Arial"/>
          <w:bCs/>
          <w:szCs w:val="24"/>
        </w:rPr>
        <w:t>Que e</w:t>
      </w:r>
      <w:r w:rsidRPr="005A40B7">
        <w:rPr>
          <w:rFonts w:cs="Arial"/>
          <w:bCs/>
          <w:szCs w:val="24"/>
        </w:rPr>
        <w:t xml:space="preserve">l lugar que </w:t>
      </w:r>
      <w:r w:rsidR="00C135D7" w:rsidRPr="005A40B7">
        <w:rPr>
          <w:rFonts w:cs="Arial"/>
          <w:bCs/>
          <w:szCs w:val="24"/>
        </w:rPr>
        <w:t>ocuparían</w:t>
      </w:r>
      <w:r w:rsidRPr="005A40B7">
        <w:rPr>
          <w:rFonts w:cs="Arial"/>
          <w:bCs/>
          <w:szCs w:val="24"/>
        </w:rPr>
        <w:t xml:space="preserve"> en la lista </w:t>
      </w:r>
      <w:r w:rsidR="00C135D7" w:rsidRPr="005A40B7">
        <w:rPr>
          <w:rFonts w:cs="Arial"/>
          <w:bCs/>
          <w:szCs w:val="24"/>
        </w:rPr>
        <w:t xml:space="preserve">debía </w:t>
      </w:r>
      <w:r w:rsidRPr="005A40B7">
        <w:rPr>
          <w:rFonts w:cs="Arial"/>
          <w:bCs/>
          <w:szCs w:val="24"/>
        </w:rPr>
        <w:t>ser dentro de los primeros 10 lugares, cumpliendo con la paridad.</w:t>
      </w:r>
    </w:p>
    <w:p w14:paraId="06C04870" w14:textId="3CF084B5" w:rsidR="00367904" w:rsidRPr="005A40B7" w:rsidRDefault="00E61054" w:rsidP="005A40B7">
      <w:pPr>
        <w:pStyle w:val="Ttulo2"/>
        <w:spacing w:before="100" w:after="100"/>
        <w:rPr>
          <w:rFonts w:ascii="Arial" w:hAnsi="Arial" w:cs="Arial"/>
          <w:b/>
          <w:bCs/>
          <w:color w:val="000000" w:themeColor="text1"/>
          <w:sz w:val="24"/>
          <w:szCs w:val="24"/>
        </w:rPr>
      </w:pPr>
      <w:bookmarkStart w:id="26" w:name="_Toc67557933"/>
      <w:r w:rsidRPr="005A40B7">
        <w:rPr>
          <w:rFonts w:ascii="Arial" w:hAnsi="Arial" w:cs="Arial"/>
          <w:b/>
          <w:bCs/>
          <w:color w:val="000000" w:themeColor="text1"/>
          <w:sz w:val="24"/>
          <w:szCs w:val="24"/>
        </w:rPr>
        <w:t>3.2 ¿Qué hizo el INE?</w:t>
      </w:r>
      <w:bookmarkEnd w:id="26"/>
    </w:p>
    <w:p w14:paraId="26C831BA" w14:textId="7FB833FC" w:rsidR="00614E04" w:rsidRPr="005A40B7" w:rsidRDefault="00384F0D" w:rsidP="005A40B7">
      <w:pPr>
        <w:rPr>
          <w:rFonts w:cs="Arial"/>
          <w:bCs/>
          <w:szCs w:val="24"/>
        </w:rPr>
      </w:pPr>
      <w:r w:rsidRPr="005A40B7">
        <w:rPr>
          <w:rFonts w:cs="Arial"/>
          <w:bCs/>
          <w:szCs w:val="24"/>
        </w:rPr>
        <w:t>E</w:t>
      </w:r>
      <w:r w:rsidR="00B30404" w:rsidRPr="005A40B7">
        <w:rPr>
          <w:rFonts w:cs="Arial"/>
          <w:bCs/>
          <w:szCs w:val="24"/>
        </w:rPr>
        <w:t>n lo que interesa, e</w:t>
      </w:r>
      <w:r w:rsidRPr="005A40B7">
        <w:rPr>
          <w:rFonts w:cs="Arial"/>
          <w:bCs/>
          <w:szCs w:val="24"/>
        </w:rPr>
        <w:t>l INE</w:t>
      </w:r>
      <w:r w:rsidR="009373E3">
        <w:rPr>
          <w:rFonts w:cs="Arial"/>
          <w:bCs/>
          <w:szCs w:val="24"/>
        </w:rPr>
        <w:t xml:space="preserve"> </w:t>
      </w:r>
      <w:r w:rsidR="0085498E" w:rsidRPr="005A40B7">
        <w:rPr>
          <w:rFonts w:cs="Arial"/>
          <w:bCs/>
          <w:szCs w:val="24"/>
        </w:rPr>
        <w:t>determinó que</w:t>
      </w:r>
      <w:r w:rsidR="0057305F" w:rsidRPr="005A40B7">
        <w:rPr>
          <w:rFonts w:cs="Arial"/>
          <w:bCs/>
          <w:szCs w:val="24"/>
        </w:rPr>
        <w:t>, en el actual proceso electoral federa</w:t>
      </w:r>
      <w:r w:rsidR="00A56526" w:rsidRPr="005A40B7">
        <w:rPr>
          <w:rFonts w:cs="Arial"/>
          <w:bCs/>
          <w:szCs w:val="24"/>
        </w:rPr>
        <w:t>l</w:t>
      </w:r>
      <w:r w:rsidR="0057305F" w:rsidRPr="005A40B7">
        <w:rPr>
          <w:rFonts w:cs="Arial"/>
          <w:bCs/>
          <w:szCs w:val="24"/>
        </w:rPr>
        <w:t>,</w:t>
      </w:r>
      <w:r w:rsidR="0085498E" w:rsidRPr="005A40B7">
        <w:rPr>
          <w:rFonts w:cs="Arial"/>
          <w:bCs/>
          <w:szCs w:val="24"/>
        </w:rPr>
        <w:t xml:space="preserve"> </w:t>
      </w:r>
      <w:r w:rsidR="00B30404" w:rsidRPr="005A40B7">
        <w:rPr>
          <w:rFonts w:cs="Arial"/>
          <w:bCs/>
          <w:szCs w:val="24"/>
        </w:rPr>
        <w:t>las personas mexicanas migrantes y residentes en el extranjero</w:t>
      </w:r>
      <w:r w:rsidR="004F3A6B" w:rsidRPr="005A40B7">
        <w:rPr>
          <w:rFonts w:cs="Arial"/>
          <w:bCs/>
          <w:szCs w:val="24"/>
        </w:rPr>
        <w:t xml:space="preserve"> pueden</w:t>
      </w:r>
      <w:r w:rsidR="00B30404" w:rsidRPr="005A40B7">
        <w:rPr>
          <w:rFonts w:cs="Arial"/>
          <w:bCs/>
          <w:szCs w:val="24"/>
        </w:rPr>
        <w:t>:</w:t>
      </w:r>
    </w:p>
    <w:p w14:paraId="69287194" w14:textId="49FB080A" w:rsidR="00614E04" w:rsidRPr="005A40B7" w:rsidRDefault="00793270" w:rsidP="005A40B7">
      <w:pPr>
        <w:rPr>
          <w:rFonts w:cs="Arial"/>
          <w:bCs/>
          <w:szCs w:val="24"/>
        </w:rPr>
      </w:pPr>
      <w:r w:rsidRPr="005A40B7">
        <w:rPr>
          <w:rFonts w:cs="Arial"/>
          <w:b/>
          <w:szCs w:val="24"/>
        </w:rPr>
        <w:t>a)</w:t>
      </w:r>
      <w:r w:rsidRPr="005A40B7">
        <w:rPr>
          <w:rFonts w:cs="Arial"/>
          <w:bCs/>
          <w:szCs w:val="24"/>
        </w:rPr>
        <w:t xml:space="preserve"> Participar con </w:t>
      </w:r>
      <w:r w:rsidR="0057305F" w:rsidRPr="005A40B7">
        <w:rPr>
          <w:rFonts w:cs="Arial"/>
          <w:bCs/>
          <w:szCs w:val="24"/>
        </w:rPr>
        <w:t>la postulación de cinco candidaturas</w:t>
      </w:r>
      <w:r w:rsidR="00311540" w:rsidRPr="005A40B7">
        <w:rPr>
          <w:rFonts w:cs="Arial"/>
          <w:bCs/>
          <w:szCs w:val="24"/>
        </w:rPr>
        <w:t xml:space="preserve">, una por circunscripción, dentro de los diez primeros lugares de cada una de las </w:t>
      </w:r>
      <w:r w:rsidR="00311540" w:rsidRPr="005A40B7">
        <w:rPr>
          <w:rFonts w:cs="Arial"/>
          <w:bCs/>
          <w:szCs w:val="24"/>
        </w:rPr>
        <w:lastRenderedPageBreak/>
        <w:t>listas de representación proporcional</w:t>
      </w:r>
      <w:r w:rsidR="0036265F" w:rsidRPr="005A40B7">
        <w:rPr>
          <w:rFonts w:cs="Arial"/>
          <w:bCs/>
          <w:szCs w:val="24"/>
        </w:rPr>
        <w:t>,</w:t>
      </w:r>
      <w:r w:rsidR="006A0070" w:rsidRPr="005A40B7">
        <w:rPr>
          <w:rFonts w:cs="Arial"/>
          <w:bCs/>
          <w:szCs w:val="24"/>
        </w:rPr>
        <w:t xml:space="preserve"> de las cuales tres</w:t>
      </w:r>
      <w:r w:rsidR="0036265F" w:rsidRPr="005A40B7">
        <w:rPr>
          <w:rFonts w:cs="Arial"/>
          <w:bCs/>
          <w:szCs w:val="24"/>
        </w:rPr>
        <w:t xml:space="preserve"> </w:t>
      </w:r>
      <w:r w:rsidR="006A0070" w:rsidRPr="005A40B7">
        <w:rPr>
          <w:rFonts w:cs="Arial"/>
          <w:bCs/>
          <w:szCs w:val="24"/>
        </w:rPr>
        <w:t xml:space="preserve">debían ser de distinto género, ello </w:t>
      </w:r>
      <w:r w:rsidR="0036265F" w:rsidRPr="005A40B7">
        <w:rPr>
          <w:rFonts w:cs="Arial"/>
          <w:bCs/>
          <w:szCs w:val="24"/>
        </w:rPr>
        <w:t>para cumplir con</w:t>
      </w:r>
      <w:r w:rsidR="007F65DA" w:rsidRPr="005A40B7">
        <w:rPr>
          <w:rFonts w:cs="Arial"/>
          <w:bCs/>
          <w:szCs w:val="24"/>
        </w:rPr>
        <w:t xml:space="preserve"> el principio de</w:t>
      </w:r>
      <w:r w:rsidR="0036265F" w:rsidRPr="005A40B7">
        <w:rPr>
          <w:rFonts w:cs="Arial"/>
          <w:bCs/>
          <w:szCs w:val="24"/>
        </w:rPr>
        <w:t xml:space="preserve"> paridad</w:t>
      </w:r>
      <w:r w:rsidR="007F65DA" w:rsidRPr="005A40B7">
        <w:rPr>
          <w:rFonts w:cs="Arial"/>
          <w:bCs/>
          <w:szCs w:val="24"/>
        </w:rPr>
        <w:t>.</w:t>
      </w:r>
    </w:p>
    <w:p w14:paraId="72224022" w14:textId="678B3806" w:rsidR="00A72574" w:rsidRPr="005A40B7" w:rsidRDefault="007F65DA" w:rsidP="005A40B7">
      <w:pPr>
        <w:rPr>
          <w:rFonts w:cs="Arial"/>
          <w:bCs/>
          <w:szCs w:val="24"/>
        </w:rPr>
      </w:pPr>
      <w:r w:rsidRPr="005A40B7">
        <w:rPr>
          <w:rFonts w:cs="Arial"/>
          <w:b/>
          <w:szCs w:val="24"/>
        </w:rPr>
        <w:t xml:space="preserve">b) </w:t>
      </w:r>
      <w:r w:rsidR="004F3A6B" w:rsidRPr="005A40B7">
        <w:rPr>
          <w:rFonts w:cs="Arial"/>
          <w:bCs/>
          <w:szCs w:val="24"/>
        </w:rPr>
        <w:t>Cumplir</w:t>
      </w:r>
      <w:r w:rsidR="005A13BE" w:rsidRPr="005A40B7">
        <w:rPr>
          <w:rFonts w:cs="Arial"/>
          <w:bCs/>
          <w:szCs w:val="24"/>
        </w:rPr>
        <w:t xml:space="preserve"> con la vinculación con su estado de origen y la comunidad migrante con</w:t>
      </w:r>
      <w:r w:rsidR="00C843AB" w:rsidRPr="005A40B7">
        <w:rPr>
          <w:rFonts w:cs="Arial"/>
          <w:bCs/>
          <w:szCs w:val="24"/>
        </w:rPr>
        <w:t xml:space="preserve">: </w:t>
      </w:r>
    </w:p>
    <w:p w14:paraId="47CDCF4D" w14:textId="6CACB173" w:rsidR="007F65DA" w:rsidRPr="005A40B7" w:rsidRDefault="005C71A3" w:rsidP="005A40B7">
      <w:pPr>
        <w:pStyle w:val="Prrafodelista"/>
        <w:numPr>
          <w:ilvl w:val="0"/>
          <w:numId w:val="1"/>
        </w:numPr>
        <w:ind w:left="714" w:hanging="357"/>
        <w:contextualSpacing w:val="0"/>
        <w:rPr>
          <w:rFonts w:cs="Arial"/>
          <w:bCs/>
          <w:szCs w:val="24"/>
        </w:rPr>
      </w:pPr>
      <w:r w:rsidRPr="005A40B7">
        <w:rPr>
          <w:rFonts w:cs="Arial"/>
          <w:bCs/>
          <w:szCs w:val="24"/>
        </w:rPr>
        <w:t>A</w:t>
      </w:r>
      <w:r w:rsidR="00C843AB" w:rsidRPr="005A40B7">
        <w:rPr>
          <w:rFonts w:cs="Arial"/>
          <w:bCs/>
          <w:szCs w:val="24"/>
        </w:rPr>
        <w:t>cta de nacimiento</w:t>
      </w:r>
      <w:r w:rsidR="00D44DB4" w:rsidRPr="005A40B7">
        <w:rPr>
          <w:rFonts w:cs="Arial"/>
          <w:bCs/>
          <w:szCs w:val="24"/>
        </w:rPr>
        <w:t xml:space="preserve"> o</w:t>
      </w:r>
      <w:r w:rsidR="00C843AB" w:rsidRPr="005A40B7">
        <w:rPr>
          <w:rFonts w:cs="Arial"/>
          <w:bCs/>
          <w:szCs w:val="24"/>
        </w:rPr>
        <w:t xml:space="preserve"> credencial para votar</w:t>
      </w:r>
      <w:r w:rsidRPr="005A40B7">
        <w:rPr>
          <w:rStyle w:val="Refdenotaalpie"/>
          <w:rFonts w:cs="Arial"/>
          <w:bCs/>
          <w:szCs w:val="24"/>
        </w:rPr>
        <w:footnoteReference w:id="14"/>
      </w:r>
      <w:r w:rsidRPr="005A40B7">
        <w:rPr>
          <w:rFonts w:cs="Arial"/>
          <w:bCs/>
          <w:szCs w:val="24"/>
        </w:rPr>
        <w:t>.</w:t>
      </w:r>
    </w:p>
    <w:p w14:paraId="69A31173" w14:textId="38206829" w:rsidR="005C71A3" w:rsidRPr="005A40B7" w:rsidRDefault="005C71A3" w:rsidP="005A40B7">
      <w:pPr>
        <w:pStyle w:val="Prrafodelista"/>
        <w:numPr>
          <w:ilvl w:val="0"/>
          <w:numId w:val="1"/>
        </w:numPr>
        <w:ind w:left="714" w:hanging="357"/>
        <w:contextualSpacing w:val="0"/>
        <w:rPr>
          <w:rFonts w:cs="Arial"/>
          <w:bCs/>
          <w:szCs w:val="24"/>
        </w:rPr>
      </w:pPr>
      <w:r w:rsidRPr="005A40B7">
        <w:rPr>
          <w:rFonts w:cs="Arial"/>
          <w:bCs/>
          <w:szCs w:val="24"/>
        </w:rPr>
        <w:t>Credencial para votar desde el extranjero</w:t>
      </w:r>
      <w:r w:rsidR="005E5CE2" w:rsidRPr="005A40B7">
        <w:rPr>
          <w:rFonts w:cs="Arial"/>
          <w:bCs/>
          <w:szCs w:val="24"/>
        </w:rPr>
        <w:t>.</w:t>
      </w:r>
    </w:p>
    <w:p w14:paraId="616CBBDF" w14:textId="3354E425" w:rsidR="005E5CE2" w:rsidRPr="005A40B7" w:rsidRDefault="005E5CE2" w:rsidP="005A40B7">
      <w:pPr>
        <w:pStyle w:val="Prrafodelista"/>
        <w:numPr>
          <w:ilvl w:val="0"/>
          <w:numId w:val="1"/>
        </w:numPr>
        <w:ind w:left="714" w:hanging="357"/>
        <w:contextualSpacing w:val="0"/>
        <w:rPr>
          <w:rFonts w:cs="Arial"/>
          <w:b/>
          <w:szCs w:val="24"/>
        </w:rPr>
      </w:pPr>
      <w:r w:rsidRPr="005A40B7">
        <w:rPr>
          <w:rFonts w:cs="Arial"/>
          <w:bCs/>
          <w:szCs w:val="24"/>
        </w:rPr>
        <w:t>Inscripción en la Lista nominal de electores residentes en el extranjero</w:t>
      </w:r>
      <w:r w:rsidR="00195ADB" w:rsidRPr="005A40B7">
        <w:rPr>
          <w:rFonts w:cs="Arial"/>
          <w:bCs/>
          <w:szCs w:val="24"/>
        </w:rPr>
        <w:t>.</w:t>
      </w:r>
    </w:p>
    <w:p w14:paraId="5C1406DE" w14:textId="60FA0FF5" w:rsidR="00443F24" w:rsidRPr="005A40B7" w:rsidRDefault="006936C4" w:rsidP="005A40B7">
      <w:pPr>
        <w:rPr>
          <w:rFonts w:cs="Arial"/>
          <w:bCs/>
          <w:szCs w:val="24"/>
        </w:rPr>
      </w:pPr>
      <w:r w:rsidRPr="005A40B7">
        <w:rPr>
          <w:rFonts w:cs="Arial"/>
          <w:bCs/>
          <w:szCs w:val="24"/>
        </w:rPr>
        <w:t xml:space="preserve">Por otra parte, el INE </w:t>
      </w:r>
      <w:r w:rsidR="00443F24" w:rsidRPr="005A40B7">
        <w:rPr>
          <w:rFonts w:cs="Arial"/>
          <w:bCs/>
          <w:szCs w:val="24"/>
        </w:rPr>
        <w:t>consideró necesario ampliar</w:t>
      </w:r>
      <w:r w:rsidR="00C70CB9" w:rsidRPr="005A40B7">
        <w:rPr>
          <w:rFonts w:cs="Arial"/>
          <w:bCs/>
          <w:szCs w:val="24"/>
        </w:rPr>
        <w:t xml:space="preserve"> la posibilidad para acreditar la calidad de migrante o vínculo con esa comunidad</w:t>
      </w:r>
      <w:r w:rsidR="00913EA0" w:rsidRPr="005A40B7">
        <w:rPr>
          <w:rFonts w:cs="Arial"/>
          <w:bCs/>
          <w:szCs w:val="24"/>
        </w:rPr>
        <w:t xml:space="preserve"> porque no todas las personas </w:t>
      </w:r>
      <w:r w:rsidR="00794007" w:rsidRPr="005A40B7">
        <w:rPr>
          <w:rFonts w:cs="Arial"/>
          <w:bCs/>
          <w:szCs w:val="24"/>
        </w:rPr>
        <w:t>cuentan con credencial para votar en el extranjero o están inscritas en la Lista nominal de electores residentes en el extranjero.</w:t>
      </w:r>
    </w:p>
    <w:p w14:paraId="74430ABC" w14:textId="571FB20A" w:rsidR="00C11A08" w:rsidRPr="005A40B7" w:rsidRDefault="00C11A08" w:rsidP="005A40B7">
      <w:pPr>
        <w:rPr>
          <w:rFonts w:cs="Arial"/>
          <w:bCs/>
          <w:szCs w:val="24"/>
        </w:rPr>
      </w:pPr>
      <w:r w:rsidRPr="005A40B7">
        <w:rPr>
          <w:rFonts w:cs="Arial"/>
          <w:bCs/>
          <w:szCs w:val="24"/>
        </w:rPr>
        <w:t xml:space="preserve">Así, </w:t>
      </w:r>
      <w:r w:rsidR="005946AF" w:rsidRPr="005A40B7">
        <w:rPr>
          <w:rFonts w:cs="Arial"/>
          <w:bCs/>
          <w:szCs w:val="24"/>
        </w:rPr>
        <w:t>consideró que también se podía acreditar con:</w:t>
      </w:r>
    </w:p>
    <w:p w14:paraId="0DE7DA52" w14:textId="75863040" w:rsidR="00391586" w:rsidRPr="005A40B7" w:rsidRDefault="00AB0BE5" w:rsidP="005A40B7">
      <w:pPr>
        <w:pStyle w:val="Prrafodelista"/>
        <w:numPr>
          <w:ilvl w:val="0"/>
          <w:numId w:val="1"/>
        </w:numPr>
        <w:ind w:left="714" w:hanging="357"/>
        <w:contextualSpacing w:val="0"/>
        <w:rPr>
          <w:rFonts w:cs="Arial"/>
          <w:bCs/>
          <w:szCs w:val="24"/>
        </w:rPr>
      </w:pPr>
      <w:r w:rsidRPr="005A40B7">
        <w:rPr>
          <w:rFonts w:cs="Arial"/>
          <w:bCs/>
          <w:szCs w:val="24"/>
        </w:rPr>
        <w:t xml:space="preserve">Membresía activa en organizaciones de migrantes o que han impulsado o promovido la defensa de los derechos de los migrantes o haber realizado acciones de promoción actividades comunitarias o culturales entre la comunidad </w:t>
      </w:r>
      <w:r w:rsidR="00FA06D7" w:rsidRPr="005A40B7">
        <w:rPr>
          <w:rFonts w:cs="Arial"/>
          <w:bCs/>
          <w:szCs w:val="24"/>
        </w:rPr>
        <w:t>m</w:t>
      </w:r>
      <w:r w:rsidRPr="005A40B7">
        <w:rPr>
          <w:rFonts w:cs="Arial"/>
          <w:bCs/>
          <w:szCs w:val="24"/>
        </w:rPr>
        <w:t>igrante.</w:t>
      </w:r>
    </w:p>
    <w:p w14:paraId="75FE0890" w14:textId="2BCF1916" w:rsidR="005946AF" w:rsidRPr="005A40B7" w:rsidRDefault="00AB0BE5" w:rsidP="005A40B7">
      <w:pPr>
        <w:pStyle w:val="Prrafodelista"/>
        <w:numPr>
          <w:ilvl w:val="0"/>
          <w:numId w:val="1"/>
        </w:numPr>
        <w:ind w:left="714" w:hanging="357"/>
        <w:contextualSpacing w:val="0"/>
        <w:rPr>
          <w:rFonts w:cs="Arial"/>
          <w:bCs/>
          <w:szCs w:val="24"/>
        </w:rPr>
      </w:pPr>
      <w:r w:rsidRPr="005A40B7">
        <w:rPr>
          <w:rFonts w:cs="Arial"/>
          <w:bCs/>
          <w:szCs w:val="24"/>
        </w:rPr>
        <w:t>Cualquier otra documental idónea para acreditar el vínculo</w:t>
      </w:r>
      <w:r w:rsidR="00E14D9A" w:rsidRPr="005A40B7">
        <w:rPr>
          <w:rFonts w:cs="Arial"/>
          <w:bCs/>
          <w:szCs w:val="24"/>
        </w:rPr>
        <w:t>, el cual estará sujeto a la valoración de</w:t>
      </w:r>
      <w:r w:rsidR="005B06A5" w:rsidRPr="005A40B7">
        <w:rPr>
          <w:rFonts w:cs="Arial"/>
          <w:bCs/>
          <w:szCs w:val="24"/>
        </w:rPr>
        <w:t>l propio INE</w:t>
      </w:r>
      <w:r w:rsidRPr="005A40B7">
        <w:rPr>
          <w:rFonts w:cs="Arial"/>
          <w:bCs/>
          <w:szCs w:val="24"/>
        </w:rPr>
        <w:t>.</w:t>
      </w:r>
    </w:p>
    <w:p w14:paraId="623EA049" w14:textId="7AC8D37D" w:rsidR="00443F24" w:rsidRPr="005A40B7" w:rsidRDefault="00EB5F21" w:rsidP="005A40B7">
      <w:pPr>
        <w:rPr>
          <w:rFonts w:cs="Arial"/>
          <w:bCs/>
          <w:szCs w:val="24"/>
        </w:rPr>
      </w:pPr>
      <w:r w:rsidRPr="005A40B7">
        <w:rPr>
          <w:rFonts w:cs="Arial"/>
          <w:bCs/>
          <w:szCs w:val="24"/>
        </w:rPr>
        <w:t>Al respecto, señaló que el vínculo con la comunidad migrante se puede originar por residir en el extranjero, pero</w:t>
      </w:r>
      <w:r w:rsidR="005E67F2" w:rsidRPr="005A40B7">
        <w:rPr>
          <w:rFonts w:cs="Arial"/>
          <w:bCs/>
          <w:szCs w:val="24"/>
        </w:rPr>
        <w:t xml:space="preserve"> estimó que</w:t>
      </w:r>
      <w:r w:rsidRPr="005A40B7">
        <w:rPr>
          <w:rFonts w:cs="Arial"/>
          <w:bCs/>
          <w:szCs w:val="24"/>
        </w:rPr>
        <w:t xml:space="preserve"> </w:t>
      </w:r>
      <w:r w:rsidR="00C47883" w:rsidRPr="005A40B7">
        <w:rPr>
          <w:rFonts w:cs="Arial"/>
          <w:bCs/>
          <w:szCs w:val="24"/>
        </w:rPr>
        <w:t>t</w:t>
      </w:r>
      <w:r w:rsidR="001C4E31" w:rsidRPr="005A40B7">
        <w:rPr>
          <w:rFonts w:cs="Arial"/>
          <w:bCs/>
          <w:szCs w:val="24"/>
        </w:rPr>
        <w:t>ambién p</w:t>
      </w:r>
      <w:r w:rsidR="005E67F2" w:rsidRPr="005A40B7">
        <w:rPr>
          <w:rFonts w:cs="Arial"/>
          <w:bCs/>
          <w:szCs w:val="24"/>
        </w:rPr>
        <w:t>odían tenerlo aquellas personas que residen en México y que han realizado trabajo a favor de la comunidad migrante</w:t>
      </w:r>
      <w:r w:rsidR="0086343F" w:rsidRPr="005A40B7">
        <w:rPr>
          <w:rFonts w:cs="Arial"/>
          <w:bCs/>
          <w:szCs w:val="24"/>
        </w:rPr>
        <w:t>, o bien que han residido en el exterior y que han regresado a</w:t>
      </w:r>
      <w:r w:rsidR="00E46711" w:rsidRPr="005A40B7">
        <w:rPr>
          <w:rFonts w:cs="Arial"/>
          <w:bCs/>
          <w:szCs w:val="24"/>
        </w:rPr>
        <w:t xml:space="preserve"> México en forma voluntaria o por repatriación.</w:t>
      </w:r>
    </w:p>
    <w:p w14:paraId="0566653D" w14:textId="1E958FBB" w:rsidR="007D3DC9" w:rsidRPr="005A40B7" w:rsidRDefault="00F6318C" w:rsidP="005A40B7">
      <w:pPr>
        <w:pStyle w:val="Ttulo2"/>
        <w:spacing w:before="100" w:after="100"/>
        <w:rPr>
          <w:rFonts w:ascii="Arial" w:hAnsi="Arial" w:cs="Arial"/>
          <w:b/>
          <w:bCs/>
          <w:color w:val="000000" w:themeColor="text1"/>
          <w:sz w:val="24"/>
          <w:szCs w:val="24"/>
        </w:rPr>
      </w:pPr>
      <w:bookmarkStart w:id="27" w:name="_Toc67557934"/>
      <w:r w:rsidRPr="005A40B7">
        <w:rPr>
          <w:rFonts w:ascii="Arial" w:hAnsi="Arial" w:cs="Arial"/>
          <w:b/>
          <w:bCs/>
          <w:color w:val="000000" w:themeColor="text1"/>
          <w:sz w:val="24"/>
          <w:szCs w:val="24"/>
        </w:rPr>
        <w:lastRenderedPageBreak/>
        <w:t>3.3 ¿Qué considera Sala Superior?</w:t>
      </w:r>
      <w:bookmarkEnd w:id="27"/>
    </w:p>
    <w:p w14:paraId="1AB6CED8" w14:textId="2E57D72D" w:rsidR="0085171B" w:rsidRDefault="00A443EC" w:rsidP="0085171B">
      <w:pPr>
        <w:rPr>
          <w:rFonts w:cs="Arial"/>
          <w:bCs/>
          <w:szCs w:val="24"/>
        </w:rPr>
      </w:pPr>
      <w:r w:rsidRPr="0085171B">
        <w:rPr>
          <w:rFonts w:cs="Arial"/>
          <w:bCs/>
          <w:szCs w:val="24"/>
        </w:rPr>
        <w:t>Como ya se había mencionado, e</w:t>
      </w:r>
      <w:r w:rsidR="00F6318C" w:rsidRPr="0085171B">
        <w:rPr>
          <w:rFonts w:cs="Arial"/>
          <w:bCs/>
          <w:szCs w:val="24"/>
        </w:rPr>
        <w:t xml:space="preserve">sta Sala Superior estima que </w:t>
      </w:r>
      <w:r w:rsidR="000E3664" w:rsidRPr="0085171B">
        <w:rPr>
          <w:rFonts w:cs="Arial"/>
          <w:bCs/>
          <w:szCs w:val="24"/>
        </w:rPr>
        <w:t>los agravios expuestos por los actores</w:t>
      </w:r>
      <w:r w:rsidRPr="0085171B">
        <w:rPr>
          <w:rFonts w:cs="Arial"/>
          <w:bCs/>
          <w:szCs w:val="24"/>
        </w:rPr>
        <w:t xml:space="preserve"> son </w:t>
      </w:r>
      <w:r w:rsidR="0085171B" w:rsidRPr="0085171B">
        <w:rPr>
          <w:rFonts w:cs="Arial"/>
          <w:b/>
          <w:szCs w:val="24"/>
        </w:rPr>
        <w:t>fundados</w:t>
      </w:r>
      <w:r w:rsidR="0085171B" w:rsidRPr="00EB40CC">
        <w:rPr>
          <w:rFonts w:cs="Arial"/>
          <w:bCs/>
          <w:szCs w:val="24"/>
        </w:rPr>
        <w:t xml:space="preserve"> porque, efectivamente, la responsable desvirtuó la acción afirmativa, al establecer la posibilidad que sean postuladas personas que vivan en México, siendo que esa medida afirmativa se estableció en beneficio de las personas migrantes y residentes en el extranjero</w:t>
      </w:r>
      <w:r w:rsidR="00975FEB">
        <w:rPr>
          <w:rFonts w:cs="Arial"/>
          <w:bCs/>
          <w:szCs w:val="24"/>
        </w:rPr>
        <w:t xml:space="preserve">, </w:t>
      </w:r>
      <w:r w:rsidR="00161DBD" w:rsidRPr="004637F7">
        <w:rPr>
          <w:rFonts w:cs="Arial"/>
          <w:bCs/>
          <w:szCs w:val="24"/>
        </w:rPr>
        <w:t xml:space="preserve">sin </w:t>
      </w:r>
      <w:r w:rsidR="00B90731" w:rsidRPr="004637F7">
        <w:rPr>
          <w:rFonts w:cs="Arial"/>
          <w:bCs/>
          <w:szCs w:val="24"/>
        </w:rPr>
        <w:t xml:space="preserve">prever que sea necesario </w:t>
      </w:r>
      <w:r w:rsidR="00975FEB" w:rsidRPr="004637F7">
        <w:rPr>
          <w:rFonts w:cs="Arial"/>
          <w:bCs/>
          <w:szCs w:val="24"/>
        </w:rPr>
        <w:t xml:space="preserve">que se encuentren </w:t>
      </w:r>
      <w:r w:rsidR="00B90731" w:rsidRPr="004637F7">
        <w:rPr>
          <w:rFonts w:cs="Arial"/>
          <w:bCs/>
          <w:szCs w:val="24"/>
        </w:rPr>
        <w:t>inscritos en la sección d</w:t>
      </w:r>
      <w:r w:rsidR="003963B3" w:rsidRPr="004637F7">
        <w:rPr>
          <w:rFonts w:cs="Arial"/>
          <w:bCs/>
          <w:szCs w:val="24"/>
        </w:rPr>
        <w:t>e residentes en el extranjero del padrón electoral o en el respectivo listado nominal</w:t>
      </w:r>
      <w:r w:rsidR="00975FEB" w:rsidRPr="004637F7">
        <w:rPr>
          <w:rFonts w:cs="Arial"/>
          <w:bCs/>
          <w:szCs w:val="24"/>
        </w:rPr>
        <w:t>,</w:t>
      </w:r>
      <w:r w:rsidR="00975FEB">
        <w:rPr>
          <w:rFonts w:cs="Arial"/>
          <w:bCs/>
          <w:szCs w:val="24"/>
        </w:rPr>
        <w:t xml:space="preserve"> pues esa calidad la podrán acreditar con algún otro elemento de convicción</w:t>
      </w:r>
      <w:r w:rsidR="00FF3EBA">
        <w:rPr>
          <w:rFonts w:cs="Arial"/>
          <w:bCs/>
          <w:szCs w:val="24"/>
        </w:rPr>
        <w:t>, el cual estará sujeto a la valoración del INE</w:t>
      </w:r>
      <w:r w:rsidR="00975FEB">
        <w:rPr>
          <w:rFonts w:cs="Arial"/>
          <w:bCs/>
          <w:szCs w:val="24"/>
        </w:rPr>
        <w:t xml:space="preserve">. </w:t>
      </w:r>
    </w:p>
    <w:p w14:paraId="70CA50C0" w14:textId="722A0337" w:rsidR="00621C16" w:rsidRPr="005A40B7" w:rsidRDefault="003B5042" w:rsidP="005A40B7">
      <w:pPr>
        <w:rPr>
          <w:rFonts w:cs="Arial"/>
          <w:b/>
          <w:szCs w:val="24"/>
        </w:rPr>
      </w:pPr>
      <w:r w:rsidRPr="00E4289C">
        <w:rPr>
          <w:rFonts w:cs="Arial"/>
          <w:b/>
          <w:szCs w:val="24"/>
        </w:rPr>
        <w:t xml:space="preserve">a. </w:t>
      </w:r>
      <w:r w:rsidR="00621C16" w:rsidRPr="00E4289C">
        <w:rPr>
          <w:rFonts w:cs="Arial"/>
          <w:b/>
          <w:szCs w:val="24"/>
        </w:rPr>
        <w:t xml:space="preserve">El INE </w:t>
      </w:r>
      <w:r w:rsidR="007F0247" w:rsidRPr="00E4289C">
        <w:rPr>
          <w:rFonts w:cs="Arial"/>
          <w:b/>
          <w:szCs w:val="24"/>
        </w:rPr>
        <w:t>dio</w:t>
      </w:r>
      <w:r w:rsidR="007F0247" w:rsidRPr="005A40B7">
        <w:rPr>
          <w:rFonts w:cs="Arial"/>
          <w:b/>
          <w:szCs w:val="24"/>
        </w:rPr>
        <w:t xml:space="preserve"> diversas razones para ampliar</w:t>
      </w:r>
      <w:r w:rsidR="007669B6" w:rsidRPr="005A40B7">
        <w:rPr>
          <w:rFonts w:cs="Arial"/>
          <w:b/>
          <w:szCs w:val="24"/>
        </w:rPr>
        <w:t xml:space="preserve"> </w:t>
      </w:r>
      <w:r w:rsidRPr="005A40B7">
        <w:rPr>
          <w:rFonts w:cs="Arial"/>
          <w:b/>
          <w:szCs w:val="24"/>
        </w:rPr>
        <w:t>la posibilidad para acreditar la calidad de migrante o vínculo con esa comunidad</w:t>
      </w:r>
    </w:p>
    <w:p w14:paraId="5903D7DE" w14:textId="7058FB8D" w:rsidR="00482B07" w:rsidRPr="005A40B7" w:rsidRDefault="00AE7752" w:rsidP="005A40B7">
      <w:pPr>
        <w:rPr>
          <w:rFonts w:cs="Arial"/>
          <w:bCs/>
          <w:szCs w:val="24"/>
        </w:rPr>
      </w:pPr>
      <w:r w:rsidRPr="005A40B7">
        <w:rPr>
          <w:rFonts w:cs="Arial"/>
          <w:bCs/>
          <w:szCs w:val="24"/>
        </w:rPr>
        <w:t xml:space="preserve">En </w:t>
      </w:r>
      <w:r w:rsidR="004E56B3" w:rsidRPr="005A40B7">
        <w:rPr>
          <w:rFonts w:cs="Arial"/>
          <w:bCs/>
          <w:szCs w:val="24"/>
        </w:rPr>
        <w:t>e</w:t>
      </w:r>
      <w:r w:rsidR="00A73EE3" w:rsidRPr="005A40B7">
        <w:rPr>
          <w:rFonts w:cs="Arial"/>
          <w:bCs/>
          <w:szCs w:val="24"/>
        </w:rPr>
        <w:t xml:space="preserve">l acuerdo controvertido </w:t>
      </w:r>
      <w:r w:rsidR="004E56B3" w:rsidRPr="005A40B7">
        <w:rPr>
          <w:rFonts w:cs="Arial"/>
          <w:bCs/>
          <w:szCs w:val="24"/>
        </w:rPr>
        <w:t xml:space="preserve">el INE señaló </w:t>
      </w:r>
      <w:r w:rsidR="00A73EE3" w:rsidRPr="005A40B7">
        <w:rPr>
          <w:rFonts w:cs="Arial"/>
          <w:bCs/>
          <w:szCs w:val="24"/>
        </w:rPr>
        <w:t>diversas razones</w:t>
      </w:r>
      <w:r w:rsidR="00EE56DD" w:rsidRPr="005A40B7">
        <w:rPr>
          <w:rFonts w:cs="Arial"/>
          <w:bCs/>
          <w:szCs w:val="24"/>
        </w:rPr>
        <w:t xml:space="preserve"> </w:t>
      </w:r>
      <w:r w:rsidR="000F1C04" w:rsidRPr="005A40B7">
        <w:rPr>
          <w:rFonts w:cs="Arial"/>
          <w:bCs/>
          <w:szCs w:val="24"/>
        </w:rPr>
        <w:t>para ampliar</w:t>
      </w:r>
      <w:r w:rsidR="00EE56DD" w:rsidRPr="005A40B7">
        <w:rPr>
          <w:rFonts w:cs="Arial"/>
          <w:bCs/>
          <w:szCs w:val="24"/>
        </w:rPr>
        <w:t xml:space="preserve"> </w:t>
      </w:r>
      <w:r w:rsidR="00011F34" w:rsidRPr="005A40B7">
        <w:rPr>
          <w:rFonts w:cs="Arial"/>
          <w:bCs/>
          <w:szCs w:val="24"/>
        </w:rPr>
        <w:t>la posibilidad para acreditar la calidad de migrante o vínculo con esa comunidad</w:t>
      </w:r>
      <w:r w:rsidR="00482B07" w:rsidRPr="005A40B7">
        <w:rPr>
          <w:rFonts w:cs="Arial"/>
          <w:bCs/>
          <w:szCs w:val="24"/>
        </w:rPr>
        <w:t>.</w:t>
      </w:r>
    </w:p>
    <w:p w14:paraId="044799C5" w14:textId="76C77CDA" w:rsidR="00AE7752" w:rsidRPr="005A40B7" w:rsidRDefault="00482B07" w:rsidP="005A40B7">
      <w:pPr>
        <w:rPr>
          <w:rFonts w:cs="Arial"/>
          <w:bCs/>
          <w:szCs w:val="24"/>
        </w:rPr>
      </w:pPr>
      <w:r w:rsidRPr="005A40B7">
        <w:rPr>
          <w:rFonts w:cs="Arial"/>
          <w:bCs/>
          <w:szCs w:val="24"/>
        </w:rPr>
        <w:t xml:space="preserve">En principio señaló que </w:t>
      </w:r>
      <w:r w:rsidR="00E95E08" w:rsidRPr="005A40B7">
        <w:rPr>
          <w:rFonts w:cs="Arial"/>
          <w:bCs/>
          <w:szCs w:val="24"/>
        </w:rPr>
        <w:t>ello era necesario,</w:t>
      </w:r>
      <w:r w:rsidR="00011F34" w:rsidRPr="005A40B7">
        <w:rPr>
          <w:rFonts w:cs="Arial"/>
          <w:bCs/>
          <w:szCs w:val="24"/>
        </w:rPr>
        <w:t xml:space="preserve"> porque no todas las personas</w:t>
      </w:r>
      <w:r w:rsidR="00E95E08" w:rsidRPr="005A40B7">
        <w:rPr>
          <w:rFonts w:cs="Arial"/>
          <w:bCs/>
          <w:szCs w:val="24"/>
        </w:rPr>
        <w:t xml:space="preserve"> </w:t>
      </w:r>
      <w:r w:rsidR="00011F34" w:rsidRPr="005A40B7">
        <w:rPr>
          <w:rFonts w:cs="Arial"/>
          <w:bCs/>
          <w:szCs w:val="24"/>
        </w:rPr>
        <w:t>cuentan con credencial para votar en el extranjero o están inscritas en la Lista nominal de electores residentes en el extranjero.</w:t>
      </w:r>
    </w:p>
    <w:p w14:paraId="7E04918C" w14:textId="3181A811" w:rsidR="00382AFC" w:rsidRPr="005A40B7" w:rsidRDefault="00981180" w:rsidP="005A40B7">
      <w:pPr>
        <w:rPr>
          <w:rFonts w:cs="Arial"/>
          <w:bCs/>
          <w:szCs w:val="24"/>
        </w:rPr>
      </w:pPr>
      <w:r w:rsidRPr="005A40B7">
        <w:rPr>
          <w:rFonts w:cs="Arial"/>
          <w:bCs/>
          <w:szCs w:val="24"/>
        </w:rPr>
        <w:t xml:space="preserve">Precisó que </w:t>
      </w:r>
      <w:r w:rsidR="00382AFC" w:rsidRPr="005A40B7">
        <w:rPr>
          <w:rFonts w:cs="Arial"/>
          <w:bCs/>
          <w:szCs w:val="24"/>
        </w:rPr>
        <w:t xml:space="preserve">actualmente hay 11,913,989 personas mexicanas residentes en el extranjero; pero solamente 1,006,124 solicitaron el trámite de la Credencial para Votar desde el Extranjero y, en consecuencia, se encuentran inscritas en el Padrón Electoral de Residentes en el Extranjero, </w:t>
      </w:r>
      <w:r w:rsidR="00382AFC" w:rsidRPr="00BD6DEE">
        <w:rPr>
          <w:rFonts w:cs="Arial"/>
          <w:bCs/>
          <w:szCs w:val="24"/>
        </w:rPr>
        <w:t xml:space="preserve">lo que implica sólo </w:t>
      </w:r>
      <w:r w:rsidR="00966433" w:rsidRPr="00BD6DEE">
        <w:rPr>
          <w:rFonts w:cs="Arial"/>
          <w:bCs/>
          <w:szCs w:val="24"/>
        </w:rPr>
        <w:t>a</w:t>
      </w:r>
      <w:r w:rsidR="00382AFC" w:rsidRPr="00BD6DEE">
        <w:rPr>
          <w:rFonts w:cs="Arial"/>
          <w:bCs/>
          <w:szCs w:val="24"/>
        </w:rPr>
        <w:t>l 8.44% de personas mexicanas que se encuentran</w:t>
      </w:r>
      <w:r w:rsidR="00EC683E" w:rsidRPr="00BD6DEE">
        <w:rPr>
          <w:rFonts w:cs="Arial"/>
          <w:bCs/>
          <w:szCs w:val="24"/>
        </w:rPr>
        <w:t xml:space="preserve"> fuera de</w:t>
      </w:r>
      <w:r w:rsidR="00966433" w:rsidRPr="00BD6DEE">
        <w:rPr>
          <w:rFonts w:cs="Arial"/>
          <w:bCs/>
          <w:szCs w:val="24"/>
        </w:rPr>
        <w:t>l país</w:t>
      </w:r>
      <w:r w:rsidR="00394890" w:rsidRPr="00BD6DEE">
        <w:rPr>
          <w:rStyle w:val="Refdenotaalpie"/>
          <w:rFonts w:cs="Arial"/>
          <w:bCs/>
          <w:szCs w:val="24"/>
        </w:rPr>
        <w:footnoteReference w:id="15"/>
      </w:r>
      <w:r w:rsidR="00394890" w:rsidRPr="00BD6DEE">
        <w:rPr>
          <w:rFonts w:cs="Arial"/>
          <w:bCs/>
          <w:szCs w:val="24"/>
        </w:rPr>
        <w:t>.</w:t>
      </w:r>
    </w:p>
    <w:p w14:paraId="6948DED8" w14:textId="462904BE" w:rsidR="00D15439" w:rsidRPr="005A40B7" w:rsidRDefault="001D47A1" w:rsidP="005A40B7">
      <w:pPr>
        <w:rPr>
          <w:rFonts w:cs="Arial"/>
          <w:bCs/>
          <w:szCs w:val="24"/>
        </w:rPr>
      </w:pPr>
      <w:r w:rsidRPr="005A40B7">
        <w:rPr>
          <w:rFonts w:cs="Arial"/>
          <w:bCs/>
          <w:szCs w:val="24"/>
        </w:rPr>
        <w:lastRenderedPageBreak/>
        <w:t>Asimismo, l</w:t>
      </w:r>
      <w:r w:rsidR="004253C0" w:rsidRPr="005A40B7">
        <w:rPr>
          <w:rFonts w:cs="Arial"/>
          <w:bCs/>
          <w:szCs w:val="24"/>
        </w:rPr>
        <w:t xml:space="preserve">a autoridad responsable </w:t>
      </w:r>
      <w:r w:rsidR="00305B6F" w:rsidRPr="005A40B7">
        <w:rPr>
          <w:rFonts w:cs="Arial"/>
          <w:bCs/>
          <w:szCs w:val="24"/>
        </w:rPr>
        <w:t>estimó nece</w:t>
      </w:r>
      <w:r w:rsidRPr="005A40B7">
        <w:rPr>
          <w:rFonts w:cs="Arial"/>
          <w:bCs/>
          <w:szCs w:val="24"/>
        </w:rPr>
        <w:t>sario</w:t>
      </w:r>
      <w:r w:rsidR="00123CC9" w:rsidRPr="005A40B7">
        <w:rPr>
          <w:rFonts w:cs="Arial"/>
          <w:bCs/>
          <w:szCs w:val="24"/>
        </w:rPr>
        <w:t xml:space="preserve"> e indispensable </w:t>
      </w:r>
      <w:r w:rsidR="00637326" w:rsidRPr="005A40B7">
        <w:rPr>
          <w:rFonts w:cs="Arial"/>
          <w:bCs/>
          <w:szCs w:val="24"/>
        </w:rPr>
        <w:t>ampliar las posibilidades para ac</w:t>
      </w:r>
      <w:r w:rsidR="002A1C93" w:rsidRPr="005A40B7">
        <w:rPr>
          <w:rFonts w:cs="Arial"/>
          <w:bCs/>
          <w:szCs w:val="24"/>
        </w:rPr>
        <w:t>reditar la calidad de migrante o el</w:t>
      </w:r>
      <w:r w:rsidR="009376BF" w:rsidRPr="005A40B7">
        <w:rPr>
          <w:rFonts w:cs="Arial"/>
          <w:bCs/>
          <w:szCs w:val="24"/>
        </w:rPr>
        <w:t xml:space="preserve"> </w:t>
      </w:r>
      <w:r w:rsidR="002A1C93" w:rsidRPr="005A40B7">
        <w:rPr>
          <w:rFonts w:cs="Arial"/>
          <w:bCs/>
          <w:szCs w:val="24"/>
        </w:rPr>
        <w:t xml:space="preserve">vínculo con esa comunidad, </w:t>
      </w:r>
      <w:r w:rsidR="009376BF" w:rsidRPr="005A40B7">
        <w:rPr>
          <w:rFonts w:cs="Arial"/>
          <w:bCs/>
          <w:szCs w:val="24"/>
        </w:rPr>
        <w:t>pues consideró</w:t>
      </w:r>
      <w:r w:rsidR="008C7BBF" w:rsidRPr="005A40B7">
        <w:rPr>
          <w:rFonts w:cs="Arial"/>
          <w:bCs/>
          <w:szCs w:val="24"/>
        </w:rPr>
        <w:t xml:space="preserve"> que uno de los motivos por los que </w:t>
      </w:r>
      <w:r w:rsidR="000F1A38" w:rsidRPr="005A40B7">
        <w:rPr>
          <w:rFonts w:cs="Arial"/>
          <w:bCs/>
          <w:szCs w:val="24"/>
        </w:rPr>
        <w:t xml:space="preserve">no cuentan con credencial </w:t>
      </w:r>
      <w:r w:rsidR="00061715" w:rsidRPr="005A40B7">
        <w:rPr>
          <w:rFonts w:cs="Arial"/>
          <w:bCs/>
          <w:szCs w:val="24"/>
        </w:rPr>
        <w:t xml:space="preserve">para votar desde el extranjero </w:t>
      </w:r>
      <w:r w:rsidR="000F1A38" w:rsidRPr="005A40B7">
        <w:rPr>
          <w:rFonts w:cs="Arial"/>
          <w:bCs/>
          <w:szCs w:val="24"/>
        </w:rPr>
        <w:t xml:space="preserve">es </w:t>
      </w:r>
      <w:r w:rsidR="004452A8" w:rsidRPr="005A40B7">
        <w:rPr>
          <w:rFonts w:cs="Arial"/>
          <w:bCs/>
          <w:szCs w:val="24"/>
        </w:rPr>
        <w:t xml:space="preserve">porque </w:t>
      </w:r>
      <w:r w:rsidR="00D4768C" w:rsidRPr="005A40B7">
        <w:rPr>
          <w:rFonts w:cs="Arial"/>
          <w:bCs/>
          <w:szCs w:val="24"/>
        </w:rPr>
        <w:t>las personas mexicanas que residen en el exterior ni siquiera tienen derecho a votar para elegir diputaciones federales</w:t>
      </w:r>
      <w:r w:rsidR="004213B6" w:rsidRPr="005A40B7">
        <w:rPr>
          <w:rFonts w:cs="Arial"/>
          <w:bCs/>
          <w:szCs w:val="24"/>
        </w:rPr>
        <w:t>.</w:t>
      </w:r>
    </w:p>
    <w:p w14:paraId="74B47F88" w14:textId="45F00A9C" w:rsidR="004213B6" w:rsidRPr="005A40B7" w:rsidRDefault="0099401C" w:rsidP="005A40B7">
      <w:pPr>
        <w:rPr>
          <w:rFonts w:cs="Arial"/>
          <w:bCs/>
          <w:szCs w:val="24"/>
        </w:rPr>
      </w:pPr>
      <w:r w:rsidRPr="005A40B7">
        <w:rPr>
          <w:rFonts w:cs="Arial"/>
          <w:bCs/>
          <w:szCs w:val="24"/>
        </w:rPr>
        <w:t xml:space="preserve">El INE precisó que lo que se </w:t>
      </w:r>
      <w:r w:rsidR="00937794" w:rsidRPr="005A40B7">
        <w:rPr>
          <w:rFonts w:cs="Arial"/>
          <w:bCs/>
          <w:szCs w:val="24"/>
        </w:rPr>
        <w:t xml:space="preserve">busca con la acción afirmativa a favor de las personas migrantes es que ese grupo </w:t>
      </w:r>
      <w:r w:rsidR="004804F9" w:rsidRPr="004637F7">
        <w:rPr>
          <w:rFonts w:cs="Arial"/>
          <w:bCs/>
          <w:szCs w:val="24"/>
        </w:rPr>
        <w:t xml:space="preserve">en situación de vulnerabilidad </w:t>
      </w:r>
      <w:r w:rsidR="00937794" w:rsidRPr="004637F7">
        <w:rPr>
          <w:rFonts w:cs="Arial"/>
          <w:bCs/>
          <w:szCs w:val="24"/>
        </w:rPr>
        <w:t>se encuentre representado en la</w:t>
      </w:r>
      <w:r w:rsidR="00BD350B" w:rsidRPr="004637F7">
        <w:rPr>
          <w:rFonts w:cs="Arial"/>
          <w:bCs/>
          <w:szCs w:val="24"/>
        </w:rPr>
        <w:t xml:space="preserve"> </w:t>
      </w:r>
      <w:r w:rsidR="00937794" w:rsidRPr="004637F7">
        <w:rPr>
          <w:rFonts w:cs="Arial"/>
          <w:bCs/>
          <w:szCs w:val="24"/>
        </w:rPr>
        <w:t xml:space="preserve">Cámara de Diputadas y Diputados del Congreso de la Unión, </w:t>
      </w:r>
      <w:r w:rsidR="00BD350B" w:rsidRPr="004637F7">
        <w:rPr>
          <w:rFonts w:cs="Arial"/>
          <w:bCs/>
          <w:szCs w:val="24"/>
        </w:rPr>
        <w:t xml:space="preserve">a fin de </w:t>
      </w:r>
      <w:r w:rsidR="00B17C84" w:rsidRPr="004637F7">
        <w:rPr>
          <w:rFonts w:cs="Arial"/>
          <w:bCs/>
          <w:szCs w:val="24"/>
        </w:rPr>
        <w:t xml:space="preserve">visibilizarles, </w:t>
      </w:r>
      <w:r w:rsidR="00BD350B" w:rsidRPr="004637F7">
        <w:rPr>
          <w:rFonts w:cs="Arial"/>
          <w:bCs/>
          <w:szCs w:val="24"/>
        </w:rPr>
        <w:t>fortalecer</w:t>
      </w:r>
      <w:r w:rsidR="00937794" w:rsidRPr="004637F7">
        <w:rPr>
          <w:rFonts w:cs="Arial"/>
          <w:bCs/>
          <w:szCs w:val="24"/>
        </w:rPr>
        <w:t xml:space="preserve"> sus derechos, se propongan soluciones a </w:t>
      </w:r>
      <w:r w:rsidR="00BD350B" w:rsidRPr="004637F7">
        <w:rPr>
          <w:rFonts w:cs="Arial"/>
          <w:bCs/>
          <w:szCs w:val="24"/>
        </w:rPr>
        <w:t>sus</w:t>
      </w:r>
      <w:r w:rsidR="00937794" w:rsidRPr="004637F7">
        <w:rPr>
          <w:rFonts w:cs="Arial"/>
          <w:bCs/>
          <w:szCs w:val="24"/>
        </w:rPr>
        <w:t xml:space="preserve"> problemas y, </w:t>
      </w:r>
      <w:r w:rsidR="0021347C" w:rsidRPr="004637F7">
        <w:rPr>
          <w:rFonts w:cs="Arial"/>
          <w:bCs/>
          <w:szCs w:val="24"/>
        </w:rPr>
        <w:t>se abone</w:t>
      </w:r>
      <w:r w:rsidR="00937794" w:rsidRPr="004637F7">
        <w:rPr>
          <w:rFonts w:cs="Arial"/>
          <w:bCs/>
          <w:szCs w:val="24"/>
        </w:rPr>
        <w:t xml:space="preserve"> </w:t>
      </w:r>
      <w:r w:rsidR="0021347C" w:rsidRPr="004637F7">
        <w:rPr>
          <w:rFonts w:cs="Arial"/>
          <w:bCs/>
          <w:szCs w:val="24"/>
        </w:rPr>
        <w:t>a revertir</w:t>
      </w:r>
      <w:r w:rsidR="0021347C">
        <w:rPr>
          <w:rFonts w:cs="Arial"/>
          <w:bCs/>
          <w:szCs w:val="24"/>
        </w:rPr>
        <w:t xml:space="preserve"> </w:t>
      </w:r>
      <w:r w:rsidR="00937794" w:rsidRPr="005A40B7">
        <w:rPr>
          <w:rFonts w:cs="Arial"/>
          <w:bCs/>
          <w:szCs w:val="24"/>
        </w:rPr>
        <w:t>las condiciones sociales, económicas</w:t>
      </w:r>
      <w:r w:rsidR="00BD350B" w:rsidRPr="005A40B7">
        <w:rPr>
          <w:rFonts w:cs="Arial"/>
          <w:bCs/>
          <w:szCs w:val="24"/>
        </w:rPr>
        <w:t xml:space="preserve"> </w:t>
      </w:r>
      <w:r w:rsidR="00937794" w:rsidRPr="005A40B7">
        <w:rPr>
          <w:rFonts w:cs="Arial"/>
          <w:bCs/>
          <w:szCs w:val="24"/>
        </w:rPr>
        <w:t>o de seguridad que a la mayoría de estas personas les obligó a migrar, entre</w:t>
      </w:r>
      <w:r w:rsidR="00BD350B" w:rsidRPr="005A40B7">
        <w:rPr>
          <w:rFonts w:cs="Arial"/>
          <w:bCs/>
          <w:szCs w:val="24"/>
        </w:rPr>
        <w:t xml:space="preserve"> </w:t>
      </w:r>
      <w:r w:rsidR="00937794" w:rsidRPr="005A40B7">
        <w:rPr>
          <w:rFonts w:cs="Arial"/>
          <w:bCs/>
          <w:szCs w:val="24"/>
        </w:rPr>
        <w:t>otros aspectos.</w:t>
      </w:r>
    </w:p>
    <w:p w14:paraId="74A89F27" w14:textId="50E32C5E" w:rsidR="00630403" w:rsidRPr="003E0B9A" w:rsidRDefault="00630403" w:rsidP="005A40B7">
      <w:pPr>
        <w:rPr>
          <w:rFonts w:cs="Arial"/>
          <w:b/>
          <w:szCs w:val="24"/>
        </w:rPr>
      </w:pPr>
      <w:r w:rsidRPr="003E0B9A">
        <w:rPr>
          <w:rFonts w:cs="Arial"/>
          <w:b/>
          <w:szCs w:val="24"/>
        </w:rPr>
        <w:t xml:space="preserve">b. </w:t>
      </w:r>
      <w:r w:rsidR="003E0B9A" w:rsidRPr="003E0B9A">
        <w:rPr>
          <w:rFonts w:cs="Arial"/>
          <w:b/>
          <w:szCs w:val="24"/>
        </w:rPr>
        <w:t>La ampliación que estableció el INE es contraria a la finalidad de la propia medida afirmativa</w:t>
      </w:r>
    </w:p>
    <w:p w14:paraId="41D70974" w14:textId="18475456" w:rsidR="002D1B47" w:rsidRPr="005A40B7" w:rsidRDefault="000F1C04" w:rsidP="005A40B7">
      <w:pPr>
        <w:rPr>
          <w:rFonts w:cs="Arial"/>
          <w:bCs/>
          <w:szCs w:val="24"/>
        </w:rPr>
      </w:pPr>
      <w:r w:rsidRPr="00CC2282">
        <w:rPr>
          <w:rFonts w:cs="Arial"/>
          <w:bCs/>
          <w:szCs w:val="24"/>
        </w:rPr>
        <w:t>Esta Sala</w:t>
      </w:r>
      <w:r w:rsidRPr="005A40B7">
        <w:rPr>
          <w:rFonts w:cs="Arial"/>
          <w:bCs/>
          <w:szCs w:val="24"/>
        </w:rPr>
        <w:t xml:space="preserve"> Superior estima que </w:t>
      </w:r>
      <w:r w:rsidR="00FB31D2" w:rsidRPr="005A40B7">
        <w:rPr>
          <w:rFonts w:cs="Arial"/>
          <w:bCs/>
          <w:szCs w:val="24"/>
        </w:rPr>
        <w:t xml:space="preserve">la ampliación de posibilidades para </w:t>
      </w:r>
      <w:r w:rsidR="003A2E0D" w:rsidRPr="005A40B7">
        <w:rPr>
          <w:rFonts w:cs="Arial"/>
          <w:bCs/>
          <w:szCs w:val="24"/>
        </w:rPr>
        <w:t xml:space="preserve">acreditar la calidad de migrante o vínculo con esa comunidad y en consecuencia </w:t>
      </w:r>
      <w:r w:rsidR="00FB31D2" w:rsidRPr="005A40B7">
        <w:rPr>
          <w:rFonts w:cs="Arial"/>
          <w:bCs/>
          <w:szCs w:val="24"/>
        </w:rPr>
        <w:t xml:space="preserve">acceder a una candidatura a una diputación migrante </w:t>
      </w:r>
      <w:r w:rsidR="009D5732" w:rsidRPr="005A40B7">
        <w:rPr>
          <w:rFonts w:cs="Arial"/>
          <w:bCs/>
          <w:szCs w:val="24"/>
        </w:rPr>
        <w:t xml:space="preserve">es </w:t>
      </w:r>
      <w:r w:rsidR="00CC2282">
        <w:rPr>
          <w:rFonts w:cs="Arial"/>
          <w:bCs/>
          <w:szCs w:val="24"/>
        </w:rPr>
        <w:t>indebida</w:t>
      </w:r>
      <w:r w:rsidR="009D5732" w:rsidRPr="005A40B7">
        <w:rPr>
          <w:rFonts w:cs="Arial"/>
          <w:bCs/>
          <w:szCs w:val="24"/>
        </w:rPr>
        <w:t>.</w:t>
      </w:r>
    </w:p>
    <w:p w14:paraId="73006D94" w14:textId="2F314E4A" w:rsidR="00D11190" w:rsidRPr="005A40B7" w:rsidRDefault="009D5732" w:rsidP="005A40B7">
      <w:pPr>
        <w:rPr>
          <w:rFonts w:cs="Arial"/>
          <w:bCs/>
          <w:szCs w:val="24"/>
        </w:rPr>
      </w:pPr>
      <w:r w:rsidRPr="005A40B7">
        <w:rPr>
          <w:rFonts w:cs="Arial"/>
          <w:bCs/>
          <w:szCs w:val="24"/>
        </w:rPr>
        <w:t xml:space="preserve">Lo anterior, porque </w:t>
      </w:r>
      <w:r w:rsidR="009A0AF3" w:rsidRPr="005A40B7">
        <w:rPr>
          <w:rFonts w:cs="Arial"/>
          <w:bCs/>
          <w:szCs w:val="24"/>
        </w:rPr>
        <w:t>este órgano jurisdiccional</w:t>
      </w:r>
      <w:r w:rsidR="000465A1" w:rsidRPr="005A40B7">
        <w:rPr>
          <w:rFonts w:cs="Arial"/>
          <w:bCs/>
          <w:szCs w:val="24"/>
        </w:rPr>
        <w:t xml:space="preserve"> ordenó al INE que implementara una medida afirmativa a favor de la comunidad migrante</w:t>
      </w:r>
      <w:r w:rsidR="00D11190" w:rsidRPr="005A40B7">
        <w:rPr>
          <w:rFonts w:cs="Arial"/>
          <w:bCs/>
          <w:szCs w:val="24"/>
        </w:rPr>
        <w:t>,</w:t>
      </w:r>
      <w:r w:rsidR="00FA508D" w:rsidRPr="005A40B7">
        <w:rPr>
          <w:rFonts w:cs="Arial"/>
          <w:bCs/>
          <w:szCs w:val="24"/>
        </w:rPr>
        <w:t xml:space="preserve"> </w:t>
      </w:r>
      <w:r w:rsidR="00D11190" w:rsidRPr="005A40B7">
        <w:rPr>
          <w:rFonts w:cs="Arial"/>
          <w:bCs/>
          <w:szCs w:val="24"/>
        </w:rPr>
        <w:t xml:space="preserve">en la cual contemplara: </w:t>
      </w:r>
    </w:p>
    <w:p w14:paraId="7278C28B" w14:textId="57954AE7" w:rsidR="00D11190" w:rsidRPr="005A40B7" w:rsidRDefault="005B7136" w:rsidP="005A40B7">
      <w:pPr>
        <w:rPr>
          <w:rFonts w:cs="Arial"/>
          <w:bCs/>
          <w:szCs w:val="24"/>
        </w:rPr>
      </w:pPr>
      <w:r>
        <w:rPr>
          <w:rFonts w:cs="Arial"/>
          <w:b/>
          <w:szCs w:val="24"/>
        </w:rPr>
        <w:t>i</w:t>
      </w:r>
      <w:r w:rsidR="00D11190" w:rsidRPr="005A40B7">
        <w:rPr>
          <w:rFonts w:cs="Arial"/>
          <w:b/>
          <w:szCs w:val="24"/>
        </w:rPr>
        <w:t>)</w:t>
      </w:r>
      <w:r w:rsidR="00D11190" w:rsidRPr="005A40B7">
        <w:rPr>
          <w:rFonts w:cs="Arial"/>
          <w:bCs/>
          <w:szCs w:val="24"/>
        </w:rPr>
        <w:t xml:space="preserve"> Las formas en que las candidaturas podían cumplir con la vinculación con su estado de origen y la comunidad migrante.</w:t>
      </w:r>
    </w:p>
    <w:p w14:paraId="1DCC5166" w14:textId="67CBAB33" w:rsidR="00D11190" w:rsidRPr="005A40B7" w:rsidRDefault="005B7136" w:rsidP="005A40B7">
      <w:pPr>
        <w:rPr>
          <w:rFonts w:cs="Arial"/>
          <w:bCs/>
          <w:szCs w:val="24"/>
        </w:rPr>
      </w:pPr>
      <w:r>
        <w:rPr>
          <w:rFonts w:cs="Arial"/>
          <w:b/>
          <w:szCs w:val="24"/>
        </w:rPr>
        <w:t>ii</w:t>
      </w:r>
      <w:r w:rsidR="00D11190" w:rsidRPr="005A40B7">
        <w:rPr>
          <w:rFonts w:cs="Arial"/>
          <w:b/>
          <w:szCs w:val="24"/>
        </w:rPr>
        <w:t>)</w:t>
      </w:r>
      <w:r w:rsidR="00D11190" w:rsidRPr="005A40B7">
        <w:rPr>
          <w:rFonts w:cs="Arial"/>
          <w:bCs/>
          <w:szCs w:val="24"/>
        </w:rPr>
        <w:t xml:space="preserve"> El número de candidaturas y circunscripciones por las que participarían, considerando que únicamente solicitaron participar por RP.</w:t>
      </w:r>
    </w:p>
    <w:p w14:paraId="425B761E" w14:textId="453289FF" w:rsidR="00D11190" w:rsidRPr="005A40B7" w:rsidRDefault="005B7136" w:rsidP="005A40B7">
      <w:pPr>
        <w:rPr>
          <w:rFonts w:cs="Arial"/>
          <w:bCs/>
          <w:szCs w:val="24"/>
        </w:rPr>
      </w:pPr>
      <w:r>
        <w:rPr>
          <w:rFonts w:cs="Arial"/>
          <w:b/>
          <w:szCs w:val="24"/>
        </w:rPr>
        <w:lastRenderedPageBreak/>
        <w:t>iii</w:t>
      </w:r>
      <w:r w:rsidR="00D11190" w:rsidRPr="005A40B7">
        <w:rPr>
          <w:rFonts w:cs="Arial"/>
          <w:b/>
          <w:szCs w:val="24"/>
        </w:rPr>
        <w:t>)</w:t>
      </w:r>
      <w:r w:rsidR="00D11190" w:rsidRPr="005A40B7">
        <w:rPr>
          <w:rFonts w:cs="Arial"/>
          <w:bCs/>
          <w:szCs w:val="24"/>
        </w:rPr>
        <w:t xml:space="preserve"> Que el lugar que ocuparían en la lista debía ser dentro de los primeros 10 lugares, cumpliendo con la paridad.</w:t>
      </w:r>
    </w:p>
    <w:p w14:paraId="77FE2F2E" w14:textId="33E28DE5" w:rsidR="00AC5EB7" w:rsidRDefault="00D11190" w:rsidP="005A40B7">
      <w:pPr>
        <w:rPr>
          <w:rFonts w:cs="Arial"/>
          <w:bCs/>
          <w:szCs w:val="24"/>
        </w:rPr>
      </w:pPr>
      <w:r w:rsidRPr="005A40B7">
        <w:rPr>
          <w:rFonts w:cs="Arial"/>
          <w:bCs/>
          <w:szCs w:val="24"/>
        </w:rPr>
        <w:t>Sin</w:t>
      </w:r>
      <w:r w:rsidR="00517C40" w:rsidRPr="005A40B7">
        <w:rPr>
          <w:rFonts w:cs="Arial"/>
          <w:bCs/>
          <w:szCs w:val="24"/>
        </w:rPr>
        <w:t xml:space="preserve"> embargo, </w:t>
      </w:r>
      <w:r w:rsidR="0077227B">
        <w:rPr>
          <w:rFonts w:cs="Arial"/>
          <w:bCs/>
          <w:szCs w:val="24"/>
        </w:rPr>
        <w:t>el INE amplió</w:t>
      </w:r>
      <w:r w:rsidR="00F75FD9">
        <w:rPr>
          <w:rFonts w:cs="Arial"/>
          <w:bCs/>
          <w:szCs w:val="24"/>
        </w:rPr>
        <w:t xml:space="preserve"> indebidamente</w:t>
      </w:r>
      <w:r w:rsidR="0077227B">
        <w:rPr>
          <w:rFonts w:cs="Arial"/>
          <w:bCs/>
          <w:szCs w:val="24"/>
        </w:rPr>
        <w:t xml:space="preserve"> las formas en las que las candidaturas pueden cumplir con la acreditación de vinculación </w:t>
      </w:r>
      <w:r w:rsidR="00445A7A" w:rsidRPr="00445A7A">
        <w:rPr>
          <w:rFonts w:cs="Arial"/>
          <w:bCs/>
          <w:szCs w:val="24"/>
        </w:rPr>
        <w:t xml:space="preserve">con su estado de origen y la comunidad </w:t>
      </w:r>
      <w:r w:rsidR="00445A7A">
        <w:rPr>
          <w:rFonts w:cs="Arial"/>
          <w:bCs/>
          <w:szCs w:val="24"/>
        </w:rPr>
        <w:t>migrante,</w:t>
      </w:r>
      <w:r w:rsidR="00445A7A" w:rsidRPr="00445A7A">
        <w:rPr>
          <w:rFonts w:cs="Arial"/>
          <w:bCs/>
          <w:szCs w:val="24"/>
        </w:rPr>
        <w:t xml:space="preserve"> porque </w:t>
      </w:r>
      <w:r w:rsidR="006F0791">
        <w:rPr>
          <w:rFonts w:cs="Arial"/>
          <w:bCs/>
          <w:szCs w:val="24"/>
        </w:rPr>
        <w:t xml:space="preserve">con esa </w:t>
      </w:r>
      <w:r w:rsidR="005A3DA9">
        <w:rPr>
          <w:rFonts w:cs="Arial"/>
          <w:bCs/>
          <w:szCs w:val="24"/>
        </w:rPr>
        <w:t xml:space="preserve">determinación </w:t>
      </w:r>
      <w:r w:rsidR="00445A7A" w:rsidRPr="00445A7A">
        <w:rPr>
          <w:rFonts w:cs="Arial"/>
          <w:bCs/>
          <w:szCs w:val="24"/>
        </w:rPr>
        <w:t>se distorsiona la acción afirmativa ordenada por esta Sala Superior a favor de la comunidad migrante.</w:t>
      </w:r>
    </w:p>
    <w:p w14:paraId="151AC5E1" w14:textId="32FE2EBC" w:rsidR="00D826EB" w:rsidRDefault="00D826EB" w:rsidP="00D826EB">
      <w:pPr>
        <w:spacing w:before="240" w:after="240"/>
        <w:rPr>
          <w:rFonts w:cs="Arial"/>
          <w:bCs/>
        </w:rPr>
      </w:pPr>
      <w:r>
        <w:rPr>
          <w:rFonts w:cs="Arial"/>
          <w:bCs/>
        </w:rPr>
        <w:t>Esta Sala Superior fue clara al establecer que la</w:t>
      </w:r>
      <w:r w:rsidR="00ED66F6">
        <w:rPr>
          <w:rFonts w:cs="Arial"/>
          <w:bCs/>
        </w:rPr>
        <w:t>s</w:t>
      </w:r>
      <w:r>
        <w:rPr>
          <w:rFonts w:cs="Arial"/>
          <w:bCs/>
        </w:rPr>
        <w:t xml:space="preserve"> personas que integran la comunidad migrante conforman un grupo en situación de vulnerabilidad, </w:t>
      </w:r>
      <w:r w:rsidR="0021347C" w:rsidRPr="004637F7">
        <w:rPr>
          <w:rFonts w:cs="Arial"/>
          <w:bCs/>
        </w:rPr>
        <w:t xml:space="preserve">subrepresentación e invisibilización </w:t>
      </w:r>
      <w:r w:rsidRPr="004637F7">
        <w:rPr>
          <w:rFonts w:cs="Arial"/>
          <w:bCs/>
        </w:rPr>
        <w:t xml:space="preserve">precisamente </w:t>
      </w:r>
      <w:r w:rsidR="009373E3" w:rsidRPr="004637F7">
        <w:rPr>
          <w:rFonts w:cs="Arial"/>
          <w:bCs/>
        </w:rPr>
        <w:t xml:space="preserve">porque </w:t>
      </w:r>
      <w:r w:rsidRPr="004637F7">
        <w:rPr>
          <w:rFonts w:cs="Arial"/>
          <w:bCs/>
        </w:rPr>
        <w:t>están expuest</w:t>
      </w:r>
      <w:r w:rsidR="0021347C" w:rsidRPr="004637F7">
        <w:rPr>
          <w:rFonts w:cs="Arial"/>
          <w:bCs/>
        </w:rPr>
        <w:t>a</w:t>
      </w:r>
      <w:r w:rsidR="00ED66F6" w:rsidRPr="004637F7">
        <w:rPr>
          <w:rFonts w:cs="Arial"/>
          <w:bCs/>
        </w:rPr>
        <w:t>s</w:t>
      </w:r>
      <w:r>
        <w:rPr>
          <w:rFonts w:cs="Arial"/>
          <w:bCs/>
        </w:rPr>
        <w:t xml:space="preserve"> a discriminación tanto en el estado receptor como en el de origen, por ello es importante que esa acción afirmativa beneficie efectivamente a personas migrantes </w:t>
      </w:r>
      <w:r w:rsidR="00592634">
        <w:rPr>
          <w:rFonts w:cs="Arial"/>
          <w:bCs/>
        </w:rPr>
        <w:t xml:space="preserve">y </w:t>
      </w:r>
      <w:r>
        <w:rPr>
          <w:rFonts w:cs="Arial"/>
          <w:bCs/>
        </w:rPr>
        <w:t xml:space="preserve">residentes en el extranjero. </w:t>
      </w:r>
    </w:p>
    <w:p w14:paraId="3F25FB77" w14:textId="77777777" w:rsidR="00D826EB" w:rsidRPr="00500379" w:rsidRDefault="00D826EB" w:rsidP="00D826EB">
      <w:pPr>
        <w:spacing w:before="240" w:after="240"/>
        <w:rPr>
          <w:rFonts w:cs="Arial"/>
          <w:bCs/>
        </w:rPr>
      </w:pPr>
      <w:r>
        <w:rPr>
          <w:rFonts w:cs="Arial"/>
          <w:bCs/>
        </w:rPr>
        <w:t>Lo anterior es acorde con e</w:t>
      </w:r>
      <w:r w:rsidRPr="00500379">
        <w:rPr>
          <w:rFonts w:cs="Arial"/>
          <w:bCs/>
        </w:rPr>
        <w:t>l propósito perseguido con la acción afirmativa a favor de personas</w:t>
      </w:r>
      <w:r>
        <w:rPr>
          <w:rFonts w:cs="Arial"/>
          <w:bCs/>
        </w:rPr>
        <w:t xml:space="preserve"> migrantes y </w:t>
      </w:r>
      <w:r w:rsidRPr="00500379">
        <w:rPr>
          <w:rFonts w:cs="Arial"/>
          <w:bCs/>
        </w:rPr>
        <w:t xml:space="preserve">residentes en el extranjero, </w:t>
      </w:r>
      <w:r>
        <w:rPr>
          <w:rFonts w:cs="Arial"/>
          <w:bCs/>
        </w:rPr>
        <w:t xml:space="preserve">pues </w:t>
      </w:r>
      <w:r w:rsidRPr="00500379">
        <w:rPr>
          <w:rFonts w:cs="Arial"/>
          <w:bCs/>
        </w:rPr>
        <w:t>evita que mediante la postulación de ciudadanos que se autoadscriban como tales y no lo sean, los representen.</w:t>
      </w:r>
    </w:p>
    <w:p w14:paraId="2F2CDCF2" w14:textId="1502DE34" w:rsidR="00D826EB" w:rsidRPr="00500379" w:rsidRDefault="00D826EB" w:rsidP="00D826EB">
      <w:pPr>
        <w:spacing w:before="240" w:after="240"/>
        <w:rPr>
          <w:rFonts w:cs="Arial"/>
          <w:bCs/>
        </w:rPr>
      </w:pPr>
      <w:r w:rsidRPr="00500379">
        <w:rPr>
          <w:rFonts w:cs="Arial"/>
          <w:bCs/>
        </w:rPr>
        <w:t xml:space="preserve">La idea es que la acción afirmativa verdaderamente se materialice en las personas a las que va dirigidas, pues con ello se preserva </w:t>
      </w:r>
      <w:r w:rsidR="0021347C" w:rsidRPr="004637F7">
        <w:rPr>
          <w:rFonts w:cs="Arial"/>
          <w:bCs/>
        </w:rPr>
        <w:t>la representación simbólica y</w:t>
      </w:r>
      <w:r w:rsidR="0021347C">
        <w:rPr>
          <w:rFonts w:cs="Arial"/>
          <w:bCs/>
        </w:rPr>
        <w:t xml:space="preserve"> </w:t>
      </w:r>
      <w:r w:rsidRPr="00500379">
        <w:rPr>
          <w:rFonts w:cs="Arial"/>
          <w:bCs/>
        </w:rPr>
        <w:t>que el postulado guarde correspondencia con la finalidad de la acción positiva</w:t>
      </w:r>
      <w:r w:rsidRPr="0021347C">
        <w:rPr>
          <w:rFonts w:cs="Arial"/>
          <w:bCs/>
        </w:rPr>
        <w:t>.</w:t>
      </w:r>
    </w:p>
    <w:p w14:paraId="67250C26" w14:textId="1A067184" w:rsidR="00D826EB" w:rsidRPr="004637F7" w:rsidRDefault="00D826EB" w:rsidP="00D826EB">
      <w:pPr>
        <w:spacing w:before="240" w:after="240"/>
        <w:rPr>
          <w:rFonts w:cs="Arial"/>
          <w:bCs/>
        </w:rPr>
      </w:pPr>
      <w:r w:rsidRPr="00500379">
        <w:rPr>
          <w:rFonts w:cs="Arial"/>
          <w:bCs/>
        </w:rPr>
        <w:t xml:space="preserve">Por ello, </w:t>
      </w:r>
      <w:r>
        <w:rPr>
          <w:rFonts w:cs="Arial"/>
          <w:bCs/>
        </w:rPr>
        <w:t xml:space="preserve">se considera que </w:t>
      </w:r>
      <w:r w:rsidRPr="00500379">
        <w:rPr>
          <w:rFonts w:cs="Arial"/>
          <w:bCs/>
        </w:rPr>
        <w:t xml:space="preserve">la ampliación de supuestos para el acceso a una candidatura reservada para personas mexicanas residentes en el extranjero no es adecuada ni razonable, </w:t>
      </w:r>
      <w:r w:rsidRPr="00696331">
        <w:rPr>
          <w:rFonts w:cs="Arial"/>
          <w:bCs/>
        </w:rPr>
        <w:t>pues</w:t>
      </w:r>
      <w:r w:rsidR="00696331">
        <w:rPr>
          <w:rFonts w:cs="Arial"/>
          <w:bCs/>
        </w:rPr>
        <w:t xml:space="preserve"> </w:t>
      </w:r>
      <w:r w:rsidR="00696331" w:rsidRPr="004637F7">
        <w:rPr>
          <w:rFonts w:cs="Arial"/>
          <w:bCs/>
        </w:rPr>
        <w:t xml:space="preserve">ello afecta la finalidad de las medidas y la representación simbólica </w:t>
      </w:r>
      <w:r w:rsidR="008550E4" w:rsidRPr="004637F7">
        <w:rPr>
          <w:rFonts w:cs="Arial"/>
          <w:bCs/>
        </w:rPr>
        <w:t>en una candidatura y, eventualmente, en una curul</w:t>
      </w:r>
      <w:r w:rsidRPr="004637F7">
        <w:rPr>
          <w:rFonts w:cs="Arial"/>
          <w:bCs/>
        </w:rPr>
        <w:t>.</w:t>
      </w:r>
    </w:p>
    <w:p w14:paraId="527EE788" w14:textId="59654D36" w:rsidR="00783BF7" w:rsidRPr="00500379" w:rsidRDefault="004214FA" w:rsidP="00783BF7">
      <w:pPr>
        <w:spacing w:before="240" w:after="240"/>
        <w:rPr>
          <w:rFonts w:cs="Arial"/>
          <w:bCs/>
        </w:rPr>
      </w:pPr>
      <w:r w:rsidRPr="004637F7">
        <w:rPr>
          <w:rFonts w:cs="Arial"/>
          <w:bCs/>
        </w:rPr>
        <w:t>A ello se suma el riesgo de incertidumbre que puede generar</w:t>
      </w:r>
      <w:r w:rsidR="00D826EB" w:rsidRPr="00696331">
        <w:rPr>
          <w:rFonts w:cs="Arial"/>
          <w:bCs/>
        </w:rPr>
        <w:t xml:space="preserve"> la ampliación adoptada por el Consejo General para que personas que fueron migrantes y que ya residen en México, o que han realizado trabajo </w:t>
      </w:r>
      <w:r w:rsidR="00D826EB" w:rsidRPr="00696331">
        <w:rPr>
          <w:rFonts w:cs="Arial"/>
          <w:bCs/>
        </w:rPr>
        <w:lastRenderedPageBreak/>
        <w:t>a favor de la comunidad migrante</w:t>
      </w:r>
      <w:r w:rsidR="00914E31">
        <w:rPr>
          <w:rFonts w:cs="Arial"/>
          <w:bCs/>
        </w:rPr>
        <w:t xml:space="preserve"> </w:t>
      </w:r>
      <w:r w:rsidR="00914E31" w:rsidRPr="004637F7">
        <w:rPr>
          <w:rFonts w:cs="Arial"/>
          <w:bCs/>
        </w:rPr>
        <w:t>puesto que</w:t>
      </w:r>
      <w:r w:rsidR="00D826EB" w:rsidRPr="004637F7">
        <w:rPr>
          <w:rFonts w:cs="Arial"/>
          <w:bCs/>
        </w:rPr>
        <w:t xml:space="preserve"> </w:t>
      </w:r>
      <w:r w:rsidR="00783BF7" w:rsidRPr="004637F7">
        <w:rPr>
          <w:rFonts w:cs="Arial"/>
          <w:bCs/>
        </w:rPr>
        <w:t>puede generar falta de certeza y dificultar la postulación de candidaturas.</w:t>
      </w:r>
    </w:p>
    <w:p w14:paraId="7EE8EEE8" w14:textId="7EEA64BF" w:rsidR="00D826EB" w:rsidRPr="00914E31" w:rsidRDefault="00D826EB" w:rsidP="00D826EB">
      <w:pPr>
        <w:spacing w:before="240" w:after="240"/>
        <w:rPr>
          <w:rFonts w:cs="Arial"/>
          <w:bCs/>
          <w:u w:val="single"/>
        </w:rPr>
      </w:pPr>
      <w:r w:rsidRPr="004214FA">
        <w:rPr>
          <w:rFonts w:cs="Arial"/>
          <w:bCs/>
        </w:rPr>
        <w:t>Lo anterior,</w:t>
      </w:r>
      <w:r w:rsidRPr="00500379">
        <w:rPr>
          <w:rFonts w:cs="Arial"/>
          <w:bCs/>
        </w:rPr>
        <w:t xml:space="preserve"> porque </w:t>
      </w:r>
      <w:r>
        <w:rPr>
          <w:rFonts w:cs="Arial"/>
          <w:bCs/>
        </w:rPr>
        <w:t xml:space="preserve">la autoridad responsable </w:t>
      </w:r>
      <w:r w:rsidRPr="00500379">
        <w:rPr>
          <w:rFonts w:cs="Arial"/>
          <w:bCs/>
        </w:rPr>
        <w:t>no establec</w:t>
      </w:r>
      <w:r>
        <w:rPr>
          <w:rFonts w:cs="Arial"/>
          <w:bCs/>
        </w:rPr>
        <w:t xml:space="preserve">ió </w:t>
      </w:r>
      <w:r w:rsidRPr="00500379">
        <w:rPr>
          <w:rFonts w:cs="Arial"/>
          <w:bCs/>
        </w:rPr>
        <w:t xml:space="preserve">parámetros </w:t>
      </w:r>
      <w:r>
        <w:rPr>
          <w:rFonts w:cs="Arial"/>
          <w:bCs/>
        </w:rPr>
        <w:t xml:space="preserve">ni </w:t>
      </w:r>
      <w:r w:rsidRPr="00500379">
        <w:rPr>
          <w:rFonts w:cs="Arial"/>
          <w:bCs/>
        </w:rPr>
        <w:t xml:space="preserve">características claras y concretas para que los actores políticos sepan, por ejemplo, cuánto tiempo debió estar una persona en el extranjero para que se considere migrante o qué tipo de trabajo o labor pudiera implicar un apoyo para ese grupo </w:t>
      </w:r>
      <w:r w:rsidR="00FA5C15" w:rsidRPr="004637F7">
        <w:rPr>
          <w:rFonts w:cs="Arial"/>
          <w:bCs/>
        </w:rPr>
        <w:t>en situación de vulnerabilidad, subrepresentación e invisi</w:t>
      </w:r>
      <w:r w:rsidR="00741E7E" w:rsidRPr="004637F7">
        <w:rPr>
          <w:rFonts w:cs="Arial"/>
          <w:bCs/>
        </w:rPr>
        <w:t>b</w:t>
      </w:r>
      <w:r w:rsidR="00FA5C15" w:rsidRPr="004637F7">
        <w:rPr>
          <w:rFonts w:cs="Arial"/>
          <w:bCs/>
        </w:rPr>
        <w:t>ilización</w:t>
      </w:r>
      <w:r w:rsidRPr="004637F7">
        <w:rPr>
          <w:rFonts w:cs="Arial"/>
          <w:bCs/>
        </w:rPr>
        <w:t>.</w:t>
      </w:r>
    </w:p>
    <w:p w14:paraId="49223ADC" w14:textId="77777777" w:rsidR="00D826EB" w:rsidRDefault="00D826EB" w:rsidP="00D826EB">
      <w:pPr>
        <w:spacing w:before="240" w:after="240"/>
        <w:rPr>
          <w:rFonts w:cs="Arial"/>
          <w:lang w:val="es-ES"/>
        </w:rPr>
      </w:pPr>
      <w:r w:rsidRPr="00500379">
        <w:rPr>
          <w:rFonts w:cs="Arial"/>
          <w:lang w:val="es-ES"/>
        </w:rPr>
        <w:t>En este contexto, se considera que la ampliación realizada por el INE es contraria al objetivo de la medida afirmativa que fue ordenada por esta Sala Superior, por las siguientes razones:</w:t>
      </w:r>
    </w:p>
    <w:p w14:paraId="4138D813" w14:textId="75CCAD2F" w:rsidR="00D826EB" w:rsidRPr="00C87E41" w:rsidRDefault="00D826EB" w:rsidP="00D826EB">
      <w:pPr>
        <w:spacing w:before="240" w:after="240"/>
        <w:rPr>
          <w:rFonts w:cs="Arial"/>
          <w:b/>
          <w:lang w:val="es-ES"/>
        </w:rPr>
      </w:pPr>
      <w:bookmarkStart w:id="28" w:name="_Toc67480965"/>
      <w:r>
        <w:rPr>
          <w:rFonts w:cs="Arial"/>
          <w:b/>
          <w:lang w:val="es-ES"/>
        </w:rPr>
        <w:t xml:space="preserve">A) </w:t>
      </w:r>
      <w:r w:rsidRPr="00C87E41">
        <w:rPr>
          <w:rFonts w:cs="Arial"/>
          <w:b/>
          <w:lang w:val="es-ES"/>
        </w:rPr>
        <w:t xml:space="preserve">La residencia en el extranjero es un elemento fundamental de la </w:t>
      </w:r>
      <w:r w:rsidR="00662AB1" w:rsidRPr="004637F7">
        <w:rPr>
          <w:rFonts w:cs="Arial"/>
          <w:b/>
          <w:lang w:val="es-ES"/>
        </w:rPr>
        <w:t xml:space="preserve">subrepresentación </w:t>
      </w:r>
      <w:r w:rsidRPr="004637F7">
        <w:rPr>
          <w:rFonts w:cs="Arial"/>
          <w:b/>
          <w:lang w:val="es-ES"/>
        </w:rPr>
        <w:t xml:space="preserve">que </w:t>
      </w:r>
      <w:r w:rsidR="00662AB1" w:rsidRPr="004637F7">
        <w:rPr>
          <w:rFonts w:cs="Arial"/>
          <w:b/>
          <w:lang w:val="es-ES"/>
        </w:rPr>
        <w:t>vive</w:t>
      </w:r>
      <w:r w:rsidR="00662AB1">
        <w:rPr>
          <w:rFonts w:cs="Arial"/>
          <w:b/>
          <w:lang w:val="es-ES"/>
        </w:rPr>
        <w:t xml:space="preserve"> </w:t>
      </w:r>
      <w:r w:rsidRPr="00C87E41">
        <w:rPr>
          <w:rFonts w:cs="Arial"/>
          <w:b/>
          <w:lang w:val="es-ES"/>
        </w:rPr>
        <w:t>la comunidad migrante</w:t>
      </w:r>
      <w:bookmarkEnd w:id="28"/>
    </w:p>
    <w:p w14:paraId="3CC615B0" w14:textId="23A696CF" w:rsidR="00D826EB" w:rsidRDefault="00D826EB" w:rsidP="00D826EB">
      <w:pPr>
        <w:spacing w:before="240" w:after="240"/>
        <w:rPr>
          <w:rFonts w:cs="Arial"/>
          <w:lang w:val="es-ES"/>
        </w:rPr>
      </w:pPr>
      <w:r>
        <w:rPr>
          <w:rFonts w:cs="Arial"/>
          <w:lang w:val="es-ES"/>
        </w:rPr>
        <w:t xml:space="preserve">El objetivo de la medida afirmativa </w:t>
      </w:r>
      <w:r w:rsidR="00914E31" w:rsidRPr="004637F7">
        <w:rPr>
          <w:rFonts w:cs="Arial"/>
          <w:lang w:val="es-ES"/>
        </w:rPr>
        <w:t>es desmantelar</w:t>
      </w:r>
      <w:r w:rsidR="00914E31" w:rsidRPr="00914E31">
        <w:rPr>
          <w:rFonts w:cs="Arial"/>
          <w:lang w:val="es-ES"/>
        </w:rPr>
        <w:t xml:space="preserve"> </w:t>
      </w:r>
      <w:r>
        <w:rPr>
          <w:rFonts w:cs="Arial"/>
          <w:lang w:val="es-ES"/>
        </w:rPr>
        <w:t xml:space="preserve">deficiencias estructurales que personas pertenecientes a la comunidad migrante </w:t>
      </w:r>
      <w:r w:rsidR="002D2AB2" w:rsidRPr="004637F7">
        <w:rPr>
          <w:rFonts w:cs="Arial"/>
          <w:lang w:val="es-ES"/>
        </w:rPr>
        <w:t>viven</w:t>
      </w:r>
      <w:r w:rsidR="002D2AB2" w:rsidRPr="00914E31">
        <w:rPr>
          <w:rFonts w:cs="Arial"/>
          <w:u w:val="single"/>
          <w:lang w:val="es-ES"/>
        </w:rPr>
        <w:t xml:space="preserve"> </w:t>
      </w:r>
      <w:r>
        <w:rPr>
          <w:rFonts w:cs="Arial"/>
          <w:lang w:val="es-ES"/>
        </w:rPr>
        <w:t>constantemente.</w:t>
      </w:r>
    </w:p>
    <w:p w14:paraId="163AD10A" w14:textId="48F45878" w:rsidR="00D826EB" w:rsidRDefault="00D826EB" w:rsidP="00D826EB">
      <w:pPr>
        <w:spacing w:before="240" w:after="240"/>
        <w:rPr>
          <w:rFonts w:cs="Arial"/>
          <w:lang w:val="es-ES"/>
        </w:rPr>
      </w:pPr>
      <w:r>
        <w:rPr>
          <w:rFonts w:cs="Arial"/>
          <w:lang w:val="es-ES"/>
        </w:rPr>
        <w:t xml:space="preserve">Al respecto, al resolver la sentencia SUP-RAP-21/2021, la Sala Superior señaló que el objeto y fin de las medidas afirmativas es el de alcanzar </w:t>
      </w:r>
      <w:r w:rsidRPr="003A03C0">
        <w:rPr>
          <w:rFonts w:cs="Arial"/>
          <w:lang w:val="es-ES"/>
        </w:rPr>
        <w:t xml:space="preserve">la igualdad material y, por tanto, compensar o remediar una situación de </w:t>
      </w:r>
      <w:r w:rsidR="002D2AB2" w:rsidRPr="004637F7">
        <w:rPr>
          <w:rFonts w:cs="Arial"/>
          <w:lang w:val="es-ES"/>
        </w:rPr>
        <w:t>subrepresentación</w:t>
      </w:r>
      <w:r w:rsidRPr="003A03C0">
        <w:rPr>
          <w:rFonts w:cs="Arial"/>
          <w:lang w:val="es-ES"/>
        </w:rPr>
        <w:t>, desventaja o discriminación; alcanzar una representación o un nivel de participación equilibrada, así como establecer las condiciones mínimas para que las personas puedan partir de un mismo punto de arranque y desplegar sus atributos y capacidades.</w:t>
      </w:r>
    </w:p>
    <w:p w14:paraId="697226C6" w14:textId="5C10C065" w:rsidR="00D826EB" w:rsidRPr="00914E31" w:rsidRDefault="00D826EB" w:rsidP="00D826EB">
      <w:pPr>
        <w:spacing w:before="240" w:after="240"/>
        <w:rPr>
          <w:rFonts w:cs="Arial"/>
          <w:u w:val="single"/>
          <w:lang w:val="es-ES"/>
        </w:rPr>
      </w:pPr>
      <w:r>
        <w:rPr>
          <w:rFonts w:cs="Arial"/>
          <w:lang w:val="es-ES"/>
        </w:rPr>
        <w:t xml:space="preserve">Por esta razón, la creación e implementación de las medidas afirmativas siempre debe estar encaminada a solucionar los problemas y desventajas estructurales de los grupos que se pretende </w:t>
      </w:r>
      <w:r w:rsidR="002D2AB2" w:rsidRPr="004637F7">
        <w:rPr>
          <w:rFonts w:cs="Arial"/>
          <w:lang w:val="es-ES"/>
        </w:rPr>
        <w:t>colocar en situación de igualdad</w:t>
      </w:r>
      <w:r w:rsidRPr="004637F7">
        <w:rPr>
          <w:rFonts w:cs="Arial"/>
          <w:lang w:val="es-ES"/>
        </w:rPr>
        <w:t>.</w:t>
      </w:r>
    </w:p>
    <w:p w14:paraId="5B467855" w14:textId="77777777" w:rsidR="00D826EB" w:rsidRDefault="00D826EB" w:rsidP="00D826EB">
      <w:pPr>
        <w:spacing w:before="240" w:after="240"/>
        <w:rPr>
          <w:rFonts w:cs="Arial"/>
          <w:lang w:val="es-ES"/>
        </w:rPr>
      </w:pPr>
      <w:r>
        <w:rPr>
          <w:rFonts w:cs="Arial"/>
          <w:lang w:val="es-ES"/>
        </w:rPr>
        <w:t xml:space="preserve">Partiendo de esta perspectiva, en el precedente, la Sala Superior identificó que la población migrante sufre de </w:t>
      </w:r>
      <w:r w:rsidRPr="002166FE">
        <w:rPr>
          <w:rFonts w:cs="Arial"/>
          <w:b/>
          <w:bCs/>
          <w:lang w:val="es-ES"/>
        </w:rPr>
        <w:t>dos</w:t>
      </w:r>
      <w:r>
        <w:rPr>
          <w:rFonts w:cs="Arial"/>
          <w:lang w:val="es-ES"/>
        </w:rPr>
        <w:t xml:space="preserve"> tipos de desventajas, </w:t>
      </w:r>
      <w:r>
        <w:rPr>
          <w:rFonts w:cs="Arial"/>
          <w:lang w:val="es-ES"/>
        </w:rPr>
        <w:lastRenderedPageBreak/>
        <w:t>una de discriminación social en su país de residencia y otra de en el ejercicio de su derecho a votar y ser votados como personas mexicanas.</w:t>
      </w:r>
    </w:p>
    <w:p w14:paraId="39833F21" w14:textId="77777777" w:rsidR="00D826EB" w:rsidRDefault="00D826EB" w:rsidP="00D826EB">
      <w:pPr>
        <w:spacing w:before="240" w:after="240"/>
        <w:rPr>
          <w:rFonts w:cs="Arial"/>
          <w:lang w:val="es-ES"/>
        </w:rPr>
      </w:pPr>
      <w:r>
        <w:rPr>
          <w:rFonts w:cs="Arial"/>
          <w:lang w:val="es-ES"/>
        </w:rPr>
        <w:t xml:space="preserve">Por un lado, resaltó que, a pesar de que la población migrante tenía una importante magnitud poblacional y que económicamente eran indispensables para un gran número de familias mexicanas, la decisión de abandonar el país no es una </w:t>
      </w:r>
      <w:r w:rsidRPr="003A03C0">
        <w:rPr>
          <w:rFonts w:cs="Arial"/>
          <w:lang w:val="es-ES"/>
        </w:rPr>
        <w:t>decisión fáci</w:t>
      </w:r>
      <w:r>
        <w:rPr>
          <w:rFonts w:cs="Arial"/>
          <w:lang w:val="es-ES"/>
        </w:rPr>
        <w:t xml:space="preserve">l. </w:t>
      </w:r>
    </w:p>
    <w:p w14:paraId="7B199E31" w14:textId="09B1C06E" w:rsidR="00D826EB" w:rsidRDefault="00D826EB" w:rsidP="00D826EB">
      <w:pPr>
        <w:spacing w:before="240" w:after="240"/>
        <w:rPr>
          <w:rFonts w:cs="Arial"/>
          <w:lang w:val="es-ES"/>
        </w:rPr>
      </w:pPr>
      <w:r w:rsidRPr="00E007FC">
        <w:rPr>
          <w:rFonts w:cs="Arial"/>
          <w:lang w:val="es-ES"/>
        </w:rPr>
        <w:t xml:space="preserve">Ello, pues aun y cuando logran estabilizarse económica y legalmente siguen enfrentando conflictos identitarios y sentimientos de falta de pertenencia al nuevo lugar en el que viven, además de que los grupos de migrantes suelen enfrentar múltiples formas de exclusión tanto en sus países anfitriones como en los de origen. Es decir, </w:t>
      </w:r>
      <w:r w:rsidRPr="00E007FC">
        <w:rPr>
          <w:rFonts w:cs="Arial"/>
          <w:b/>
          <w:bCs/>
          <w:lang w:val="es-ES"/>
        </w:rPr>
        <w:t>la Sala Superior ha reconocido la existencia de una discriminación en perjuicio de la comunidad migrante.</w:t>
      </w:r>
    </w:p>
    <w:p w14:paraId="20D6A966" w14:textId="77777777" w:rsidR="00D826EB" w:rsidRDefault="00D826EB" w:rsidP="00D826EB">
      <w:pPr>
        <w:spacing w:before="240" w:after="240"/>
        <w:rPr>
          <w:rFonts w:cs="Arial"/>
          <w:lang w:val="es-ES"/>
        </w:rPr>
      </w:pPr>
      <w:r>
        <w:rPr>
          <w:rFonts w:cs="Arial"/>
          <w:lang w:val="es-ES"/>
        </w:rPr>
        <w:t>De igual forma, este órgano jurisdiccional destacó que la comunidad migrante sufría una discriminación estructural en el ejercicio de sus derechos políticos y electorales, ya que a pesar de que constitucionalmente las ciudadanas y ciudadanos mexicanos tenían reconocidos derechos políticos y electorales tales como el voto, la comunidad migrante había sido impedida de ejercerlo.</w:t>
      </w:r>
    </w:p>
    <w:p w14:paraId="662D8199" w14:textId="77777777" w:rsidR="00D826EB" w:rsidRPr="00C87E41" w:rsidRDefault="00D826EB" w:rsidP="00D826EB">
      <w:pPr>
        <w:spacing w:before="240" w:after="240"/>
        <w:rPr>
          <w:rFonts w:cs="Arial"/>
          <w:lang w:val="es-ES"/>
        </w:rPr>
      </w:pPr>
      <w:r>
        <w:rPr>
          <w:rFonts w:cs="Arial"/>
          <w:lang w:val="es-ES"/>
        </w:rPr>
        <w:t xml:space="preserve">Es decir, </w:t>
      </w:r>
      <w:r w:rsidRPr="00C87E41">
        <w:rPr>
          <w:rFonts w:cs="Arial"/>
          <w:bCs/>
          <w:lang w:val="es-ES"/>
        </w:rPr>
        <w:t>la Sala Superior ha identificado una discriminación de las personas migrantes en el ejercicio de sus derechos políticos y electorales, discriminación que tiene causas estructurales de diversa índole.</w:t>
      </w:r>
    </w:p>
    <w:p w14:paraId="7AD1B8B9" w14:textId="77777777" w:rsidR="00D826EB" w:rsidRDefault="00D826EB" w:rsidP="00D826EB">
      <w:pPr>
        <w:spacing w:before="240" w:after="240"/>
        <w:rPr>
          <w:rFonts w:cs="Arial"/>
          <w:lang w:val="es-ES"/>
        </w:rPr>
      </w:pPr>
      <w:r>
        <w:rPr>
          <w:rFonts w:cs="Arial"/>
          <w:lang w:val="es-ES"/>
        </w:rPr>
        <w:t>En este sentido, la acción afirmativa que se ordenó al INE implementar desde la sentencia SUP-RAP-21/2021 debía contribuir a reducir la discriminación generada por elementos sociales y, al mismo tiempo, garantizar que la población mexicana residente en el extranjero pudiera ejercer, en mayor medida, sus derechos políticos y electorales.</w:t>
      </w:r>
    </w:p>
    <w:p w14:paraId="5AA891DC" w14:textId="77777777" w:rsidR="00D826EB" w:rsidRDefault="00D826EB" w:rsidP="00D826EB">
      <w:pPr>
        <w:spacing w:before="240" w:after="240"/>
        <w:rPr>
          <w:rFonts w:cs="Arial"/>
          <w:lang w:val="es-ES"/>
        </w:rPr>
      </w:pPr>
      <w:r>
        <w:rPr>
          <w:rFonts w:cs="Arial"/>
          <w:lang w:val="es-ES"/>
        </w:rPr>
        <w:lastRenderedPageBreak/>
        <w:t>Con base en lo expuesto, es que los actores tienen razón en el sentido de que la vulnerabilidad que sufren como grupo en situación de desventaja está directamente relacionada con la residencia en el extranjero y, por lo tanto, para que la medida afirmativa cumpla los objetivos que se propone es necesario que, en principio, únicamente personas mexicanas residentes en el extranjero se beneficien de la medida afirmativa.</w:t>
      </w:r>
    </w:p>
    <w:p w14:paraId="0FF07A1E" w14:textId="032FF85B" w:rsidR="00D826EB" w:rsidRPr="00F52EAD" w:rsidRDefault="00D826EB" w:rsidP="00D826EB">
      <w:pPr>
        <w:spacing w:before="240" w:after="240"/>
        <w:rPr>
          <w:rFonts w:cs="Arial"/>
          <w:b/>
          <w:lang w:val="es-ES"/>
        </w:rPr>
      </w:pPr>
      <w:bookmarkStart w:id="29" w:name="_Toc67480966"/>
      <w:r w:rsidRPr="00F52EAD">
        <w:rPr>
          <w:rFonts w:cs="Arial"/>
          <w:b/>
          <w:lang w:val="es-ES"/>
        </w:rPr>
        <w:t xml:space="preserve">B) La ampliación de las personas beneficiadas por la medida no es un beneficio </w:t>
      </w:r>
      <w:r w:rsidRPr="004637F7">
        <w:rPr>
          <w:rFonts w:cs="Arial"/>
          <w:b/>
          <w:lang w:val="es-ES"/>
        </w:rPr>
        <w:t>por sí mism</w:t>
      </w:r>
      <w:r w:rsidR="00914E31" w:rsidRPr="004637F7">
        <w:rPr>
          <w:rFonts w:cs="Arial"/>
          <w:b/>
          <w:lang w:val="es-ES"/>
        </w:rPr>
        <w:t>a.</w:t>
      </w:r>
      <w:bookmarkEnd w:id="29"/>
    </w:p>
    <w:p w14:paraId="17899888" w14:textId="77777777" w:rsidR="00D826EB" w:rsidRDefault="00D826EB" w:rsidP="00D826EB">
      <w:pPr>
        <w:spacing w:before="240" w:after="240"/>
        <w:rPr>
          <w:rFonts w:cs="Arial"/>
          <w:lang w:val="es-ES"/>
        </w:rPr>
      </w:pPr>
      <w:r>
        <w:rPr>
          <w:rFonts w:cs="Arial"/>
          <w:lang w:val="es-ES"/>
        </w:rPr>
        <w:t>La naturaleza de las medidas afirmativas está encaminada a beneficiar a grupos que se encuentran en situaciones de vulnerabilidad.</w:t>
      </w:r>
    </w:p>
    <w:p w14:paraId="14AD65C3" w14:textId="77777777" w:rsidR="00D826EB" w:rsidRDefault="00D826EB" w:rsidP="00D826EB">
      <w:pPr>
        <w:spacing w:before="240" w:after="240"/>
        <w:rPr>
          <w:rFonts w:cs="Arial"/>
          <w:lang w:val="es-ES"/>
        </w:rPr>
      </w:pPr>
      <w:r>
        <w:rPr>
          <w:rFonts w:cs="Arial"/>
          <w:lang w:val="es-ES"/>
        </w:rPr>
        <w:t>De esta manera, la interpretación de las medidas debe traducirse en el mayor beneficio del grupo, buscando siempre la optimización del principio de igualdad sustantiva.</w:t>
      </w:r>
    </w:p>
    <w:p w14:paraId="5B25A0D6" w14:textId="77777777" w:rsidR="00D826EB" w:rsidRPr="00C87E41" w:rsidRDefault="00D826EB" w:rsidP="00D826EB">
      <w:pPr>
        <w:spacing w:before="240" w:after="240"/>
        <w:rPr>
          <w:rFonts w:cs="Arial"/>
        </w:rPr>
      </w:pPr>
      <w:r w:rsidRPr="00C87E41">
        <w:rPr>
          <w:rFonts w:cs="Arial"/>
        </w:rPr>
        <w:t>Las acciones afirmativas constituyen una medida compensatoria para grupos determinados en situación de desventaja, que tienen como propósito revertir escenarios de desigualdad histórica y de facto que enfrentan grupos específicos</w:t>
      </w:r>
      <w:r w:rsidRPr="00C87E41">
        <w:rPr>
          <w:rFonts w:cs="Arial"/>
          <w:vertAlign w:val="superscript"/>
        </w:rPr>
        <w:footnoteReference w:id="16"/>
      </w:r>
      <w:r w:rsidRPr="00C87E41">
        <w:rPr>
          <w:rFonts w:cs="Arial"/>
        </w:rPr>
        <w:t>.</w:t>
      </w:r>
    </w:p>
    <w:p w14:paraId="4D981805" w14:textId="1D3CDDC3" w:rsidR="00D826EB" w:rsidRPr="00C87E41" w:rsidRDefault="00D826EB" w:rsidP="00D826EB">
      <w:pPr>
        <w:spacing w:before="240" w:after="240"/>
        <w:rPr>
          <w:rFonts w:cs="Arial"/>
          <w:bCs/>
        </w:rPr>
      </w:pPr>
      <w:r w:rsidRPr="00C87E41">
        <w:rPr>
          <w:rFonts w:cs="Arial"/>
          <w:bCs/>
        </w:rPr>
        <w:t xml:space="preserve">En ese sentido, las acciones afirmativas en el ámbito político-electoral permiten a los integrantes de estos grupos tener la oportunidad de acceder a cargos de elección popular, sin que ello implique una discriminación. </w:t>
      </w:r>
    </w:p>
    <w:p w14:paraId="5EDE4F55" w14:textId="0ADC2C05" w:rsidR="00D826EB" w:rsidRPr="00C87E41" w:rsidRDefault="00D826EB" w:rsidP="00D826EB">
      <w:pPr>
        <w:spacing w:before="240" w:after="240"/>
        <w:rPr>
          <w:rFonts w:cs="Arial"/>
          <w:bCs/>
        </w:rPr>
      </w:pPr>
      <w:r w:rsidRPr="00C87E41">
        <w:rPr>
          <w:rFonts w:cs="Arial"/>
          <w:bCs/>
        </w:rPr>
        <w:lastRenderedPageBreak/>
        <w:t xml:space="preserve">Esto porque las medidas afirmativas garantizan la participación de las personas que integran el grupo en desventaja y generan un escenario de igualdad entre </w:t>
      </w:r>
      <w:r w:rsidR="00625BE0">
        <w:rPr>
          <w:rFonts w:cs="Arial"/>
          <w:bCs/>
        </w:rPr>
        <w:t xml:space="preserve">esos </w:t>
      </w:r>
      <w:r w:rsidRPr="00C87E41">
        <w:rPr>
          <w:rFonts w:cs="Arial"/>
          <w:bCs/>
        </w:rPr>
        <w:t>grupos y el resto de la población</w:t>
      </w:r>
      <w:r w:rsidRPr="00C87E41">
        <w:rPr>
          <w:rFonts w:cs="Arial"/>
          <w:bCs/>
          <w:vertAlign w:val="superscript"/>
        </w:rPr>
        <w:footnoteReference w:id="17"/>
      </w:r>
      <w:r w:rsidRPr="00C87E41">
        <w:rPr>
          <w:rFonts w:cs="Arial"/>
          <w:bCs/>
        </w:rPr>
        <w:t xml:space="preserve">. </w:t>
      </w:r>
    </w:p>
    <w:p w14:paraId="11964FB7" w14:textId="77777777" w:rsidR="00D826EB" w:rsidRDefault="00D826EB" w:rsidP="00D826EB">
      <w:pPr>
        <w:spacing w:before="240" w:after="240"/>
        <w:rPr>
          <w:rFonts w:cs="Arial"/>
          <w:lang w:val="es-ES"/>
        </w:rPr>
      </w:pPr>
      <w:r>
        <w:rPr>
          <w:rFonts w:cs="Arial"/>
          <w:lang w:val="es-ES"/>
        </w:rPr>
        <w:t xml:space="preserve">Este criterio fue aplicado en la resolución SUP-RAP-47/2021, en donde se estableció que las medidas afirmativas pretendían </w:t>
      </w:r>
      <w:r w:rsidRPr="00C30C12">
        <w:rPr>
          <w:rFonts w:cs="Arial"/>
          <w:lang w:val="es-ES"/>
        </w:rPr>
        <w:t>incorporar a personas que pertenecen a grupos subrepresentados, excluidos e invisibilizados a los espacios de representación y toma de decisiones, lo que se configura dentro del mandato constitucional y convencional de hacer realidad el derecho a la igualdad.</w:t>
      </w:r>
    </w:p>
    <w:p w14:paraId="4E7CDF2B" w14:textId="5EF0DC1D" w:rsidR="00D826EB" w:rsidRDefault="00D826EB" w:rsidP="00D826EB">
      <w:pPr>
        <w:spacing w:before="240" w:after="240"/>
        <w:rPr>
          <w:rFonts w:cs="Arial"/>
          <w:lang w:val="es-ES"/>
        </w:rPr>
      </w:pPr>
      <w:r>
        <w:rPr>
          <w:rFonts w:cs="Arial"/>
          <w:lang w:val="es-ES"/>
        </w:rPr>
        <w:t xml:space="preserve">El razonamiento del precedente sirve para concluir que incorporar a personas que no son directamente las destinatarias de la medida afirmativa ordenada por esta Sala Superior en la sentencia </w:t>
      </w:r>
      <w:r w:rsidR="00F3278F">
        <w:rPr>
          <w:rFonts w:cs="Arial"/>
          <w:lang w:val="es-ES"/>
        </w:rPr>
        <w:br/>
      </w:r>
      <w:r>
        <w:rPr>
          <w:rFonts w:cs="Arial"/>
          <w:lang w:val="es-ES"/>
        </w:rPr>
        <w:t>SUP-RAP-21/2021, resta efectividad a las medidas y reduce las posibilidades de que personas pertenecientes a la comunidad migrante residente en el extranjero pueda acceder a la representación nacional.</w:t>
      </w:r>
    </w:p>
    <w:p w14:paraId="278A5D99" w14:textId="4D7D46E2" w:rsidR="00D826EB" w:rsidRDefault="00D826EB" w:rsidP="00D826EB">
      <w:pPr>
        <w:tabs>
          <w:tab w:val="left" w:pos="1215"/>
        </w:tabs>
        <w:rPr>
          <w:rFonts w:cs="Arial"/>
          <w:b/>
          <w:lang w:val="es-ES"/>
        </w:rPr>
      </w:pPr>
      <w:r w:rsidRPr="00A95224">
        <w:rPr>
          <w:rFonts w:cs="Arial"/>
          <w:bCs/>
          <w:lang w:val="es-ES"/>
        </w:rPr>
        <w:t xml:space="preserve">Esta Sala Superior considera que los espacios </w:t>
      </w:r>
      <w:r>
        <w:rPr>
          <w:rFonts w:cs="Arial"/>
          <w:bCs/>
          <w:lang w:val="es-ES"/>
        </w:rPr>
        <w:t xml:space="preserve">que se </w:t>
      </w:r>
      <w:r w:rsidRPr="00A95224">
        <w:rPr>
          <w:rFonts w:cs="Arial"/>
          <w:bCs/>
          <w:lang w:val="es-ES"/>
        </w:rPr>
        <w:t>reserv</w:t>
      </w:r>
      <w:r>
        <w:rPr>
          <w:rFonts w:cs="Arial"/>
          <w:bCs/>
          <w:lang w:val="es-ES"/>
        </w:rPr>
        <w:t xml:space="preserve">en </w:t>
      </w:r>
      <w:r w:rsidRPr="00A95224">
        <w:rPr>
          <w:rFonts w:cs="Arial"/>
          <w:bCs/>
          <w:lang w:val="es-ES"/>
        </w:rPr>
        <w:t xml:space="preserve">para personas </w:t>
      </w:r>
      <w:r>
        <w:rPr>
          <w:rFonts w:cs="Arial"/>
          <w:bCs/>
          <w:lang w:val="es-ES"/>
        </w:rPr>
        <w:t>de la comunidad migrante</w:t>
      </w:r>
      <w:r w:rsidRPr="00A95224">
        <w:rPr>
          <w:rFonts w:cs="Arial"/>
          <w:bCs/>
          <w:lang w:val="es-ES"/>
        </w:rPr>
        <w:t xml:space="preserve">, en su modalidad de acción afirmativa, </w:t>
      </w:r>
      <w:r w:rsidRPr="00F52EAD">
        <w:rPr>
          <w:rFonts w:cs="Arial"/>
          <w:lang w:val="es-ES"/>
        </w:rPr>
        <w:t>no puede ampliarse a personas que demuestren algún vínculo con esa comunidad, sino que es necesario que efectivamente se trate de personas migrantes y residente</w:t>
      </w:r>
      <w:r w:rsidR="002E274D">
        <w:rPr>
          <w:rFonts w:cs="Arial"/>
          <w:lang w:val="es-ES"/>
        </w:rPr>
        <w:t>s</w:t>
      </w:r>
      <w:r w:rsidRPr="00F52EAD">
        <w:rPr>
          <w:rFonts w:cs="Arial"/>
          <w:lang w:val="es-ES"/>
        </w:rPr>
        <w:t xml:space="preserve"> en el extranjero.</w:t>
      </w:r>
      <w:r>
        <w:rPr>
          <w:rFonts w:cs="Arial"/>
          <w:b/>
          <w:lang w:val="es-ES"/>
        </w:rPr>
        <w:t xml:space="preserve"> </w:t>
      </w:r>
    </w:p>
    <w:p w14:paraId="02357C6B" w14:textId="19445A8D" w:rsidR="00D826EB" w:rsidRDefault="00D826EB" w:rsidP="00D826EB">
      <w:pPr>
        <w:spacing w:before="240" w:after="240"/>
        <w:rPr>
          <w:rFonts w:cs="Arial"/>
          <w:lang w:val="es-ES"/>
        </w:rPr>
      </w:pPr>
      <w:r>
        <w:rPr>
          <w:rFonts w:cs="Arial"/>
          <w:lang w:val="es-ES"/>
        </w:rPr>
        <w:t>En consecuencia, establecer como condición que las personas que pretendan beneficiarse de la medida afirmativa residan en el extranjero maximiza el derecho y ofrece una garantía de que las personas que participen en la contienda electoral representen</w:t>
      </w:r>
      <w:r w:rsidR="00CD747D" w:rsidRPr="004637F7">
        <w:rPr>
          <w:rFonts w:cs="Arial"/>
          <w:lang w:val="es-ES"/>
        </w:rPr>
        <w:t xml:space="preserve"> simbólicamente a esa comunidad, lo que eventualmente impacta</w:t>
      </w:r>
      <w:r w:rsidRPr="004637F7">
        <w:rPr>
          <w:rFonts w:cs="Arial"/>
          <w:lang w:val="es-ES"/>
        </w:rPr>
        <w:t xml:space="preserve"> </w:t>
      </w:r>
      <w:r w:rsidR="00CD747D" w:rsidRPr="004637F7">
        <w:rPr>
          <w:rFonts w:cs="Arial"/>
          <w:lang w:val="es-ES"/>
        </w:rPr>
        <w:t xml:space="preserve">en la representación de </w:t>
      </w:r>
      <w:r w:rsidRPr="004637F7">
        <w:rPr>
          <w:rFonts w:cs="Arial"/>
          <w:lang w:val="es-ES"/>
        </w:rPr>
        <w:t xml:space="preserve">los intereses </w:t>
      </w:r>
      <w:r w:rsidR="00783BF7" w:rsidRPr="004637F7">
        <w:rPr>
          <w:rFonts w:cs="Arial"/>
          <w:lang w:val="es-ES"/>
        </w:rPr>
        <w:t xml:space="preserve">de </w:t>
      </w:r>
      <w:r w:rsidR="00CD747D" w:rsidRPr="004637F7">
        <w:rPr>
          <w:rFonts w:cs="Arial"/>
          <w:lang w:val="es-ES"/>
        </w:rPr>
        <w:t>quienes la integran</w:t>
      </w:r>
      <w:r w:rsidRPr="004637F7">
        <w:rPr>
          <w:rFonts w:cs="Arial"/>
          <w:lang w:val="es-ES"/>
        </w:rPr>
        <w:t>.</w:t>
      </w:r>
    </w:p>
    <w:p w14:paraId="4D354FBE" w14:textId="71FD308E" w:rsidR="00816940" w:rsidRPr="00AD252F" w:rsidRDefault="00816940" w:rsidP="00816940">
      <w:pPr>
        <w:spacing w:before="240" w:after="240"/>
        <w:rPr>
          <w:rFonts w:cs="Arial"/>
          <w:bCs/>
        </w:rPr>
      </w:pPr>
      <w:r w:rsidRPr="00AD252F">
        <w:rPr>
          <w:rFonts w:cs="Arial"/>
          <w:bCs/>
        </w:rPr>
        <w:lastRenderedPageBreak/>
        <w:t xml:space="preserve">Lo anterior es acorde con la acción </w:t>
      </w:r>
      <w:r w:rsidRPr="00AD252F">
        <w:rPr>
          <w:rFonts w:cs="Arial"/>
          <w:bCs/>
          <w:szCs w:val="24"/>
        </w:rPr>
        <w:t xml:space="preserve">afirmativa establecida por esta Sala Superior en beneficio de las personas migrantes y residentes en el extranjero, con independencia que se encuentren o no en </w:t>
      </w:r>
      <w:r w:rsidR="00967189" w:rsidRPr="00AD252F">
        <w:rPr>
          <w:rFonts w:cs="Arial"/>
          <w:bCs/>
          <w:szCs w:val="24"/>
        </w:rPr>
        <w:t xml:space="preserve">la sección de residentes en el extranjero </w:t>
      </w:r>
      <w:r w:rsidR="00AA2163" w:rsidRPr="00AD252F">
        <w:rPr>
          <w:rFonts w:cs="Arial"/>
          <w:bCs/>
          <w:szCs w:val="24"/>
        </w:rPr>
        <w:t>d</w:t>
      </w:r>
      <w:r w:rsidR="00F474B4" w:rsidRPr="00AD252F">
        <w:rPr>
          <w:rFonts w:cs="Arial"/>
          <w:bCs/>
          <w:szCs w:val="24"/>
        </w:rPr>
        <w:t>el padrón electoral</w:t>
      </w:r>
      <w:r w:rsidR="00AA2163" w:rsidRPr="00AD252F">
        <w:rPr>
          <w:rFonts w:cs="Arial"/>
          <w:bCs/>
          <w:szCs w:val="24"/>
        </w:rPr>
        <w:t xml:space="preserve"> o en el respectivo listado nominal</w:t>
      </w:r>
      <w:r w:rsidRPr="00AD252F">
        <w:rPr>
          <w:rFonts w:cs="Arial"/>
          <w:bCs/>
          <w:szCs w:val="24"/>
        </w:rPr>
        <w:t xml:space="preserve">, pues esa calidad la podrán acreditar con </w:t>
      </w:r>
      <w:r w:rsidR="00F474B4" w:rsidRPr="00AD252F">
        <w:rPr>
          <w:rFonts w:cs="Arial"/>
          <w:bCs/>
          <w:szCs w:val="24"/>
        </w:rPr>
        <w:t>cualquier</w:t>
      </w:r>
      <w:r w:rsidRPr="00AD252F">
        <w:rPr>
          <w:rFonts w:cs="Arial"/>
          <w:bCs/>
          <w:szCs w:val="24"/>
        </w:rPr>
        <w:t xml:space="preserve"> otro elemento</w:t>
      </w:r>
      <w:r w:rsidR="00F474B4" w:rsidRPr="00AD252F">
        <w:rPr>
          <w:rFonts w:cs="Arial"/>
          <w:bCs/>
          <w:szCs w:val="24"/>
        </w:rPr>
        <w:t xml:space="preserve"> </w:t>
      </w:r>
      <w:r w:rsidRPr="00AD252F">
        <w:rPr>
          <w:rFonts w:cs="Arial"/>
          <w:bCs/>
          <w:szCs w:val="24"/>
        </w:rPr>
        <w:t>de convicción.</w:t>
      </w:r>
    </w:p>
    <w:p w14:paraId="1DBD3102" w14:textId="2CFD7630" w:rsidR="00C15C29" w:rsidRPr="00AD252F" w:rsidRDefault="00C15C29" w:rsidP="00C15C29">
      <w:pPr>
        <w:rPr>
          <w:rFonts w:cs="Arial"/>
        </w:rPr>
      </w:pPr>
      <w:r w:rsidRPr="00AD252F">
        <w:rPr>
          <w:rFonts w:cs="Arial"/>
          <w:lang w:val="es-ES"/>
        </w:rPr>
        <w:t xml:space="preserve">Finalmente, se debe recordar que en el SUP-RAP-21/2021 esta Sala Superior ordenó al INE llevar </w:t>
      </w:r>
      <w:r w:rsidRPr="00AD252F">
        <w:rPr>
          <w:rFonts w:cs="Arial"/>
        </w:rPr>
        <w:t xml:space="preserve">a cabo un estudio respecto de la eficacia y funcionamiento de las acciones afirmativas implementadas en este proceso electoral, a fin de determinar si es necesario realizar ajustes en próximos procesos. A partir de ese estudio se contará con otros elementos que permitan perfeccionar la efectividad de la medida materia de esta sentencia. </w:t>
      </w:r>
    </w:p>
    <w:p w14:paraId="3FBE8E25" w14:textId="06612003" w:rsidR="00201B61" w:rsidRPr="00F05BD0" w:rsidRDefault="00201B61" w:rsidP="00201B61">
      <w:pPr>
        <w:pStyle w:val="Ttulo2"/>
        <w:spacing w:before="100" w:after="100"/>
        <w:rPr>
          <w:rFonts w:ascii="Arial" w:hAnsi="Arial" w:cs="Arial"/>
          <w:b/>
          <w:bCs/>
          <w:color w:val="000000" w:themeColor="text1"/>
          <w:sz w:val="24"/>
          <w:szCs w:val="24"/>
        </w:rPr>
      </w:pPr>
      <w:bookmarkStart w:id="30" w:name="_Toc67557935"/>
      <w:r w:rsidRPr="00F05BD0">
        <w:rPr>
          <w:rFonts w:ascii="Arial" w:hAnsi="Arial" w:cs="Arial"/>
          <w:b/>
          <w:bCs/>
          <w:color w:val="000000" w:themeColor="text1"/>
          <w:sz w:val="24"/>
          <w:szCs w:val="24"/>
        </w:rPr>
        <w:t>4. ¿Cómo se debe acreditar la calidad de migrante?</w:t>
      </w:r>
      <w:bookmarkEnd w:id="30"/>
    </w:p>
    <w:p w14:paraId="7979EF71" w14:textId="77777777" w:rsidR="001504EB" w:rsidRPr="00F05BD0" w:rsidRDefault="001504EB" w:rsidP="00201B61">
      <w:pPr>
        <w:rPr>
          <w:rFonts w:cs="Arial"/>
          <w:lang w:val="es-ES"/>
        </w:rPr>
      </w:pPr>
      <w:r w:rsidRPr="00F05BD0">
        <w:rPr>
          <w:rFonts w:cs="Arial"/>
          <w:lang w:val="es-ES"/>
        </w:rPr>
        <w:t xml:space="preserve">Conforme a las consideraciones de esta sentencia, lo procedente es precisar la forma en la que se podrá acreditar la calidad de migrantes, de las personas que aspiren a una diputación mediante esa acción afirmativa. </w:t>
      </w:r>
    </w:p>
    <w:p w14:paraId="0C6008EC" w14:textId="626AE574" w:rsidR="00201B61" w:rsidRPr="00F05BD0" w:rsidRDefault="001504EB" w:rsidP="00201B61">
      <w:pPr>
        <w:rPr>
          <w:rFonts w:cs="Arial"/>
          <w:bCs/>
          <w:szCs w:val="24"/>
        </w:rPr>
      </w:pPr>
      <w:r w:rsidRPr="00F05BD0">
        <w:rPr>
          <w:rFonts w:cs="Arial"/>
          <w:lang w:val="es-ES"/>
        </w:rPr>
        <w:t>Como se expuso, el</w:t>
      </w:r>
      <w:r w:rsidR="00201B61" w:rsidRPr="00F05BD0">
        <w:rPr>
          <w:rFonts w:cs="Arial"/>
          <w:lang w:val="es-ES"/>
        </w:rPr>
        <w:t xml:space="preserve"> INE determinó que las personas mexicanas migrantes y residentes en el extranjero pueden cumplir con la </w:t>
      </w:r>
      <w:r w:rsidR="00201B61" w:rsidRPr="00F05BD0">
        <w:rPr>
          <w:rFonts w:cs="Arial"/>
          <w:bCs/>
          <w:szCs w:val="24"/>
        </w:rPr>
        <w:t xml:space="preserve">vinculación con su estado de origen y la comunidad migrante con: </w:t>
      </w:r>
    </w:p>
    <w:p w14:paraId="5B42F34A" w14:textId="77777777" w:rsidR="00201B61" w:rsidRPr="00F05BD0" w:rsidRDefault="00201B61" w:rsidP="00201B61">
      <w:pPr>
        <w:pStyle w:val="Prrafodelista"/>
        <w:numPr>
          <w:ilvl w:val="0"/>
          <w:numId w:val="3"/>
        </w:numPr>
        <w:contextualSpacing w:val="0"/>
        <w:rPr>
          <w:rFonts w:cs="Arial"/>
          <w:bCs/>
          <w:szCs w:val="24"/>
        </w:rPr>
      </w:pPr>
      <w:r w:rsidRPr="00F05BD0">
        <w:rPr>
          <w:rFonts w:cs="Arial"/>
          <w:bCs/>
          <w:szCs w:val="24"/>
        </w:rPr>
        <w:t>Acta de nacimiento o credencial para votar</w:t>
      </w:r>
      <w:r w:rsidRPr="00F05BD0">
        <w:rPr>
          <w:rStyle w:val="Refdenotaalpie"/>
          <w:rFonts w:cs="Arial"/>
          <w:bCs/>
          <w:szCs w:val="24"/>
        </w:rPr>
        <w:footnoteReference w:id="18"/>
      </w:r>
      <w:r w:rsidRPr="00F05BD0">
        <w:rPr>
          <w:rFonts w:cs="Arial"/>
          <w:bCs/>
          <w:szCs w:val="24"/>
        </w:rPr>
        <w:t>.</w:t>
      </w:r>
    </w:p>
    <w:p w14:paraId="327C4882" w14:textId="77777777" w:rsidR="00201B61" w:rsidRPr="00F05BD0" w:rsidRDefault="00201B61" w:rsidP="00201B61">
      <w:pPr>
        <w:pStyle w:val="Prrafodelista"/>
        <w:numPr>
          <w:ilvl w:val="0"/>
          <w:numId w:val="3"/>
        </w:numPr>
        <w:contextualSpacing w:val="0"/>
        <w:rPr>
          <w:rFonts w:cs="Arial"/>
          <w:bCs/>
          <w:szCs w:val="24"/>
        </w:rPr>
      </w:pPr>
      <w:r w:rsidRPr="00F05BD0">
        <w:rPr>
          <w:rFonts w:cs="Arial"/>
          <w:bCs/>
          <w:szCs w:val="24"/>
        </w:rPr>
        <w:t>Credencial para votar desde el extranjero.</w:t>
      </w:r>
    </w:p>
    <w:p w14:paraId="64F668E8" w14:textId="77777777" w:rsidR="00201B61" w:rsidRPr="00F05BD0" w:rsidRDefault="00201B61" w:rsidP="00201B61">
      <w:pPr>
        <w:pStyle w:val="Prrafodelista"/>
        <w:numPr>
          <w:ilvl w:val="0"/>
          <w:numId w:val="3"/>
        </w:numPr>
        <w:contextualSpacing w:val="0"/>
        <w:rPr>
          <w:rFonts w:cs="Arial"/>
          <w:b/>
          <w:szCs w:val="24"/>
        </w:rPr>
      </w:pPr>
      <w:r w:rsidRPr="00F05BD0">
        <w:rPr>
          <w:rFonts w:cs="Arial"/>
          <w:bCs/>
          <w:szCs w:val="24"/>
        </w:rPr>
        <w:t>Inscripción en la Lista nominal de electores residentes en el extranjero.</w:t>
      </w:r>
    </w:p>
    <w:p w14:paraId="5C2389A3" w14:textId="51ADC721" w:rsidR="00201B61" w:rsidRPr="00F05BD0" w:rsidRDefault="00201B61" w:rsidP="00201B61">
      <w:pPr>
        <w:spacing w:before="240" w:after="240"/>
        <w:rPr>
          <w:rFonts w:cs="Arial"/>
          <w:lang w:val="es-ES"/>
        </w:rPr>
      </w:pPr>
      <w:r w:rsidRPr="00F05BD0">
        <w:rPr>
          <w:rFonts w:cs="Arial"/>
          <w:lang w:val="es-ES"/>
        </w:rPr>
        <w:t xml:space="preserve">No obstante, dadas las consideraciones planteadas por esta Sala Superior, es necesario </w:t>
      </w:r>
      <w:r w:rsidR="00E62F12" w:rsidRPr="00F05BD0">
        <w:rPr>
          <w:rFonts w:cs="Arial"/>
          <w:lang w:val="es-ES"/>
        </w:rPr>
        <w:t xml:space="preserve">complementar esa </w:t>
      </w:r>
      <w:r w:rsidRPr="00F05BD0">
        <w:rPr>
          <w:rFonts w:cs="Arial"/>
          <w:lang w:val="es-ES"/>
        </w:rPr>
        <w:t>parte del acuerdo</w:t>
      </w:r>
      <w:r w:rsidR="00E62F12" w:rsidRPr="00F05BD0">
        <w:rPr>
          <w:rFonts w:cs="Arial"/>
          <w:lang w:val="es-ES"/>
        </w:rPr>
        <w:t xml:space="preserve"> </w:t>
      </w:r>
      <w:r w:rsidR="00E62F12" w:rsidRPr="00F05BD0">
        <w:rPr>
          <w:rFonts w:cs="Arial"/>
          <w:lang w:val="es-ES"/>
        </w:rPr>
        <w:lastRenderedPageBreak/>
        <w:t>controvertido</w:t>
      </w:r>
      <w:r w:rsidRPr="00F05BD0">
        <w:rPr>
          <w:rFonts w:cs="Arial"/>
          <w:lang w:val="es-ES"/>
        </w:rPr>
        <w:t>, a fin de que las personas mexicanas migrantes y residentes en el extranjero puedan acreditar su vinculación con su estado de origen y la comunidad, además de la documentación antes señalada, con cualquier otro medio de convicción.</w:t>
      </w:r>
    </w:p>
    <w:p w14:paraId="3B89D70F" w14:textId="77777777" w:rsidR="00282158" w:rsidRPr="00F05BD0" w:rsidRDefault="00201B61" w:rsidP="00201B61">
      <w:pPr>
        <w:spacing w:before="240" w:after="240"/>
        <w:rPr>
          <w:rFonts w:cs="Arial"/>
          <w:lang w:val="es-ES"/>
        </w:rPr>
      </w:pPr>
      <w:r w:rsidRPr="00F05BD0">
        <w:rPr>
          <w:rFonts w:cs="Arial"/>
          <w:lang w:val="es-ES"/>
        </w:rPr>
        <w:t xml:space="preserve">Cabe señalar que, la documental que en su caso se presente estará sujeta a la valoración del INE. </w:t>
      </w:r>
    </w:p>
    <w:p w14:paraId="5A6407A2" w14:textId="2EF2E435" w:rsidR="00201B61" w:rsidRPr="00F05BD0" w:rsidRDefault="00E62F12" w:rsidP="00201B61">
      <w:pPr>
        <w:spacing w:before="240" w:after="240"/>
        <w:rPr>
          <w:rFonts w:cs="Arial"/>
          <w:lang w:val="es-ES"/>
        </w:rPr>
      </w:pPr>
      <w:r w:rsidRPr="00F05BD0">
        <w:rPr>
          <w:rFonts w:cs="Arial"/>
          <w:lang w:val="es-ES"/>
        </w:rPr>
        <w:t xml:space="preserve">La posibilidad que las </w:t>
      </w:r>
      <w:r w:rsidR="00201B61" w:rsidRPr="00F05BD0">
        <w:rPr>
          <w:rFonts w:cs="Arial"/>
          <w:lang w:val="es-ES"/>
        </w:rPr>
        <w:t>personas migrantes y residentes en el extranjero p</w:t>
      </w:r>
      <w:r w:rsidRPr="00F05BD0">
        <w:rPr>
          <w:rFonts w:cs="Arial"/>
          <w:lang w:val="es-ES"/>
        </w:rPr>
        <w:t xml:space="preserve">uedan </w:t>
      </w:r>
      <w:r w:rsidR="00201B61" w:rsidRPr="00F05BD0">
        <w:rPr>
          <w:rFonts w:cs="Arial"/>
          <w:lang w:val="es-ES"/>
        </w:rPr>
        <w:t xml:space="preserve">acreditar </w:t>
      </w:r>
      <w:r w:rsidRPr="00F05BD0">
        <w:rPr>
          <w:rFonts w:cs="Arial"/>
          <w:lang w:val="es-ES"/>
        </w:rPr>
        <w:t>su calidad de migrantes o residentes en el extranjero</w:t>
      </w:r>
      <w:r w:rsidR="00201B61" w:rsidRPr="00F05BD0">
        <w:rPr>
          <w:rFonts w:cs="Arial"/>
          <w:lang w:val="es-ES"/>
        </w:rPr>
        <w:t xml:space="preserve"> con cualquier otro medio de convicción permite mayor apertura para </w:t>
      </w:r>
      <w:r w:rsidRPr="00F05BD0">
        <w:rPr>
          <w:rFonts w:cs="Arial"/>
          <w:lang w:val="es-ES"/>
        </w:rPr>
        <w:t>que las</w:t>
      </w:r>
      <w:r w:rsidR="00201B61" w:rsidRPr="00F05BD0">
        <w:rPr>
          <w:rFonts w:cs="Arial"/>
          <w:lang w:val="es-ES"/>
        </w:rPr>
        <w:t xml:space="preserve"> personas </w:t>
      </w:r>
      <w:r w:rsidRPr="00F05BD0">
        <w:rPr>
          <w:rFonts w:cs="Arial"/>
          <w:lang w:val="es-ES"/>
        </w:rPr>
        <w:t xml:space="preserve">interesadas puedan acceder a </w:t>
      </w:r>
      <w:r w:rsidR="00201B61" w:rsidRPr="00F05BD0">
        <w:rPr>
          <w:rFonts w:cs="Arial"/>
          <w:lang w:val="es-ES"/>
        </w:rPr>
        <w:t>una candidatura reservada para ese grupo en situación de vulnerabilidad.</w:t>
      </w:r>
    </w:p>
    <w:p w14:paraId="057FF252" w14:textId="4C36EE08" w:rsidR="00201B61" w:rsidRPr="00F05BD0" w:rsidRDefault="00201B61" w:rsidP="00201B61">
      <w:pPr>
        <w:spacing w:before="240" w:after="240"/>
        <w:rPr>
          <w:rFonts w:cs="Arial"/>
          <w:lang w:val="es-ES"/>
        </w:rPr>
      </w:pPr>
      <w:r w:rsidRPr="00F05BD0">
        <w:rPr>
          <w:rFonts w:cs="Arial"/>
          <w:lang w:val="es-ES"/>
        </w:rPr>
        <w:t>En consecuencia, los partidos políticos postulantes podrán presentar cualquier documentación idónea o que consideren necesaria para acreditar la calidad</w:t>
      </w:r>
      <w:r w:rsidRPr="00F05BD0">
        <w:t xml:space="preserve"> de </w:t>
      </w:r>
      <w:r w:rsidRPr="00F05BD0">
        <w:rPr>
          <w:rFonts w:cs="Arial"/>
          <w:lang w:val="es-ES"/>
        </w:rPr>
        <w:t>migrante y residente en el extranjero</w:t>
      </w:r>
      <w:r w:rsidR="00E62F12" w:rsidRPr="00F05BD0">
        <w:rPr>
          <w:rFonts w:cs="Arial"/>
          <w:lang w:val="es-ES"/>
        </w:rPr>
        <w:t xml:space="preserve">, la cual deberá ser valorada por el INE. </w:t>
      </w:r>
    </w:p>
    <w:p w14:paraId="69CD4031" w14:textId="77777777" w:rsidR="00BD0C63" w:rsidRPr="00F05BD0" w:rsidRDefault="00BD0C63" w:rsidP="00BD0C63">
      <w:pPr>
        <w:pStyle w:val="Ttulo2"/>
        <w:spacing w:before="100" w:after="100"/>
        <w:rPr>
          <w:rFonts w:ascii="Arial" w:hAnsi="Arial" w:cs="Arial"/>
          <w:b/>
          <w:bCs/>
          <w:color w:val="000000" w:themeColor="text1"/>
          <w:sz w:val="24"/>
          <w:szCs w:val="24"/>
        </w:rPr>
      </w:pPr>
      <w:bookmarkStart w:id="31" w:name="_Toc67557936"/>
      <w:r w:rsidRPr="00F05BD0">
        <w:rPr>
          <w:rFonts w:ascii="Arial" w:hAnsi="Arial" w:cs="Arial"/>
          <w:b/>
          <w:bCs/>
          <w:color w:val="000000" w:themeColor="text1"/>
          <w:sz w:val="24"/>
          <w:szCs w:val="24"/>
        </w:rPr>
        <w:t>5. Efectos</w:t>
      </w:r>
      <w:bookmarkEnd w:id="31"/>
    </w:p>
    <w:p w14:paraId="02249216" w14:textId="65CED3BD" w:rsidR="00BD0C63" w:rsidRPr="00F05BD0" w:rsidRDefault="00BD0C63" w:rsidP="00BD0C63">
      <w:pPr>
        <w:spacing w:before="240" w:after="240"/>
        <w:rPr>
          <w:rFonts w:cs="Arial"/>
          <w:lang w:val="es-ES"/>
        </w:rPr>
      </w:pPr>
      <w:r w:rsidRPr="00F05BD0">
        <w:rPr>
          <w:rFonts w:cs="Arial"/>
          <w:lang w:val="es-ES"/>
        </w:rPr>
        <w:t>A partir de lo determinado por esta Sala Superior, lo procedente es modificar el acuerdo controvertido, para los efectos siguientes:</w:t>
      </w:r>
    </w:p>
    <w:p w14:paraId="0D9DA56C" w14:textId="2470E00A" w:rsidR="008A0BA6" w:rsidRPr="00F05BD0" w:rsidRDefault="00BD0C63" w:rsidP="00E342D6">
      <w:pPr>
        <w:spacing w:before="240" w:after="240"/>
        <w:rPr>
          <w:rFonts w:cs="Arial"/>
          <w:lang w:val="es-ES"/>
        </w:rPr>
      </w:pPr>
      <w:r w:rsidRPr="00F05BD0">
        <w:rPr>
          <w:rFonts w:cs="Arial"/>
          <w:b/>
          <w:bCs/>
          <w:lang w:val="es-ES"/>
        </w:rPr>
        <w:t>a.</w:t>
      </w:r>
      <w:r w:rsidRPr="00F05BD0">
        <w:rPr>
          <w:rFonts w:cs="Arial"/>
          <w:lang w:val="es-ES"/>
        </w:rPr>
        <w:t xml:space="preserve"> </w:t>
      </w:r>
      <w:r w:rsidR="00E62F12" w:rsidRPr="00F05BD0">
        <w:rPr>
          <w:rFonts w:cs="Arial"/>
          <w:lang w:val="es-ES"/>
        </w:rPr>
        <w:t>Solo los mexicanos residentes en el extranjero podrán ser postulados por los partidos políticos en los lugares para cumplir la acción afirmativa a favor de los migrantes</w:t>
      </w:r>
      <w:r w:rsidR="00294170" w:rsidRPr="00F05BD0">
        <w:rPr>
          <w:rFonts w:cs="Arial"/>
          <w:szCs w:val="24"/>
        </w:rPr>
        <w:t>.</w:t>
      </w:r>
      <w:r w:rsidR="00AE56EB" w:rsidRPr="00F05BD0">
        <w:rPr>
          <w:rFonts w:cs="Arial"/>
          <w:lang w:val="es-ES"/>
        </w:rPr>
        <w:t xml:space="preserve"> </w:t>
      </w:r>
    </w:p>
    <w:p w14:paraId="14C79D9E" w14:textId="1DB4D9EE" w:rsidR="00AD252F" w:rsidRPr="00F05BD0" w:rsidRDefault="008A0BA6" w:rsidP="002B3CAD">
      <w:pPr>
        <w:spacing w:before="240" w:after="240"/>
      </w:pPr>
      <w:r w:rsidRPr="00F05BD0">
        <w:rPr>
          <w:rFonts w:cs="Arial"/>
          <w:b/>
          <w:szCs w:val="24"/>
        </w:rPr>
        <w:t>b.</w:t>
      </w:r>
      <w:r w:rsidRPr="00F05BD0">
        <w:rPr>
          <w:rFonts w:cs="Arial"/>
          <w:bCs/>
          <w:szCs w:val="24"/>
        </w:rPr>
        <w:t xml:space="preserve"> La</w:t>
      </w:r>
      <w:r w:rsidR="00E342D6" w:rsidRPr="00F05BD0">
        <w:rPr>
          <w:rFonts w:cs="Arial"/>
          <w:bCs/>
          <w:szCs w:val="24"/>
        </w:rPr>
        <w:t xml:space="preserve"> calidad de migrante y residente en el extranjero </w:t>
      </w:r>
      <w:r w:rsidR="00D17955" w:rsidRPr="00F05BD0">
        <w:rPr>
          <w:rFonts w:cs="Arial"/>
          <w:bCs/>
          <w:szCs w:val="24"/>
        </w:rPr>
        <w:t>se</w:t>
      </w:r>
      <w:r w:rsidR="00E342D6" w:rsidRPr="00F05BD0">
        <w:rPr>
          <w:rFonts w:cs="Arial"/>
          <w:bCs/>
          <w:szCs w:val="24"/>
        </w:rPr>
        <w:t xml:space="preserve"> podrá acreditar</w:t>
      </w:r>
      <w:r w:rsidR="00A62A4B" w:rsidRPr="00F05BD0">
        <w:rPr>
          <w:rFonts w:cs="Arial"/>
          <w:bCs/>
          <w:szCs w:val="24"/>
        </w:rPr>
        <w:t>,</w:t>
      </w:r>
      <w:r w:rsidR="00E342D6" w:rsidRPr="00F05BD0">
        <w:rPr>
          <w:rFonts w:cs="Arial"/>
          <w:bCs/>
          <w:szCs w:val="24"/>
        </w:rPr>
        <w:t xml:space="preserve"> </w:t>
      </w:r>
      <w:r w:rsidR="00A62A4B" w:rsidRPr="00F05BD0">
        <w:rPr>
          <w:rFonts w:cs="Arial"/>
          <w:bCs/>
          <w:szCs w:val="24"/>
        </w:rPr>
        <w:t>además de los documentos señalados por el INE en el acuerdo controvertido, con cualquier otro elemento que genere convicción</w:t>
      </w:r>
      <w:r w:rsidR="00E62F12" w:rsidRPr="00F05BD0">
        <w:t xml:space="preserve">. </w:t>
      </w:r>
    </w:p>
    <w:p w14:paraId="41F3C44D" w14:textId="6308EF1E" w:rsidR="00201B61" w:rsidRPr="00F05BD0" w:rsidRDefault="00AD252F" w:rsidP="002B3CAD">
      <w:pPr>
        <w:spacing w:before="240" w:after="240"/>
        <w:rPr>
          <w:rFonts w:cs="Arial"/>
          <w:bCs/>
          <w:szCs w:val="24"/>
        </w:rPr>
      </w:pPr>
      <w:r w:rsidRPr="00F05BD0">
        <w:t xml:space="preserve">Lo anterior, queda a valoración en plenitud de atribuciones del </w:t>
      </w:r>
      <w:r w:rsidR="00E342D6" w:rsidRPr="00F05BD0">
        <w:rPr>
          <w:rFonts w:cs="Arial"/>
          <w:bCs/>
          <w:szCs w:val="24"/>
        </w:rPr>
        <w:t xml:space="preserve">INE. </w:t>
      </w:r>
    </w:p>
    <w:p w14:paraId="0049722B" w14:textId="53BDBC30" w:rsidR="00AD252F" w:rsidRDefault="00AD252F" w:rsidP="00AD252F">
      <w:pPr>
        <w:spacing w:before="240" w:after="240"/>
        <w:rPr>
          <w:rFonts w:cs="Arial"/>
          <w:bCs/>
          <w:szCs w:val="24"/>
        </w:rPr>
      </w:pPr>
      <w:r w:rsidRPr="00AD252F">
        <w:rPr>
          <w:rFonts w:cs="Arial"/>
          <w:lang w:val="es-ES"/>
        </w:rPr>
        <w:lastRenderedPageBreak/>
        <w:t xml:space="preserve">Por lo expuesto, al resultar </w:t>
      </w:r>
      <w:r w:rsidRPr="00AD252F">
        <w:rPr>
          <w:rFonts w:cs="Arial"/>
          <w:b/>
          <w:bCs/>
          <w:lang w:val="es-ES"/>
        </w:rPr>
        <w:t>fundados</w:t>
      </w:r>
      <w:r w:rsidRPr="00AD252F">
        <w:rPr>
          <w:rFonts w:cs="Arial"/>
          <w:lang w:val="es-ES"/>
        </w:rPr>
        <w:t xml:space="preserve"> los agravios de los actores, lo procedente es </w:t>
      </w:r>
      <w:r w:rsidRPr="00AD252F">
        <w:rPr>
          <w:rFonts w:cs="Arial"/>
          <w:b/>
          <w:bCs/>
          <w:lang w:val="es-ES"/>
        </w:rPr>
        <w:t>modificar</w:t>
      </w:r>
      <w:r w:rsidRPr="00AD252F">
        <w:rPr>
          <w:rFonts w:cs="Arial"/>
          <w:lang w:val="es-ES"/>
        </w:rPr>
        <w:t xml:space="preserve"> el acuerdo controvertido </w:t>
      </w:r>
      <w:r w:rsidR="002C5AD7">
        <w:rPr>
          <w:rFonts w:cs="Arial"/>
        </w:rPr>
        <w:t>conforme a lo indicado</w:t>
      </w:r>
      <w:r w:rsidRPr="00AD252F">
        <w:rPr>
          <w:rFonts w:cs="Arial"/>
          <w:bCs/>
          <w:szCs w:val="24"/>
        </w:rPr>
        <w:t>.</w:t>
      </w:r>
    </w:p>
    <w:p w14:paraId="35910165" w14:textId="77777777" w:rsidR="00C739AC" w:rsidRPr="005A40B7" w:rsidRDefault="00C739AC" w:rsidP="005A40B7">
      <w:pPr>
        <w:rPr>
          <w:rFonts w:cs="Arial"/>
          <w:bCs/>
          <w:szCs w:val="24"/>
        </w:rPr>
      </w:pPr>
      <w:r w:rsidRPr="005A40B7">
        <w:rPr>
          <w:rFonts w:cs="Arial"/>
          <w:bCs/>
          <w:szCs w:val="24"/>
        </w:rPr>
        <w:t xml:space="preserve">En consecuencia, por lo expuesto y fundado esta Sala Superior, </w:t>
      </w:r>
    </w:p>
    <w:p w14:paraId="7A26FB74" w14:textId="573E2F1E" w:rsidR="00C837BA" w:rsidRPr="00A12D46" w:rsidRDefault="00F07CAE" w:rsidP="005A40B7">
      <w:pPr>
        <w:tabs>
          <w:tab w:val="left" w:pos="8080"/>
        </w:tabs>
        <w:ind w:right="78"/>
        <w:jc w:val="center"/>
        <w:outlineLvl w:val="0"/>
        <w:rPr>
          <w:rFonts w:eastAsiaTheme="majorEastAsia" w:cs="Arial"/>
          <w:b/>
          <w:color w:val="000000" w:themeColor="text1"/>
          <w:szCs w:val="24"/>
          <w:bdr w:val="none" w:sz="0" w:space="0" w:color="auto" w:frame="1"/>
          <w:lang w:eastAsia="es-ES"/>
        </w:rPr>
      </w:pPr>
      <w:bookmarkStart w:id="32" w:name="_Toc67557937"/>
      <w:r w:rsidRPr="00A12D46">
        <w:rPr>
          <w:rFonts w:eastAsiaTheme="majorEastAsia" w:cs="Arial"/>
          <w:b/>
          <w:color w:val="000000" w:themeColor="text1"/>
          <w:szCs w:val="24"/>
          <w:bdr w:val="none" w:sz="0" w:space="0" w:color="auto" w:frame="1"/>
          <w:lang w:eastAsia="es-ES"/>
        </w:rPr>
        <w:t xml:space="preserve">VII. </w:t>
      </w:r>
      <w:r w:rsidR="00C837BA" w:rsidRPr="00A12D46">
        <w:rPr>
          <w:rFonts w:eastAsiaTheme="majorEastAsia" w:cs="Arial"/>
          <w:b/>
          <w:color w:val="000000" w:themeColor="text1"/>
          <w:szCs w:val="24"/>
          <w:bdr w:val="none" w:sz="0" w:space="0" w:color="auto" w:frame="1"/>
          <w:lang w:eastAsia="es-ES"/>
        </w:rPr>
        <w:t>RES</w:t>
      </w:r>
      <w:r w:rsidR="00A12D46" w:rsidRPr="00A12D46">
        <w:rPr>
          <w:rFonts w:eastAsiaTheme="majorEastAsia" w:cs="Arial"/>
          <w:b/>
          <w:color w:val="000000" w:themeColor="text1"/>
          <w:szCs w:val="24"/>
          <w:bdr w:val="none" w:sz="0" w:space="0" w:color="auto" w:frame="1"/>
          <w:lang w:eastAsia="es-ES"/>
        </w:rPr>
        <w:t>UELVE</w:t>
      </w:r>
      <w:bookmarkEnd w:id="32"/>
    </w:p>
    <w:p w14:paraId="6BC21856" w14:textId="77777777" w:rsidR="00C837BA" w:rsidRPr="0070535F" w:rsidRDefault="00C837BA" w:rsidP="005A40B7">
      <w:pPr>
        <w:pStyle w:val="Texto"/>
        <w:spacing w:before="100" w:beforeAutospacing="1" w:after="100" w:afterAutospacing="1" w:line="360" w:lineRule="auto"/>
        <w:ind w:firstLine="0"/>
        <w:rPr>
          <w:bCs/>
          <w:sz w:val="24"/>
          <w:szCs w:val="24"/>
          <w:lang w:val="es-MX"/>
        </w:rPr>
      </w:pPr>
      <w:r w:rsidRPr="0070535F">
        <w:rPr>
          <w:b/>
          <w:bCs/>
          <w:sz w:val="24"/>
          <w:szCs w:val="24"/>
          <w:lang w:val="es-MX"/>
        </w:rPr>
        <w:t xml:space="preserve">PRIMERO. </w:t>
      </w:r>
      <w:r w:rsidRPr="0070535F">
        <w:rPr>
          <w:bCs/>
          <w:sz w:val="24"/>
          <w:szCs w:val="24"/>
          <w:lang w:val="es-MX"/>
        </w:rPr>
        <w:t xml:space="preserve">Se </w:t>
      </w:r>
      <w:r w:rsidRPr="0070535F">
        <w:rPr>
          <w:b/>
          <w:bCs/>
          <w:sz w:val="24"/>
          <w:szCs w:val="24"/>
          <w:lang w:val="es-MX"/>
        </w:rPr>
        <w:t xml:space="preserve">acumulan </w:t>
      </w:r>
      <w:r w:rsidRPr="0070535F">
        <w:rPr>
          <w:bCs/>
          <w:sz w:val="24"/>
          <w:szCs w:val="24"/>
          <w:lang w:val="es-MX"/>
        </w:rPr>
        <w:t xml:space="preserve">los </w:t>
      </w:r>
      <w:r>
        <w:rPr>
          <w:bCs/>
          <w:sz w:val="24"/>
          <w:szCs w:val="24"/>
          <w:lang w:val="es-MX"/>
        </w:rPr>
        <w:t>juicios ciudadanos</w:t>
      </w:r>
      <w:r w:rsidRPr="0070535F">
        <w:rPr>
          <w:bCs/>
          <w:sz w:val="24"/>
          <w:szCs w:val="24"/>
          <w:lang w:val="es-MX"/>
        </w:rPr>
        <w:t xml:space="preserve"> </w:t>
      </w:r>
      <w:r w:rsidRPr="00F22405">
        <w:rPr>
          <w:bCs/>
          <w:sz w:val="24"/>
          <w:szCs w:val="24"/>
          <w:lang w:val="es-MX"/>
        </w:rPr>
        <w:t>en los términos precisados en esta ejecutoria.</w:t>
      </w:r>
    </w:p>
    <w:p w14:paraId="7936489A" w14:textId="3CD245E1" w:rsidR="00BB654C" w:rsidRPr="00BB654C" w:rsidRDefault="00BB654C" w:rsidP="00BB654C">
      <w:pPr>
        <w:rPr>
          <w:rFonts w:cs="Arial"/>
        </w:rPr>
      </w:pPr>
      <w:r w:rsidRPr="00BB654C">
        <w:rPr>
          <w:rFonts w:cs="Arial"/>
          <w:b/>
        </w:rPr>
        <w:t xml:space="preserve">SEGUNDO. </w:t>
      </w:r>
      <w:r w:rsidRPr="00BB654C">
        <w:rPr>
          <w:rFonts w:cs="Arial"/>
        </w:rPr>
        <w:t xml:space="preserve">Se </w:t>
      </w:r>
      <w:r w:rsidRPr="00BB654C">
        <w:rPr>
          <w:rFonts w:cs="Arial"/>
          <w:b/>
        </w:rPr>
        <w:t>modifica</w:t>
      </w:r>
      <w:r w:rsidRPr="00BB654C">
        <w:rPr>
          <w:rFonts w:cs="Arial"/>
        </w:rPr>
        <w:t xml:space="preserve"> el acuerdo impugnado en los términos precisados en esta ejecutoria.</w:t>
      </w:r>
    </w:p>
    <w:p w14:paraId="1405069C" w14:textId="16F1FC01" w:rsidR="00C837BA" w:rsidRPr="0070535F" w:rsidRDefault="00C837BA" w:rsidP="005A40B7">
      <w:pPr>
        <w:rPr>
          <w:rFonts w:cs="Arial"/>
          <w:bCs/>
        </w:rPr>
      </w:pPr>
      <w:r w:rsidRPr="0070535F">
        <w:rPr>
          <w:rFonts w:cs="Arial"/>
          <w:b/>
        </w:rPr>
        <w:t>NOTIFÍQUESE</w:t>
      </w:r>
      <w:r w:rsidRPr="0070535F">
        <w:rPr>
          <w:rFonts w:cs="Arial"/>
        </w:rPr>
        <w:t xml:space="preserve"> conforme a Derecho.</w:t>
      </w:r>
    </w:p>
    <w:p w14:paraId="1FDB5D46" w14:textId="7F54EC96" w:rsidR="00C837BA" w:rsidRDefault="00C837BA" w:rsidP="005A40B7">
      <w:pPr>
        <w:rPr>
          <w:rFonts w:cs="Arial"/>
          <w:bCs/>
        </w:rPr>
      </w:pPr>
      <w:r w:rsidRPr="0070535F">
        <w:rPr>
          <w:rFonts w:cs="Arial"/>
          <w:bCs/>
        </w:rPr>
        <w:t>En su oportunidad, devuélvanse los documentos atinentes y archívese el expediente como asunto total y definitivamente concluido.</w:t>
      </w:r>
    </w:p>
    <w:p w14:paraId="75FFD9BC" w14:textId="55217366" w:rsidR="00F05BD0" w:rsidRDefault="00F05BD0" w:rsidP="00F05BD0">
      <w:pPr>
        <w:rPr>
          <w:rFonts w:cs="Arial"/>
          <w:szCs w:val="24"/>
        </w:rPr>
      </w:pPr>
      <w:r w:rsidRPr="00273820">
        <w:rPr>
          <w:rFonts w:cs="Arial"/>
          <w:szCs w:val="24"/>
        </w:rPr>
        <w:t xml:space="preserve">Así lo resolvieron, por </w:t>
      </w:r>
      <w:r>
        <w:rPr>
          <w:rFonts w:cs="Arial"/>
          <w:b/>
          <w:szCs w:val="24"/>
        </w:rPr>
        <w:t xml:space="preserve">unanimidad </w:t>
      </w:r>
      <w:r w:rsidRPr="00273820">
        <w:rPr>
          <w:rFonts w:cs="Arial"/>
          <w:szCs w:val="24"/>
        </w:rPr>
        <w:t xml:space="preserve">de votos, las Magistradas y los Magistrados </w:t>
      </w:r>
      <w:r w:rsidRPr="00273820">
        <w:rPr>
          <w:rFonts w:eastAsia="Times New Roman" w:cs="Arial"/>
          <w:szCs w:val="24"/>
          <w:lang w:eastAsia="es-MX"/>
        </w:rPr>
        <w:t xml:space="preserve">que integran </w:t>
      </w:r>
      <w:r w:rsidRPr="00273820">
        <w:rPr>
          <w:rFonts w:cs="Arial"/>
          <w:szCs w:val="24"/>
        </w:rPr>
        <w:t>la Sala Superior del Tribunal Electoral del Poder Judicial de la Federación. El</w:t>
      </w:r>
      <w:r w:rsidRPr="00273820">
        <w:rPr>
          <w:rFonts w:cs="Arial"/>
          <w:color w:val="000000"/>
          <w:szCs w:val="24"/>
        </w:rPr>
        <w:t xml:space="preserve"> Secretario General de Acuerdos</w:t>
      </w:r>
      <w:r w:rsidRPr="000E5899">
        <w:rPr>
          <w:rFonts w:cs="Arial"/>
          <w:szCs w:val="24"/>
        </w:rPr>
        <w:t xml:space="preserve"> </w:t>
      </w:r>
      <w:r w:rsidRPr="00203891">
        <w:rPr>
          <w:rFonts w:cs="Arial"/>
          <w:bCs/>
          <w:color w:val="000000" w:themeColor="text1"/>
          <w:szCs w:val="24"/>
        </w:rPr>
        <w:t>autoriza y da fe que la presente sentencia se firma de manera electrónica.</w:t>
      </w:r>
    </w:p>
    <w:p w14:paraId="7350EBFE" w14:textId="77777777" w:rsidR="00F05BD0" w:rsidRPr="00F05432" w:rsidRDefault="00F05BD0" w:rsidP="00F05BD0">
      <w:pPr>
        <w:spacing w:after="0" w:line="240" w:lineRule="auto"/>
        <w:rPr>
          <w:rFonts w:cs="Arial"/>
          <w:color w:val="000000" w:themeColor="text1"/>
          <w:sz w:val="20"/>
          <w:szCs w:val="20"/>
        </w:rPr>
      </w:pPr>
      <w:r w:rsidRPr="00F05432">
        <w:rPr>
          <w:rFonts w:cs="Arial"/>
          <w:color w:val="000000" w:themeColor="text1"/>
          <w:sz w:val="20"/>
          <w:szCs w:val="20"/>
        </w:rPr>
        <w:t>Este documento es una representación gráfica autorizada mediante firma electrónica certificada,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3E8F58AA" w14:textId="4487B679" w:rsidR="00595412" w:rsidRPr="00A86EED" w:rsidRDefault="00595412" w:rsidP="00B60721">
      <w:pPr>
        <w:tabs>
          <w:tab w:val="left" w:pos="284"/>
        </w:tabs>
        <w:spacing w:line="240" w:lineRule="auto"/>
        <w:rPr>
          <w:rFonts w:cs="Arial"/>
          <w:szCs w:val="24"/>
        </w:rPr>
      </w:pPr>
    </w:p>
    <w:sectPr w:rsidR="00595412" w:rsidRPr="00A86EED" w:rsidSect="00F05BD0">
      <w:footnotePr>
        <w:numRestart w:val="eachSect"/>
      </w:footnotePr>
      <w:type w:val="oddPage"/>
      <w:pgSz w:w="12242" w:h="18722" w:code="1"/>
      <w:pgMar w:top="3119" w:right="1701" w:bottom="1418" w:left="2835" w:header="1559" w:footer="12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4916A" w14:textId="77777777" w:rsidR="00404D52" w:rsidRDefault="00404D52" w:rsidP="00A86EED">
      <w:pPr>
        <w:spacing w:before="0" w:after="0" w:line="240" w:lineRule="auto"/>
      </w:pPr>
      <w:r>
        <w:separator/>
      </w:r>
    </w:p>
  </w:endnote>
  <w:endnote w:type="continuationSeparator" w:id="0">
    <w:p w14:paraId="35E3B282" w14:textId="77777777" w:rsidR="00404D52" w:rsidRDefault="00404D52" w:rsidP="00A86E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232935"/>
      <w:docPartObj>
        <w:docPartGallery w:val="Page Numbers (Bottom of Page)"/>
        <w:docPartUnique/>
      </w:docPartObj>
    </w:sdtPr>
    <w:sdtEndPr/>
    <w:sdtContent>
      <w:p w14:paraId="002E27CF" w14:textId="77777777" w:rsidR="004949D8" w:rsidRDefault="004949D8">
        <w:pPr>
          <w:pStyle w:val="Piedepgina"/>
          <w:jc w:val="center"/>
        </w:pPr>
        <w:r>
          <w:fldChar w:fldCharType="begin"/>
        </w:r>
        <w:r>
          <w:instrText>PAGE   \* MERGEFORMAT</w:instrText>
        </w:r>
        <w:r>
          <w:fldChar w:fldCharType="separate"/>
        </w:r>
        <w:r w:rsidR="004214D8" w:rsidRPr="004214D8">
          <w:rPr>
            <w:noProof/>
            <w:lang w:val="es-ES"/>
          </w:rPr>
          <w:t>18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6041"/>
      <w:docPartObj>
        <w:docPartGallery w:val="Page Numbers (Bottom of Page)"/>
        <w:docPartUnique/>
      </w:docPartObj>
    </w:sdtPr>
    <w:sdtEndPr/>
    <w:sdtContent>
      <w:p w14:paraId="491521DD" w14:textId="77777777" w:rsidR="004949D8" w:rsidRDefault="004949D8">
        <w:pPr>
          <w:pStyle w:val="Piedepgina"/>
          <w:jc w:val="center"/>
        </w:pPr>
        <w:r>
          <w:fldChar w:fldCharType="begin"/>
        </w:r>
        <w:r>
          <w:instrText>PAGE   \* MERGEFORMAT</w:instrText>
        </w:r>
        <w:r>
          <w:fldChar w:fldCharType="separate"/>
        </w:r>
        <w:r w:rsidR="004214D8" w:rsidRPr="004214D8">
          <w:rPr>
            <w:noProof/>
            <w:lang w:val="es-ES"/>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4F06B" w14:textId="77777777" w:rsidR="00404D52" w:rsidRDefault="00404D52" w:rsidP="00A86EED">
      <w:pPr>
        <w:spacing w:before="0" w:after="0" w:line="240" w:lineRule="auto"/>
      </w:pPr>
      <w:r>
        <w:separator/>
      </w:r>
    </w:p>
  </w:footnote>
  <w:footnote w:type="continuationSeparator" w:id="0">
    <w:p w14:paraId="6675C3DF" w14:textId="77777777" w:rsidR="00404D52" w:rsidRDefault="00404D52" w:rsidP="00A86EED">
      <w:pPr>
        <w:spacing w:before="0" w:after="0" w:line="240" w:lineRule="auto"/>
      </w:pPr>
      <w:r>
        <w:continuationSeparator/>
      </w:r>
    </w:p>
  </w:footnote>
  <w:footnote w:id="1">
    <w:p w14:paraId="2C2164ED" w14:textId="78279107" w:rsidR="009310D8" w:rsidRPr="00BD6DEE" w:rsidRDefault="009310D8" w:rsidP="009310D8">
      <w:pPr>
        <w:pStyle w:val="Textonotapie"/>
        <w:spacing w:before="0" w:beforeAutospacing="0" w:afterAutospacing="0"/>
        <w:rPr>
          <w:rFonts w:cs="Arial"/>
          <w:sz w:val="18"/>
          <w:szCs w:val="18"/>
        </w:rPr>
      </w:pPr>
      <w:r w:rsidRPr="00BD6DEE">
        <w:rPr>
          <w:rStyle w:val="Refdenotaalpie"/>
          <w:rFonts w:cs="Arial"/>
          <w:sz w:val="18"/>
          <w:szCs w:val="18"/>
        </w:rPr>
        <w:footnoteRef/>
      </w:r>
      <w:r w:rsidRPr="00BD6DEE">
        <w:rPr>
          <w:rFonts w:cs="Arial"/>
          <w:sz w:val="18"/>
          <w:szCs w:val="18"/>
        </w:rPr>
        <w:t xml:space="preserve"> </w:t>
      </w:r>
      <w:r w:rsidRPr="00BD6DEE">
        <w:rPr>
          <w:rFonts w:cs="Arial"/>
          <w:b/>
          <w:bCs/>
          <w:sz w:val="18"/>
          <w:szCs w:val="18"/>
        </w:rPr>
        <w:t>Secretario</w:t>
      </w:r>
      <w:r w:rsidR="00410AC9" w:rsidRPr="00BD6DEE">
        <w:rPr>
          <w:rFonts w:cs="Arial"/>
          <w:b/>
          <w:bCs/>
          <w:sz w:val="18"/>
          <w:szCs w:val="18"/>
        </w:rPr>
        <w:t xml:space="preserve"> Instructor</w:t>
      </w:r>
      <w:r w:rsidRPr="00BD6DEE">
        <w:rPr>
          <w:rFonts w:cs="Arial"/>
          <w:sz w:val="18"/>
          <w:szCs w:val="18"/>
        </w:rPr>
        <w:t>: Fernando Ramírez Barrios,</w:t>
      </w:r>
      <w:r w:rsidR="00410AC9" w:rsidRPr="00BD6DEE">
        <w:rPr>
          <w:rFonts w:cs="Arial"/>
          <w:sz w:val="18"/>
          <w:szCs w:val="18"/>
        </w:rPr>
        <w:t xml:space="preserve"> </w:t>
      </w:r>
      <w:r w:rsidR="00410AC9" w:rsidRPr="00BD6DEE">
        <w:rPr>
          <w:rFonts w:cs="Arial"/>
          <w:b/>
          <w:bCs/>
          <w:sz w:val="18"/>
          <w:szCs w:val="18"/>
        </w:rPr>
        <w:t>Secretariado</w:t>
      </w:r>
      <w:r w:rsidR="00410AC9" w:rsidRPr="00BD6DEE">
        <w:rPr>
          <w:rFonts w:cs="Arial"/>
          <w:sz w:val="18"/>
          <w:szCs w:val="18"/>
        </w:rPr>
        <w:t>:</w:t>
      </w:r>
      <w:r w:rsidRPr="00BD6DEE">
        <w:rPr>
          <w:rFonts w:cs="Arial"/>
          <w:sz w:val="18"/>
          <w:szCs w:val="18"/>
        </w:rPr>
        <w:t xml:space="preserve"> </w:t>
      </w:r>
      <w:r w:rsidR="009373E3">
        <w:rPr>
          <w:rFonts w:cs="Arial"/>
          <w:sz w:val="18"/>
          <w:szCs w:val="18"/>
        </w:rPr>
        <w:t>Ana Cecilia López Dávila</w:t>
      </w:r>
      <w:r w:rsidR="0041566D">
        <w:rPr>
          <w:rFonts w:cs="Arial"/>
          <w:sz w:val="18"/>
          <w:szCs w:val="18"/>
        </w:rPr>
        <w:t>,</w:t>
      </w:r>
      <w:r w:rsidR="009373E3">
        <w:rPr>
          <w:rFonts w:cs="Arial"/>
          <w:sz w:val="18"/>
          <w:szCs w:val="18"/>
        </w:rPr>
        <w:t xml:space="preserve"> </w:t>
      </w:r>
      <w:r w:rsidRPr="00BD6DEE">
        <w:rPr>
          <w:rFonts w:cs="Arial"/>
          <w:sz w:val="18"/>
          <w:szCs w:val="18"/>
        </w:rPr>
        <w:t>Cruz Lucero Mart</w:t>
      </w:r>
      <w:r w:rsidR="00410AC9" w:rsidRPr="00BD6DEE">
        <w:rPr>
          <w:rFonts w:cs="Arial"/>
          <w:sz w:val="18"/>
          <w:szCs w:val="18"/>
        </w:rPr>
        <w:t>í</w:t>
      </w:r>
      <w:r w:rsidRPr="00BD6DEE">
        <w:rPr>
          <w:rFonts w:cs="Arial"/>
          <w:sz w:val="18"/>
          <w:szCs w:val="18"/>
        </w:rPr>
        <w:t>nez Peña</w:t>
      </w:r>
      <w:r w:rsidR="009373E3">
        <w:rPr>
          <w:rFonts w:cs="Arial"/>
          <w:sz w:val="18"/>
          <w:szCs w:val="18"/>
        </w:rPr>
        <w:t xml:space="preserve"> e</w:t>
      </w:r>
      <w:r w:rsidR="00BD6DEE" w:rsidRPr="00BD6DEE">
        <w:rPr>
          <w:rFonts w:cs="Arial"/>
          <w:sz w:val="18"/>
          <w:szCs w:val="18"/>
        </w:rPr>
        <w:t xml:space="preserve"> </w:t>
      </w:r>
      <w:r w:rsidRPr="00BD6DEE">
        <w:rPr>
          <w:rFonts w:cs="Arial"/>
          <w:sz w:val="18"/>
          <w:szCs w:val="18"/>
        </w:rPr>
        <w:t xml:space="preserve">Isaías </w:t>
      </w:r>
      <w:r w:rsidR="00410AC9" w:rsidRPr="00BD6DEE">
        <w:rPr>
          <w:rFonts w:cs="Arial"/>
          <w:sz w:val="18"/>
          <w:szCs w:val="18"/>
        </w:rPr>
        <w:t xml:space="preserve">Trejo </w:t>
      </w:r>
      <w:r w:rsidRPr="00BD6DEE">
        <w:rPr>
          <w:rFonts w:cs="Arial"/>
          <w:sz w:val="18"/>
          <w:szCs w:val="18"/>
        </w:rPr>
        <w:t>Sánchez</w:t>
      </w:r>
      <w:r w:rsidR="00BD6DEE" w:rsidRPr="00BD6DEE">
        <w:rPr>
          <w:rFonts w:cs="Arial"/>
          <w:sz w:val="18"/>
          <w:szCs w:val="18"/>
        </w:rPr>
        <w:t xml:space="preserve">. </w:t>
      </w:r>
      <w:r w:rsidR="00BD6DEE" w:rsidRPr="00BD6DEE">
        <w:rPr>
          <w:rFonts w:cs="Arial"/>
          <w:b/>
          <w:sz w:val="18"/>
          <w:szCs w:val="18"/>
        </w:rPr>
        <w:t>Auxiliares:</w:t>
      </w:r>
      <w:r w:rsidR="00BD6DEE" w:rsidRPr="00BD6DEE">
        <w:rPr>
          <w:rFonts w:cs="Arial"/>
          <w:sz w:val="18"/>
          <w:szCs w:val="18"/>
        </w:rPr>
        <w:t xml:space="preserve"> </w:t>
      </w:r>
      <w:r w:rsidR="009373E3">
        <w:rPr>
          <w:rFonts w:cs="Arial"/>
          <w:sz w:val="18"/>
          <w:szCs w:val="18"/>
        </w:rPr>
        <w:t xml:space="preserve">Alberto Deaquino Reyes, </w:t>
      </w:r>
      <w:r w:rsidR="009E68C5" w:rsidRPr="00BD6DEE">
        <w:rPr>
          <w:rFonts w:cs="Arial"/>
          <w:sz w:val="18"/>
          <w:szCs w:val="18"/>
        </w:rPr>
        <w:t>Pablo Roberto Sharpe Calzada</w:t>
      </w:r>
      <w:r w:rsidR="009373E3">
        <w:rPr>
          <w:rFonts w:cs="Arial"/>
          <w:sz w:val="18"/>
          <w:szCs w:val="18"/>
        </w:rPr>
        <w:t xml:space="preserve"> y</w:t>
      </w:r>
      <w:r w:rsidR="009373E3" w:rsidRPr="009373E3">
        <w:rPr>
          <w:rFonts w:cs="Arial"/>
          <w:sz w:val="18"/>
          <w:szCs w:val="18"/>
        </w:rPr>
        <w:t xml:space="preserve"> </w:t>
      </w:r>
      <w:r w:rsidR="009373E3" w:rsidRPr="00BD6DEE">
        <w:rPr>
          <w:rFonts w:cs="Arial"/>
          <w:sz w:val="18"/>
          <w:szCs w:val="18"/>
        </w:rPr>
        <w:t>Germ</w:t>
      </w:r>
      <w:r w:rsidR="00903140">
        <w:rPr>
          <w:rFonts w:cs="Arial"/>
          <w:sz w:val="18"/>
          <w:szCs w:val="18"/>
        </w:rPr>
        <w:t>a</w:t>
      </w:r>
      <w:r w:rsidR="009373E3" w:rsidRPr="00BD6DEE">
        <w:rPr>
          <w:rFonts w:cs="Arial"/>
          <w:sz w:val="18"/>
          <w:szCs w:val="18"/>
        </w:rPr>
        <w:t>n Vásquez Pacheco</w:t>
      </w:r>
      <w:r w:rsidR="00903140">
        <w:rPr>
          <w:rFonts w:cs="Arial"/>
          <w:sz w:val="18"/>
          <w:szCs w:val="18"/>
        </w:rPr>
        <w:t>.</w:t>
      </w:r>
    </w:p>
  </w:footnote>
  <w:footnote w:id="2">
    <w:p w14:paraId="1829B037" w14:textId="77777777" w:rsidR="009310D8" w:rsidRPr="00BD6DEE" w:rsidRDefault="009310D8" w:rsidP="004822D4">
      <w:pPr>
        <w:pStyle w:val="Textonotapie"/>
        <w:spacing w:before="0" w:beforeAutospacing="0" w:afterAutospacing="0"/>
        <w:rPr>
          <w:sz w:val="18"/>
          <w:szCs w:val="18"/>
        </w:rPr>
      </w:pPr>
      <w:r w:rsidRPr="00BD6DEE">
        <w:rPr>
          <w:rStyle w:val="Refdenotaalpie"/>
          <w:sz w:val="18"/>
          <w:szCs w:val="18"/>
        </w:rPr>
        <w:footnoteRef/>
      </w:r>
      <w:r w:rsidRPr="00BD6DEE">
        <w:rPr>
          <w:sz w:val="18"/>
          <w:szCs w:val="18"/>
        </w:rPr>
        <w:t xml:space="preserve"> SUP-RAP-21/2021 y acumulados.</w:t>
      </w:r>
    </w:p>
  </w:footnote>
  <w:footnote w:id="3">
    <w:p w14:paraId="1259F8D6" w14:textId="77777777" w:rsidR="009310D8" w:rsidRPr="00BD6DEE" w:rsidRDefault="009310D8" w:rsidP="004822D4">
      <w:pPr>
        <w:pStyle w:val="Textonotapie"/>
        <w:spacing w:before="0" w:beforeAutospacing="0" w:afterAutospacing="0"/>
        <w:rPr>
          <w:sz w:val="18"/>
          <w:szCs w:val="18"/>
        </w:rPr>
      </w:pPr>
      <w:r w:rsidRPr="00BD6DEE">
        <w:rPr>
          <w:rStyle w:val="Refdenotaalpie"/>
          <w:sz w:val="18"/>
          <w:szCs w:val="18"/>
        </w:rPr>
        <w:footnoteRef/>
      </w:r>
      <w:r w:rsidRPr="00BD6DEE">
        <w:rPr>
          <w:sz w:val="18"/>
          <w:szCs w:val="18"/>
        </w:rPr>
        <w:t xml:space="preserve"> Todas las fechas corresponden al año dos mil veintiuno, salvo mención expresa en contrario.</w:t>
      </w:r>
    </w:p>
  </w:footnote>
  <w:footnote w:id="4">
    <w:p w14:paraId="20ABEED4" w14:textId="49EBF350" w:rsidR="009310D8" w:rsidRPr="00BD6DEE" w:rsidRDefault="009310D8" w:rsidP="004822D4">
      <w:pPr>
        <w:pStyle w:val="Textonotapie"/>
        <w:spacing w:before="0" w:beforeAutospacing="0" w:afterAutospacing="0"/>
        <w:rPr>
          <w:rFonts w:cs="Arial"/>
          <w:sz w:val="18"/>
          <w:szCs w:val="18"/>
        </w:rPr>
      </w:pPr>
      <w:r w:rsidRPr="00BD6DEE">
        <w:rPr>
          <w:rStyle w:val="Refdenotaalpie"/>
          <w:rFonts w:cs="Arial"/>
          <w:sz w:val="18"/>
          <w:szCs w:val="18"/>
        </w:rPr>
        <w:footnoteRef/>
      </w:r>
      <w:r w:rsidRPr="00BD6DEE">
        <w:rPr>
          <w:rFonts w:cs="Arial"/>
          <w:sz w:val="18"/>
          <w:szCs w:val="18"/>
        </w:rPr>
        <w:t xml:space="preserve"> A través del cual se especificaron los distritos donde se deben postular candidaturas indígenas</w:t>
      </w:r>
      <w:r w:rsidR="004822D4">
        <w:rPr>
          <w:rFonts w:cs="Arial"/>
          <w:sz w:val="18"/>
          <w:szCs w:val="18"/>
        </w:rPr>
        <w:t xml:space="preserve"> </w:t>
      </w:r>
      <w:r w:rsidRPr="00BD6DEE">
        <w:rPr>
          <w:rFonts w:cs="Arial"/>
          <w:sz w:val="18"/>
          <w:szCs w:val="18"/>
        </w:rPr>
        <w:t>y se definieron acciones afirmativas para el proceso electoral federal 2020-2021.</w:t>
      </w:r>
    </w:p>
  </w:footnote>
  <w:footnote w:id="5">
    <w:p w14:paraId="7EF6009F" w14:textId="77777777" w:rsidR="009310D8" w:rsidRPr="00BD6DEE" w:rsidRDefault="009310D8" w:rsidP="004822D4">
      <w:pPr>
        <w:pStyle w:val="Textonotapie"/>
        <w:spacing w:before="0" w:beforeAutospacing="0" w:afterAutospacing="0"/>
        <w:rPr>
          <w:sz w:val="18"/>
          <w:szCs w:val="18"/>
        </w:rPr>
      </w:pPr>
      <w:r w:rsidRPr="00BD6DEE">
        <w:rPr>
          <w:rStyle w:val="Refdenotaalpie"/>
          <w:sz w:val="18"/>
          <w:szCs w:val="18"/>
        </w:rPr>
        <w:footnoteRef/>
      </w:r>
      <w:r w:rsidRPr="00BD6DEE">
        <w:rPr>
          <w:sz w:val="18"/>
          <w:szCs w:val="18"/>
        </w:rPr>
        <w:t xml:space="preserve"> </w:t>
      </w:r>
      <w:bookmarkStart w:id="8" w:name="_Hlk67296881"/>
      <w:r w:rsidRPr="00BD6DEE">
        <w:rPr>
          <w:rFonts w:cs="Arial"/>
          <w:sz w:val="18"/>
          <w:szCs w:val="18"/>
        </w:rPr>
        <w:t xml:space="preserve">INE/CG160/2021. </w:t>
      </w:r>
      <w:bookmarkEnd w:id="8"/>
    </w:p>
  </w:footnote>
  <w:footnote w:id="6">
    <w:p w14:paraId="3E82CA26" w14:textId="77777777" w:rsidR="009310D8" w:rsidRPr="00BD6DEE" w:rsidRDefault="009310D8" w:rsidP="004822D4">
      <w:pPr>
        <w:pStyle w:val="Textonotapie"/>
        <w:spacing w:before="0" w:beforeAutospacing="0" w:afterAutospacing="0"/>
        <w:rPr>
          <w:sz w:val="18"/>
          <w:szCs w:val="18"/>
        </w:rPr>
      </w:pPr>
      <w:r w:rsidRPr="00BD6DEE">
        <w:rPr>
          <w:rStyle w:val="Refdenotaalpie"/>
          <w:sz w:val="18"/>
          <w:szCs w:val="18"/>
        </w:rPr>
        <w:footnoteRef/>
      </w:r>
      <w:r w:rsidRPr="00BD6DEE">
        <w:rPr>
          <w:sz w:val="18"/>
          <w:szCs w:val="18"/>
        </w:rPr>
        <w:t xml:space="preserve"> Consultable: </w:t>
      </w:r>
      <w:hyperlink r:id="rId1" w:history="1">
        <w:r w:rsidRPr="00BD6DEE">
          <w:rPr>
            <w:rStyle w:val="Hipervnculo"/>
            <w:sz w:val="18"/>
            <w:szCs w:val="18"/>
            <w:u w:val="none"/>
          </w:rPr>
          <w:t>https://www.dof.gob.mx/nota_detalle.php?codigo=5613613&amp;fecha=16/03/2021</w:t>
        </w:r>
      </w:hyperlink>
    </w:p>
  </w:footnote>
  <w:footnote w:id="7">
    <w:p w14:paraId="3A91ED58" w14:textId="77777777" w:rsidR="009310D8" w:rsidRPr="00BD6DEE" w:rsidRDefault="009310D8" w:rsidP="004822D4">
      <w:pPr>
        <w:pStyle w:val="Textonotapie"/>
        <w:spacing w:before="0" w:beforeAutospacing="0" w:afterAutospacing="0"/>
        <w:rPr>
          <w:sz w:val="18"/>
          <w:szCs w:val="18"/>
        </w:rPr>
      </w:pPr>
      <w:r w:rsidRPr="00BD6DEE">
        <w:rPr>
          <w:rStyle w:val="Refdenotaalpie"/>
          <w:sz w:val="18"/>
          <w:szCs w:val="18"/>
        </w:rPr>
        <w:footnoteRef/>
      </w:r>
      <w:r w:rsidRPr="00BD6DEE">
        <w:rPr>
          <w:sz w:val="18"/>
          <w:szCs w:val="18"/>
        </w:rPr>
        <w:t xml:space="preserve"> Véase anexo I.</w:t>
      </w:r>
    </w:p>
  </w:footnote>
  <w:footnote w:id="8">
    <w:p w14:paraId="0B4B2522" w14:textId="67EC3957" w:rsidR="009310D8" w:rsidRPr="00BD6DEE" w:rsidRDefault="009310D8" w:rsidP="009310D8">
      <w:pPr>
        <w:pStyle w:val="Textonotapie"/>
        <w:spacing w:before="0" w:beforeAutospacing="0" w:afterAutospacing="0"/>
        <w:rPr>
          <w:sz w:val="18"/>
          <w:szCs w:val="18"/>
        </w:rPr>
      </w:pPr>
      <w:r w:rsidRPr="00BD6DEE">
        <w:rPr>
          <w:rStyle w:val="Refdenotaalpie"/>
          <w:sz w:val="18"/>
          <w:szCs w:val="18"/>
        </w:rPr>
        <w:footnoteRef/>
      </w:r>
      <w:r w:rsidRPr="00BD6DEE">
        <w:rPr>
          <w:sz w:val="18"/>
          <w:szCs w:val="18"/>
        </w:rPr>
        <w:t xml:space="preserve"> Artículos 41, párrafo </w:t>
      </w:r>
      <w:r w:rsidR="00AC75C4" w:rsidRPr="00BD6DEE">
        <w:rPr>
          <w:sz w:val="18"/>
          <w:szCs w:val="18"/>
        </w:rPr>
        <w:t>tercero</w:t>
      </w:r>
      <w:r w:rsidRPr="00BD6DEE">
        <w:rPr>
          <w:sz w:val="18"/>
          <w:szCs w:val="18"/>
        </w:rPr>
        <w:t xml:space="preserve">, base VI, y 99, párrafo cuarto, fracción V, de la Constitución; 186, fracción III, inciso c), y 189, fracción I, inciso e), de la Ley Orgánica; así como 79, párrafo 1, </w:t>
      </w:r>
      <w:r w:rsidR="004822D4">
        <w:rPr>
          <w:sz w:val="18"/>
          <w:szCs w:val="18"/>
        </w:rPr>
        <w:t xml:space="preserve">80, párrafo 1, </w:t>
      </w:r>
      <w:r w:rsidRPr="00BD6DEE">
        <w:rPr>
          <w:sz w:val="18"/>
          <w:szCs w:val="18"/>
        </w:rPr>
        <w:t>inciso f), y 83, párrafo 1, inciso a), de la Ley de Medios.</w:t>
      </w:r>
    </w:p>
  </w:footnote>
  <w:footnote w:id="9">
    <w:p w14:paraId="5CDC4CDC" w14:textId="77777777" w:rsidR="009310D8" w:rsidRPr="00BD6DEE" w:rsidRDefault="009310D8" w:rsidP="009310D8">
      <w:pPr>
        <w:pStyle w:val="Textonotapie"/>
        <w:spacing w:before="0" w:beforeAutospacing="0" w:afterAutospacing="0"/>
        <w:contextualSpacing/>
        <w:mirrorIndents/>
        <w:rPr>
          <w:rFonts w:cs="Arial"/>
          <w:color w:val="000000" w:themeColor="text1"/>
          <w:kern w:val="17"/>
          <w:sz w:val="18"/>
          <w:szCs w:val="18"/>
          <w14:cntxtAlts/>
        </w:rPr>
      </w:pPr>
      <w:r w:rsidRPr="00BD6DEE">
        <w:rPr>
          <w:rStyle w:val="Refdenotaalpie"/>
          <w:rFonts w:cs="Arial"/>
          <w:color w:val="000000" w:themeColor="text1"/>
          <w:kern w:val="17"/>
          <w:sz w:val="18"/>
          <w:szCs w:val="18"/>
          <w14:cntxtAlts/>
        </w:rPr>
        <w:footnoteRef/>
      </w:r>
      <w:r w:rsidRPr="00BD6DEE">
        <w:rPr>
          <w:rFonts w:cs="Arial"/>
          <w:color w:val="000000" w:themeColor="text1"/>
          <w:kern w:val="17"/>
          <w:sz w:val="18"/>
          <w:szCs w:val="18"/>
          <w14:cntxtAlts/>
        </w:rPr>
        <w:t xml:space="preserve"> Acuerdo 8/2020 publicado en el Diario Oficial de la Federación, el 13 de octubre de 2020.</w:t>
      </w:r>
    </w:p>
  </w:footnote>
  <w:footnote w:id="10">
    <w:p w14:paraId="0A7D8704" w14:textId="77777777" w:rsidR="009310D8" w:rsidRPr="00BD6DEE" w:rsidRDefault="009310D8" w:rsidP="009310D8">
      <w:pPr>
        <w:pStyle w:val="TEXTOLIBRE"/>
        <w:spacing w:before="0" w:after="0" w:line="240" w:lineRule="auto"/>
        <w:ind w:firstLine="0"/>
        <w:rPr>
          <w:rFonts w:ascii="Arial" w:hAnsi="Arial" w:cs="Arial"/>
          <w:sz w:val="18"/>
          <w:szCs w:val="18"/>
        </w:rPr>
      </w:pPr>
      <w:r w:rsidRPr="00BD6DEE">
        <w:rPr>
          <w:rStyle w:val="Refdenotaalpie"/>
          <w:rFonts w:ascii="Arial" w:hAnsi="Arial" w:cs="Arial"/>
          <w:sz w:val="18"/>
          <w:szCs w:val="18"/>
        </w:rPr>
        <w:footnoteRef/>
      </w:r>
      <w:r w:rsidRPr="00BD6DEE">
        <w:rPr>
          <w:rFonts w:ascii="Arial" w:hAnsi="Arial" w:cs="Arial"/>
          <w:sz w:val="18"/>
          <w:szCs w:val="18"/>
        </w:rPr>
        <w:t xml:space="preserve"> Acorde con los artículos 7 párrafo 1; 8 párrafo 1; 9 párrafo 1; 13, 45; 109 y 110 párrafo 1, de la Ley de Medios.</w:t>
      </w:r>
    </w:p>
  </w:footnote>
  <w:footnote w:id="11">
    <w:p w14:paraId="0CB157EF" w14:textId="77777777" w:rsidR="009310D8" w:rsidRPr="00BD6DEE" w:rsidRDefault="009310D8" w:rsidP="009310D8">
      <w:pPr>
        <w:pStyle w:val="Textonotapie"/>
        <w:spacing w:before="0" w:beforeAutospacing="0" w:afterAutospacing="0"/>
        <w:rPr>
          <w:rFonts w:cs="Arial"/>
          <w:sz w:val="18"/>
          <w:szCs w:val="18"/>
        </w:rPr>
      </w:pPr>
      <w:r w:rsidRPr="00BD6DEE">
        <w:rPr>
          <w:rStyle w:val="Refdenotaalpie"/>
          <w:rFonts w:cs="Arial"/>
          <w:sz w:val="18"/>
          <w:szCs w:val="18"/>
        </w:rPr>
        <w:footnoteRef/>
      </w:r>
      <w:r w:rsidRPr="00BD6DEE">
        <w:rPr>
          <w:rFonts w:cs="Arial"/>
          <w:sz w:val="18"/>
          <w:szCs w:val="18"/>
        </w:rPr>
        <w:t xml:space="preserve"> Artículo 9, párrafo 1, de la Ley de Medios.</w:t>
      </w:r>
    </w:p>
  </w:footnote>
  <w:footnote w:id="12">
    <w:p w14:paraId="0A871723" w14:textId="77777777" w:rsidR="009310D8" w:rsidRPr="00BD6DEE" w:rsidRDefault="009310D8" w:rsidP="009310D8">
      <w:pPr>
        <w:pStyle w:val="Textonotapie"/>
        <w:spacing w:before="0" w:beforeAutospacing="0" w:afterAutospacing="0"/>
        <w:rPr>
          <w:rFonts w:cs="Arial"/>
          <w:sz w:val="18"/>
          <w:szCs w:val="18"/>
        </w:rPr>
      </w:pPr>
      <w:r w:rsidRPr="00BD6DEE">
        <w:rPr>
          <w:rStyle w:val="Refdenotaalpie"/>
          <w:rFonts w:cs="Arial"/>
          <w:sz w:val="18"/>
          <w:szCs w:val="18"/>
        </w:rPr>
        <w:footnoteRef/>
      </w:r>
      <w:r w:rsidRPr="00BD6DEE">
        <w:rPr>
          <w:rFonts w:cs="Arial"/>
          <w:sz w:val="18"/>
          <w:szCs w:val="18"/>
        </w:rPr>
        <w:t xml:space="preserve"> Artículos 7, 8, 30, numeral 2, de la Ley de Medios.</w:t>
      </w:r>
    </w:p>
  </w:footnote>
  <w:footnote w:id="13">
    <w:p w14:paraId="7B8F4CBD" w14:textId="77777777" w:rsidR="009310D8" w:rsidRPr="00BD6DEE" w:rsidRDefault="009310D8" w:rsidP="009310D8">
      <w:pPr>
        <w:pStyle w:val="Textonotapie"/>
        <w:spacing w:before="0" w:beforeAutospacing="0" w:afterAutospacing="0"/>
        <w:rPr>
          <w:rFonts w:cs="Arial"/>
          <w:sz w:val="18"/>
          <w:szCs w:val="18"/>
        </w:rPr>
      </w:pPr>
      <w:r w:rsidRPr="00BD6DEE">
        <w:rPr>
          <w:rStyle w:val="Refdenotaalpie"/>
          <w:rFonts w:cs="Arial"/>
          <w:sz w:val="18"/>
          <w:szCs w:val="18"/>
        </w:rPr>
        <w:footnoteRef/>
      </w:r>
      <w:r w:rsidRPr="00BD6DEE">
        <w:rPr>
          <w:rFonts w:cs="Arial"/>
          <w:sz w:val="18"/>
          <w:szCs w:val="18"/>
        </w:rPr>
        <w:t xml:space="preserve"> De acuerdo con la Jurisprudencia 9/2015, de rubro: </w:t>
      </w:r>
      <w:r w:rsidRPr="00BD6DEE">
        <w:rPr>
          <w:rFonts w:cs="Arial"/>
          <w:b/>
          <w:sz w:val="18"/>
          <w:szCs w:val="18"/>
        </w:rPr>
        <w:t>“INTERÉS LEGÍTIMO PARA IMPUGNAR LA VIOLACIÓN A PRINCIPIOS CONSTITUCIONALES. LO TIENEN QUIENES PERTENECEN AL GRUPO EN DESVENTAJA A FAVOR DEL CUAL SE ESTABLECEN”.</w:t>
      </w:r>
    </w:p>
  </w:footnote>
  <w:footnote w:id="14">
    <w:p w14:paraId="459FD1D5" w14:textId="47B0A94B" w:rsidR="005C71A3" w:rsidRPr="00BD6DEE" w:rsidRDefault="005C71A3" w:rsidP="00901F19">
      <w:pPr>
        <w:pStyle w:val="Textonotapie"/>
        <w:spacing w:before="0" w:beforeAutospacing="0" w:afterAutospacing="0"/>
        <w:rPr>
          <w:sz w:val="18"/>
          <w:szCs w:val="18"/>
        </w:rPr>
      </w:pPr>
      <w:r w:rsidRPr="00BD6DEE">
        <w:rPr>
          <w:rStyle w:val="Refdenotaalpie"/>
          <w:sz w:val="18"/>
          <w:szCs w:val="18"/>
        </w:rPr>
        <w:footnoteRef/>
      </w:r>
      <w:r w:rsidRPr="00BD6DEE">
        <w:rPr>
          <w:sz w:val="18"/>
          <w:szCs w:val="18"/>
        </w:rPr>
        <w:t xml:space="preserve"> En las que conste que el lugar de nacimiento de la candidatura se ubica en alguna de las entidades comprendidas en la circunscripción que participa.  </w:t>
      </w:r>
    </w:p>
  </w:footnote>
  <w:footnote w:id="15">
    <w:p w14:paraId="0BA13815" w14:textId="77777777" w:rsidR="0041566D" w:rsidRPr="0041566D" w:rsidRDefault="00394890" w:rsidP="0041566D">
      <w:pPr>
        <w:pStyle w:val="Textonotapie"/>
        <w:spacing w:before="0" w:beforeAutospacing="0" w:afterAutospacing="0"/>
        <w:rPr>
          <w:sz w:val="18"/>
          <w:szCs w:val="18"/>
        </w:rPr>
      </w:pPr>
      <w:r w:rsidRPr="00BD6DEE">
        <w:rPr>
          <w:rStyle w:val="Refdenotaalpie"/>
          <w:sz w:val="18"/>
          <w:szCs w:val="18"/>
        </w:rPr>
        <w:footnoteRef/>
      </w:r>
      <w:r w:rsidRPr="00BD6DEE">
        <w:rPr>
          <w:sz w:val="18"/>
          <w:szCs w:val="18"/>
        </w:rPr>
        <w:t xml:space="preserve"> La responsable señaló que </w:t>
      </w:r>
      <w:r w:rsidR="00963280" w:rsidRPr="00BD6DEE">
        <w:rPr>
          <w:sz w:val="18"/>
          <w:szCs w:val="18"/>
        </w:rPr>
        <w:t xml:space="preserve">ello era de conformidad con </w:t>
      </w:r>
      <w:r w:rsidR="008706F0" w:rsidRPr="00BD6DEE">
        <w:rPr>
          <w:sz w:val="18"/>
          <w:szCs w:val="18"/>
        </w:rPr>
        <w:t xml:space="preserve">la información visible en el portal del Instituto de los Mexicanos en el Exterior de la Secretaría de Relaciones Exteriores, consultable en la siguiente liga electrónica </w:t>
      </w:r>
    </w:p>
    <w:p w14:paraId="261841CE" w14:textId="77777777" w:rsidR="0041566D" w:rsidRPr="0041566D" w:rsidRDefault="0041566D" w:rsidP="0041566D">
      <w:pPr>
        <w:pStyle w:val="Textonotapie"/>
        <w:spacing w:before="0" w:beforeAutospacing="0" w:afterAutospacing="0"/>
        <w:rPr>
          <w:sz w:val="18"/>
          <w:szCs w:val="18"/>
        </w:rPr>
      </w:pPr>
      <w:r w:rsidRPr="0041566D">
        <w:rPr>
          <w:sz w:val="18"/>
          <w:szCs w:val="18"/>
        </w:rPr>
        <w:t> </w:t>
      </w:r>
      <w:hyperlink r:id="rId2" w:anchor=":~:text=El%20Instituto%20de%20los%20Mexicanos,los%20Estados%20Unidos%20de%20Am%C3%A9rica." w:history="1">
        <w:r w:rsidRPr="0041566D">
          <w:rPr>
            <w:rStyle w:val="Hipervnculo"/>
            <w:sz w:val="18"/>
            <w:szCs w:val="18"/>
          </w:rPr>
          <w:t>https://www.gob.mx/sre/articulos/sabes-cuantos-mexicanos-viven-en-el-extranjero#:~:text=El%20Instituto%20de%20los%20Mexicanos,los%20Estados%20Unidos%20de%20Am%C3%A9rica.</w:t>
        </w:r>
      </w:hyperlink>
    </w:p>
    <w:p w14:paraId="40AF1956" w14:textId="20F3B45A" w:rsidR="00394890" w:rsidRPr="00BD6DEE" w:rsidRDefault="00394890" w:rsidP="00901F19">
      <w:pPr>
        <w:pStyle w:val="Textonotapie"/>
        <w:spacing w:before="0" w:beforeAutospacing="0" w:afterAutospacing="0"/>
        <w:rPr>
          <w:sz w:val="18"/>
          <w:szCs w:val="18"/>
        </w:rPr>
      </w:pPr>
    </w:p>
  </w:footnote>
  <w:footnote w:id="16">
    <w:p w14:paraId="76A63CDD" w14:textId="77777777" w:rsidR="00D826EB" w:rsidRPr="00F52EAD" w:rsidRDefault="00D826EB" w:rsidP="00105202">
      <w:pPr>
        <w:pStyle w:val="Textonotapie"/>
        <w:spacing w:before="0" w:beforeAutospacing="0" w:afterAutospacing="0"/>
        <w:rPr>
          <w:rFonts w:cs="Arial"/>
          <w:sz w:val="18"/>
          <w:szCs w:val="18"/>
        </w:rPr>
      </w:pPr>
      <w:r w:rsidRPr="00F52EAD">
        <w:rPr>
          <w:rStyle w:val="Refdenotaalpie"/>
          <w:rFonts w:cs="Arial"/>
          <w:sz w:val="18"/>
          <w:szCs w:val="18"/>
        </w:rPr>
        <w:footnoteRef/>
      </w:r>
      <w:r w:rsidRPr="00F52EAD">
        <w:rPr>
          <w:rFonts w:cs="Arial"/>
          <w:sz w:val="18"/>
          <w:szCs w:val="18"/>
        </w:rPr>
        <w:t xml:space="preserve"> Jurisprudencia 30/2014, de rubro: </w:t>
      </w:r>
      <w:r w:rsidRPr="0041566D">
        <w:rPr>
          <w:rFonts w:cs="Arial"/>
          <w:b/>
          <w:sz w:val="18"/>
          <w:szCs w:val="18"/>
        </w:rPr>
        <w:t>ACCIONES AFIRMATIVAS. NATURALEZA, CARACTERÍSTICAS Y OBJETIVO DE SU IMPLEMENTACIÓN.</w:t>
      </w:r>
    </w:p>
  </w:footnote>
  <w:footnote w:id="17">
    <w:p w14:paraId="6279DE92" w14:textId="77777777" w:rsidR="00D826EB" w:rsidRPr="00F52EAD" w:rsidRDefault="00D826EB" w:rsidP="00105202">
      <w:pPr>
        <w:pStyle w:val="Textonotapie"/>
        <w:spacing w:before="0" w:beforeAutospacing="0" w:afterAutospacing="0"/>
        <w:rPr>
          <w:rFonts w:cs="Arial"/>
          <w:sz w:val="18"/>
          <w:szCs w:val="18"/>
        </w:rPr>
      </w:pPr>
      <w:r w:rsidRPr="00F52EAD">
        <w:rPr>
          <w:rStyle w:val="Refdenotaalpie"/>
          <w:rFonts w:cs="Arial"/>
          <w:sz w:val="18"/>
          <w:szCs w:val="18"/>
        </w:rPr>
        <w:footnoteRef/>
      </w:r>
      <w:r w:rsidRPr="00F52EAD">
        <w:rPr>
          <w:rFonts w:cs="Arial"/>
          <w:sz w:val="18"/>
          <w:szCs w:val="18"/>
        </w:rPr>
        <w:t xml:space="preserve"> Tesis XXIV/2018 de rubro: </w:t>
      </w:r>
      <w:r w:rsidRPr="0041566D">
        <w:rPr>
          <w:rFonts w:cs="Arial"/>
          <w:b/>
          <w:sz w:val="18"/>
          <w:szCs w:val="18"/>
        </w:rPr>
        <w:t>ACCIONES AFIRMATIVAS INDÍGENAS. A TRAVÉS DE UN TRATO DIFERENCIADO JUSTIFICADO ASEGURAN QUE LA POBLACIÓN INDÍGENA ACCEDA A CARGOS DE ELECCIÓN POPULAR.</w:t>
      </w:r>
    </w:p>
  </w:footnote>
  <w:footnote w:id="18">
    <w:p w14:paraId="187FEBEA" w14:textId="77777777" w:rsidR="00201B61" w:rsidRPr="00BD6DEE" w:rsidRDefault="00201B61" w:rsidP="00201B61">
      <w:pPr>
        <w:pStyle w:val="Textonotapie"/>
        <w:spacing w:before="0" w:beforeAutospacing="0" w:afterAutospacing="0"/>
        <w:rPr>
          <w:sz w:val="18"/>
          <w:szCs w:val="18"/>
        </w:rPr>
      </w:pPr>
      <w:r w:rsidRPr="00BD6DEE">
        <w:rPr>
          <w:rStyle w:val="Refdenotaalpie"/>
          <w:sz w:val="18"/>
          <w:szCs w:val="18"/>
        </w:rPr>
        <w:footnoteRef/>
      </w:r>
      <w:r w:rsidRPr="00BD6DEE">
        <w:rPr>
          <w:sz w:val="18"/>
          <w:szCs w:val="18"/>
        </w:rPr>
        <w:t xml:space="preserve"> En las que conste que el lugar de nacimiento de la candidatura se ubica en alguna de las entidades comprendidas en la circunscripción que participa.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C81C" w14:textId="198EFD6C" w:rsidR="00225C74" w:rsidRPr="00815C38" w:rsidRDefault="00DB66C6">
    <w:pPr>
      <w:pStyle w:val="Encabezado"/>
      <w:rPr>
        <w:b/>
        <w:bCs/>
      </w:rPr>
    </w:pPr>
    <w:r w:rsidRPr="00815C38">
      <w:rPr>
        <w:b/>
        <w:bCs/>
      </w:rPr>
      <w:t>SUP-</w:t>
    </w:r>
    <w:r w:rsidR="00253819">
      <w:rPr>
        <w:b/>
        <w:bCs/>
      </w:rPr>
      <w:t>JDC</w:t>
    </w:r>
    <w:r w:rsidRPr="00815C38">
      <w:rPr>
        <w:b/>
        <w:bCs/>
      </w:rPr>
      <w:t>-</w:t>
    </w:r>
    <w:r w:rsidR="00253819">
      <w:rPr>
        <w:b/>
        <w:bCs/>
      </w:rPr>
      <w:t>346</w:t>
    </w:r>
    <w:r w:rsidRPr="00815C38">
      <w:rPr>
        <w:b/>
        <w:bCs/>
      </w:rPr>
      <w:t>/202</w:t>
    </w:r>
    <w:r w:rsidR="00253819">
      <w:rPr>
        <w:b/>
        <w:bCs/>
      </w:rPr>
      <w:t>1 Y ACUMULADOS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4749" w14:textId="0FE2CBC2" w:rsidR="00225C74" w:rsidRDefault="00F05BD0" w:rsidP="00815C38">
    <w:pPr>
      <w:pStyle w:val="Encabezado"/>
      <w:jc w:val="right"/>
    </w:pPr>
    <w:r>
      <w:rPr>
        <w:noProof/>
        <w:lang w:eastAsia="es-MX"/>
      </w:rPr>
      <w:drawing>
        <wp:anchor distT="0" distB="0" distL="114300" distR="114300" simplePos="0" relativeHeight="251661312" behindDoc="0" locked="0" layoutInCell="1" allowOverlap="1" wp14:anchorId="0AAF9477" wp14:editId="3639C761">
          <wp:simplePos x="0" y="0"/>
          <wp:positionH relativeFrom="leftMargin">
            <wp:posOffset>381000</wp:posOffset>
          </wp:positionH>
          <wp:positionV relativeFrom="paragraph">
            <wp:posOffset>-619760</wp:posOffset>
          </wp:positionV>
          <wp:extent cx="1377950" cy="1192530"/>
          <wp:effectExtent l="0" t="0" r="0" b="7620"/>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C38" w:rsidRPr="00815C38">
      <w:rPr>
        <w:b/>
        <w:bCs/>
      </w:rPr>
      <w:t>SUP</w:t>
    </w:r>
    <w:r w:rsidR="00E06EB3" w:rsidRPr="00815C38">
      <w:rPr>
        <w:b/>
        <w:bCs/>
      </w:rPr>
      <w:t>-</w:t>
    </w:r>
    <w:r w:rsidR="00E06EB3">
      <w:rPr>
        <w:b/>
        <w:bCs/>
      </w:rPr>
      <w:t>JDC</w:t>
    </w:r>
    <w:r w:rsidR="00E06EB3" w:rsidRPr="00815C38">
      <w:rPr>
        <w:b/>
        <w:bCs/>
      </w:rPr>
      <w:t>-</w:t>
    </w:r>
    <w:r w:rsidR="00E06EB3">
      <w:rPr>
        <w:b/>
        <w:bCs/>
      </w:rPr>
      <w:t>346</w:t>
    </w:r>
    <w:r w:rsidR="00E06EB3" w:rsidRPr="00815C38">
      <w:rPr>
        <w:b/>
        <w:bCs/>
      </w:rPr>
      <w:t>/202</w:t>
    </w:r>
    <w:r w:rsidR="00E06EB3">
      <w:rPr>
        <w:b/>
        <w:bCs/>
      </w:rPr>
      <w:t>1 Y ACUMULADOS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11B81" w14:textId="76ABC438" w:rsidR="00F05BD0" w:rsidRDefault="00F05BD0">
    <w:pPr>
      <w:pStyle w:val="Encabezado"/>
    </w:pPr>
    <w:r>
      <w:rPr>
        <w:noProof/>
        <w:lang w:eastAsia="es-MX"/>
      </w:rPr>
      <w:drawing>
        <wp:anchor distT="0" distB="0" distL="114300" distR="114300" simplePos="0" relativeHeight="251659264" behindDoc="0" locked="0" layoutInCell="1" allowOverlap="1" wp14:anchorId="3693A210" wp14:editId="2516088F">
          <wp:simplePos x="0" y="0"/>
          <wp:positionH relativeFrom="leftMargin">
            <wp:posOffset>361950</wp:posOffset>
          </wp:positionH>
          <wp:positionV relativeFrom="paragraph">
            <wp:posOffset>-562610</wp:posOffset>
          </wp:positionV>
          <wp:extent cx="1377950" cy="1192530"/>
          <wp:effectExtent l="0" t="0" r="0" b="762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D3AD4"/>
    <w:multiLevelType w:val="hybridMultilevel"/>
    <w:tmpl w:val="C08C46A0"/>
    <w:lvl w:ilvl="0" w:tplc="B90CB1E2">
      <w:start w:val="1"/>
      <w:numFmt w:val="lowerLetter"/>
      <w:lvlText w:val="%1)"/>
      <w:lvlJc w:val="left"/>
      <w:pPr>
        <w:ind w:left="720" w:hanging="360"/>
      </w:pPr>
      <w:rPr>
        <w:rFonts w:hint="default"/>
        <w:b w:val="0"/>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E695AFC"/>
    <w:multiLevelType w:val="hybridMultilevel"/>
    <w:tmpl w:val="6AAEE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E4322C0"/>
    <w:multiLevelType w:val="hybridMultilevel"/>
    <w:tmpl w:val="CB1EB8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95"/>
    <w:rsid w:val="00002A27"/>
    <w:rsid w:val="00010CF1"/>
    <w:rsid w:val="00011F34"/>
    <w:rsid w:val="00033D3F"/>
    <w:rsid w:val="00036F0A"/>
    <w:rsid w:val="000465A1"/>
    <w:rsid w:val="0005040A"/>
    <w:rsid w:val="00051614"/>
    <w:rsid w:val="0005511C"/>
    <w:rsid w:val="000571EF"/>
    <w:rsid w:val="00061715"/>
    <w:rsid w:val="000853AD"/>
    <w:rsid w:val="000916D7"/>
    <w:rsid w:val="000A6FF4"/>
    <w:rsid w:val="000B1DB4"/>
    <w:rsid w:val="000B7E53"/>
    <w:rsid w:val="000E3664"/>
    <w:rsid w:val="000F0895"/>
    <w:rsid w:val="000F1A38"/>
    <w:rsid w:val="000F1C04"/>
    <w:rsid w:val="000F2D1E"/>
    <w:rsid w:val="00101B07"/>
    <w:rsid w:val="00102257"/>
    <w:rsid w:val="00105202"/>
    <w:rsid w:val="00123CC9"/>
    <w:rsid w:val="001328DE"/>
    <w:rsid w:val="0013542D"/>
    <w:rsid w:val="00145668"/>
    <w:rsid w:val="001504EB"/>
    <w:rsid w:val="001508D1"/>
    <w:rsid w:val="0015238F"/>
    <w:rsid w:val="00152777"/>
    <w:rsid w:val="00156CA1"/>
    <w:rsid w:val="00161DBD"/>
    <w:rsid w:val="001721DD"/>
    <w:rsid w:val="001773F1"/>
    <w:rsid w:val="0018262A"/>
    <w:rsid w:val="00195ADB"/>
    <w:rsid w:val="001B229E"/>
    <w:rsid w:val="001C1C3B"/>
    <w:rsid w:val="001C4E31"/>
    <w:rsid w:val="001C54C6"/>
    <w:rsid w:val="001D3D23"/>
    <w:rsid w:val="001D47A1"/>
    <w:rsid w:val="001E3DF8"/>
    <w:rsid w:val="001F2AEC"/>
    <w:rsid w:val="001F3324"/>
    <w:rsid w:val="001F7C82"/>
    <w:rsid w:val="0020094D"/>
    <w:rsid w:val="00201B61"/>
    <w:rsid w:val="00202A01"/>
    <w:rsid w:val="002041CA"/>
    <w:rsid w:val="0020421B"/>
    <w:rsid w:val="0021347C"/>
    <w:rsid w:val="002155CB"/>
    <w:rsid w:val="00216B09"/>
    <w:rsid w:val="00222D70"/>
    <w:rsid w:val="00225C74"/>
    <w:rsid w:val="0023241F"/>
    <w:rsid w:val="00235D87"/>
    <w:rsid w:val="00241192"/>
    <w:rsid w:val="00251CCF"/>
    <w:rsid w:val="00253819"/>
    <w:rsid w:val="002570E4"/>
    <w:rsid w:val="00277F1E"/>
    <w:rsid w:val="0028142A"/>
    <w:rsid w:val="00282158"/>
    <w:rsid w:val="00293D0E"/>
    <w:rsid w:val="00294170"/>
    <w:rsid w:val="0029615C"/>
    <w:rsid w:val="002A1C93"/>
    <w:rsid w:val="002A5D4D"/>
    <w:rsid w:val="002B3CAD"/>
    <w:rsid w:val="002B5DEB"/>
    <w:rsid w:val="002B63FF"/>
    <w:rsid w:val="002B75C7"/>
    <w:rsid w:val="002C5AD7"/>
    <w:rsid w:val="002C5CBF"/>
    <w:rsid w:val="002D1B47"/>
    <w:rsid w:val="002D2AB2"/>
    <w:rsid w:val="002D40F3"/>
    <w:rsid w:val="002E274D"/>
    <w:rsid w:val="002E6231"/>
    <w:rsid w:val="002F3E48"/>
    <w:rsid w:val="002F434C"/>
    <w:rsid w:val="002F4ED5"/>
    <w:rsid w:val="002F59D4"/>
    <w:rsid w:val="00305B6F"/>
    <w:rsid w:val="003063F8"/>
    <w:rsid w:val="00311540"/>
    <w:rsid w:val="0036265F"/>
    <w:rsid w:val="00366F1D"/>
    <w:rsid w:val="00367904"/>
    <w:rsid w:val="003719D6"/>
    <w:rsid w:val="003756F5"/>
    <w:rsid w:val="003810FA"/>
    <w:rsid w:val="00382AFC"/>
    <w:rsid w:val="00384F0D"/>
    <w:rsid w:val="00391586"/>
    <w:rsid w:val="00394890"/>
    <w:rsid w:val="003959B8"/>
    <w:rsid w:val="003963B3"/>
    <w:rsid w:val="0039666B"/>
    <w:rsid w:val="003A2E0D"/>
    <w:rsid w:val="003A59B7"/>
    <w:rsid w:val="003B5042"/>
    <w:rsid w:val="003C3CB1"/>
    <w:rsid w:val="003D0CF0"/>
    <w:rsid w:val="003E0B9A"/>
    <w:rsid w:val="003E1174"/>
    <w:rsid w:val="003F57EE"/>
    <w:rsid w:val="00404D52"/>
    <w:rsid w:val="00404EC4"/>
    <w:rsid w:val="00406CA0"/>
    <w:rsid w:val="00410AC9"/>
    <w:rsid w:val="00414C4B"/>
    <w:rsid w:val="0041566D"/>
    <w:rsid w:val="004213B6"/>
    <w:rsid w:val="004214D8"/>
    <w:rsid w:val="004214FA"/>
    <w:rsid w:val="004253C0"/>
    <w:rsid w:val="00433542"/>
    <w:rsid w:val="00443F24"/>
    <w:rsid w:val="004452A8"/>
    <w:rsid w:val="00445A7A"/>
    <w:rsid w:val="0045175E"/>
    <w:rsid w:val="00456FAB"/>
    <w:rsid w:val="004600D6"/>
    <w:rsid w:val="004637F7"/>
    <w:rsid w:val="004804F9"/>
    <w:rsid w:val="004822D4"/>
    <w:rsid w:val="00482B07"/>
    <w:rsid w:val="004949D8"/>
    <w:rsid w:val="004960E2"/>
    <w:rsid w:val="004A7DA2"/>
    <w:rsid w:val="004B0B51"/>
    <w:rsid w:val="004D5567"/>
    <w:rsid w:val="004E2D30"/>
    <w:rsid w:val="004E56B3"/>
    <w:rsid w:val="004E767C"/>
    <w:rsid w:val="004F2445"/>
    <w:rsid w:val="004F3A6B"/>
    <w:rsid w:val="004F6012"/>
    <w:rsid w:val="00504CD4"/>
    <w:rsid w:val="0051716B"/>
    <w:rsid w:val="00517C40"/>
    <w:rsid w:val="00521704"/>
    <w:rsid w:val="00534A7F"/>
    <w:rsid w:val="0055460D"/>
    <w:rsid w:val="0056494F"/>
    <w:rsid w:val="0057305F"/>
    <w:rsid w:val="00581475"/>
    <w:rsid w:val="00592634"/>
    <w:rsid w:val="00592CF7"/>
    <w:rsid w:val="005946AF"/>
    <w:rsid w:val="00595412"/>
    <w:rsid w:val="005A13BE"/>
    <w:rsid w:val="005A1DF5"/>
    <w:rsid w:val="005A24F1"/>
    <w:rsid w:val="005A3DA9"/>
    <w:rsid w:val="005A40B7"/>
    <w:rsid w:val="005B06A5"/>
    <w:rsid w:val="005B6F18"/>
    <w:rsid w:val="005B7136"/>
    <w:rsid w:val="005C55C7"/>
    <w:rsid w:val="005C71A3"/>
    <w:rsid w:val="005C7333"/>
    <w:rsid w:val="005E2B8D"/>
    <w:rsid w:val="005E5CE2"/>
    <w:rsid w:val="005E67F2"/>
    <w:rsid w:val="00614E04"/>
    <w:rsid w:val="00621C16"/>
    <w:rsid w:val="00625BE0"/>
    <w:rsid w:val="00630403"/>
    <w:rsid w:val="00637326"/>
    <w:rsid w:val="00637C83"/>
    <w:rsid w:val="00637D96"/>
    <w:rsid w:val="00651F11"/>
    <w:rsid w:val="00662AB1"/>
    <w:rsid w:val="006747FB"/>
    <w:rsid w:val="006844D7"/>
    <w:rsid w:val="006857D2"/>
    <w:rsid w:val="006936C4"/>
    <w:rsid w:val="00696331"/>
    <w:rsid w:val="006A0070"/>
    <w:rsid w:val="006A7371"/>
    <w:rsid w:val="006A74FB"/>
    <w:rsid w:val="006B30AD"/>
    <w:rsid w:val="006C6992"/>
    <w:rsid w:val="006D494C"/>
    <w:rsid w:val="006E3228"/>
    <w:rsid w:val="006F0791"/>
    <w:rsid w:val="006F1909"/>
    <w:rsid w:val="006F5034"/>
    <w:rsid w:val="00703ECC"/>
    <w:rsid w:val="00725796"/>
    <w:rsid w:val="00725AE2"/>
    <w:rsid w:val="007309D4"/>
    <w:rsid w:val="00733E45"/>
    <w:rsid w:val="00741201"/>
    <w:rsid w:val="00741E7E"/>
    <w:rsid w:val="007521C9"/>
    <w:rsid w:val="00752F4F"/>
    <w:rsid w:val="00761B1C"/>
    <w:rsid w:val="007669B6"/>
    <w:rsid w:val="0077227B"/>
    <w:rsid w:val="00783BF7"/>
    <w:rsid w:val="00785382"/>
    <w:rsid w:val="00785C79"/>
    <w:rsid w:val="007869AC"/>
    <w:rsid w:val="00792AA7"/>
    <w:rsid w:val="00793270"/>
    <w:rsid w:val="00794007"/>
    <w:rsid w:val="00796DAA"/>
    <w:rsid w:val="007A5662"/>
    <w:rsid w:val="007B4D0A"/>
    <w:rsid w:val="007C625F"/>
    <w:rsid w:val="007C776F"/>
    <w:rsid w:val="007D13D3"/>
    <w:rsid w:val="007D250A"/>
    <w:rsid w:val="007D3353"/>
    <w:rsid w:val="007D35CC"/>
    <w:rsid w:val="007D3DC9"/>
    <w:rsid w:val="007F0247"/>
    <w:rsid w:val="007F1FAE"/>
    <w:rsid w:val="007F35CF"/>
    <w:rsid w:val="007F65DA"/>
    <w:rsid w:val="007F7881"/>
    <w:rsid w:val="00811FE0"/>
    <w:rsid w:val="00815C38"/>
    <w:rsid w:val="008167A0"/>
    <w:rsid w:val="00816940"/>
    <w:rsid w:val="00824631"/>
    <w:rsid w:val="00832042"/>
    <w:rsid w:val="008434BE"/>
    <w:rsid w:val="0085171B"/>
    <w:rsid w:val="0085498E"/>
    <w:rsid w:val="008550E4"/>
    <w:rsid w:val="0085516B"/>
    <w:rsid w:val="00857528"/>
    <w:rsid w:val="0086343F"/>
    <w:rsid w:val="00867013"/>
    <w:rsid w:val="008706F0"/>
    <w:rsid w:val="008721B1"/>
    <w:rsid w:val="00872E9F"/>
    <w:rsid w:val="00883DB3"/>
    <w:rsid w:val="00886E34"/>
    <w:rsid w:val="0089123E"/>
    <w:rsid w:val="008A0BA6"/>
    <w:rsid w:val="008B2292"/>
    <w:rsid w:val="008C7BBF"/>
    <w:rsid w:val="008D36A6"/>
    <w:rsid w:val="008D4856"/>
    <w:rsid w:val="008D6A37"/>
    <w:rsid w:val="008E441E"/>
    <w:rsid w:val="008E4D84"/>
    <w:rsid w:val="008F229B"/>
    <w:rsid w:val="008F3906"/>
    <w:rsid w:val="00901F19"/>
    <w:rsid w:val="00903140"/>
    <w:rsid w:val="00913EA0"/>
    <w:rsid w:val="009148E0"/>
    <w:rsid w:val="00914E31"/>
    <w:rsid w:val="00921B85"/>
    <w:rsid w:val="009310D8"/>
    <w:rsid w:val="009373E3"/>
    <w:rsid w:val="009376BF"/>
    <w:rsid w:val="00937794"/>
    <w:rsid w:val="009405E5"/>
    <w:rsid w:val="00963280"/>
    <w:rsid w:val="00966433"/>
    <w:rsid w:val="00967189"/>
    <w:rsid w:val="00972A09"/>
    <w:rsid w:val="00975FEB"/>
    <w:rsid w:val="00976A8C"/>
    <w:rsid w:val="00981180"/>
    <w:rsid w:val="009863B6"/>
    <w:rsid w:val="00986C27"/>
    <w:rsid w:val="00986E09"/>
    <w:rsid w:val="00992CFB"/>
    <w:rsid w:val="0099401C"/>
    <w:rsid w:val="009943AC"/>
    <w:rsid w:val="009A0AF3"/>
    <w:rsid w:val="009C033B"/>
    <w:rsid w:val="009D5732"/>
    <w:rsid w:val="009E68C5"/>
    <w:rsid w:val="009E6F2B"/>
    <w:rsid w:val="009F19D6"/>
    <w:rsid w:val="009F6C77"/>
    <w:rsid w:val="00A00F84"/>
    <w:rsid w:val="00A0421E"/>
    <w:rsid w:val="00A12D46"/>
    <w:rsid w:val="00A226E5"/>
    <w:rsid w:val="00A23A70"/>
    <w:rsid w:val="00A403F4"/>
    <w:rsid w:val="00A443EC"/>
    <w:rsid w:val="00A503BA"/>
    <w:rsid w:val="00A56526"/>
    <w:rsid w:val="00A62A4B"/>
    <w:rsid w:val="00A72574"/>
    <w:rsid w:val="00A73EE3"/>
    <w:rsid w:val="00A86EED"/>
    <w:rsid w:val="00AA2163"/>
    <w:rsid w:val="00AA49C8"/>
    <w:rsid w:val="00AA7811"/>
    <w:rsid w:val="00AB0BE5"/>
    <w:rsid w:val="00AC05F2"/>
    <w:rsid w:val="00AC2488"/>
    <w:rsid w:val="00AC5EB7"/>
    <w:rsid w:val="00AC75C4"/>
    <w:rsid w:val="00AD19F2"/>
    <w:rsid w:val="00AD252F"/>
    <w:rsid w:val="00AD2689"/>
    <w:rsid w:val="00AD2B52"/>
    <w:rsid w:val="00AD6087"/>
    <w:rsid w:val="00AE56EB"/>
    <w:rsid w:val="00AE7752"/>
    <w:rsid w:val="00B05517"/>
    <w:rsid w:val="00B17C84"/>
    <w:rsid w:val="00B17FE7"/>
    <w:rsid w:val="00B30404"/>
    <w:rsid w:val="00B33DFE"/>
    <w:rsid w:val="00B35E7E"/>
    <w:rsid w:val="00B43DA9"/>
    <w:rsid w:val="00B45875"/>
    <w:rsid w:val="00B60721"/>
    <w:rsid w:val="00B61750"/>
    <w:rsid w:val="00B74C2F"/>
    <w:rsid w:val="00B8167F"/>
    <w:rsid w:val="00B85602"/>
    <w:rsid w:val="00B906D0"/>
    <w:rsid w:val="00B90731"/>
    <w:rsid w:val="00B96F57"/>
    <w:rsid w:val="00BA2594"/>
    <w:rsid w:val="00BA51E2"/>
    <w:rsid w:val="00BB010B"/>
    <w:rsid w:val="00BB20B2"/>
    <w:rsid w:val="00BB654C"/>
    <w:rsid w:val="00BD0C63"/>
    <w:rsid w:val="00BD1FDB"/>
    <w:rsid w:val="00BD350B"/>
    <w:rsid w:val="00BD6DEE"/>
    <w:rsid w:val="00BE1AEC"/>
    <w:rsid w:val="00BE37F4"/>
    <w:rsid w:val="00BF4125"/>
    <w:rsid w:val="00C11A08"/>
    <w:rsid w:val="00C135D7"/>
    <w:rsid w:val="00C15C29"/>
    <w:rsid w:val="00C30B01"/>
    <w:rsid w:val="00C351CE"/>
    <w:rsid w:val="00C4235B"/>
    <w:rsid w:val="00C42902"/>
    <w:rsid w:val="00C4740C"/>
    <w:rsid w:val="00C47883"/>
    <w:rsid w:val="00C6217E"/>
    <w:rsid w:val="00C70CB9"/>
    <w:rsid w:val="00C739AC"/>
    <w:rsid w:val="00C837BA"/>
    <w:rsid w:val="00C838CC"/>
    <w:rsid w:val="00C843AB"/>
    <w:rsid w:val="00C84A1E"/>
    <w:rsid w:val="00C901BB"/>
    <w:rsid w:val="00CC2282"/>
    <w:rsid w:val="00CC45D6"/>
    <w:rsid w:val="00CD2581"/>
    <w:rsid w:val="00CD54AC"/>
    <w:rsid w:val="00CD747D"/>
    <w:rsid w:val="00CE0683"/>
    <w:rsid w:val="00CE5E9F"/>
    <w:rsid w:val="00CE6FEB"/>
    <w:rsid w:val="00D03E9D"/>
    <w:rsid w:val="00D11190"/>
    <w:rsid w:val="00D1132D"/>
    <w:rsid w:val="00D11FBB"/>
    <w:rsid w:val="00D128B7"/>
    <w:rsid w:val="00D15030"/>
    <w:rsid w:val="00D15439"/>
    <w:rsid w:val="00D17955"/>
    <w:rsid w:val="00D37C21"/>
    <w:rsid w:val="00D44DB4"/>
    <w:rsid w:val="00D45A5D"/>
    <w:rsid w:val="00D4768C"/>
    <w:rsid w:val="00D52A7D"/>
    <w:rsid w:val="00D5506F"/>
    <w:rsid w:val="00D62A15"/>
    <w:rsid w:val="00D63CEC"/>
    <w:rsid w:val="00D65041"/>
    <w:rsid w:val="00D678F2"/>
    <w:rsid w:val="00D72E99"/>
    <w:rsid w:val="00D826EB"/>
    <w:rsid w:val="00D83D36"/>
    <w:rsid w:val="00D943C9"/>
    <w:rsid w:val="00D94E35"/>
    <w:rsid w:val="00DA78D6"/>
    <w:rsid w:val="00DB1195"/>
    <w:rsid w:val="00DB66C6"/>
    <w:rsid w:val="00DC36E9"/>
    <w:rsid w:val="00DD76F4"/>
    <w:rsid w:val="00DE41E7"/>
    <w:rsid w:val="00DE566B"/>
    <w:rsid w:val="00DF0FE2"/>
    <w:rsid w:val="00DF3B59"/>
    <w:rsid w:val="00DF5368"/>
    <w:rsid w:val="00E007FC"/>
    <w:rsid w:val="00E0101E"/>
    <w:rsid w:val="00E06EB3"/>
    <w:rsid w:val="00E117BF"/>
    <w:rsid w:val="00E14D9A"/>
    <w:rsid w:val="00E273E1"/>
    <w:rsid w:val="00E342D6"/>
    <w:rsid w:val="00E41A8C"/>
    <w:rsid w:val="00E4289C"/>
    <w:rsid w:val="00E46711"/>
    <w:rsid w:val="00E52ADE"/>
    <w:rsid w:val="00E61054"/>
    <w:rsid w:val="00E62F12"/>
    <w:rsid w:val="00E66839"/>
    <w:rsid w:val="00E70400"/>
    <w:rsid w:val="00E85C84"/>
    <w:rsid w:val="00E86B2F"/>
    <w:rsid w:val="00E87DB4"/>
    <w:rsid w:val="00E93281"/>
    <w:rsid w:val="00E95E08"/>
    <w:rsid w:val="00EB1433"/>
    <w:rsid w:val="00EB18B4"/>
    <w:rsid w:val="00EB40CC"/>
    <w:rsid w:val="00EB5F21"/>
    <w:rsid w:val="00EB6A54"/>
    <w:rsid w:val="00EC683E"/>
    <w:rsid w:val="00EC7568"/>
    <w:rsid w:val="00ED2079"/>
    <w:rsid w:val="00ED66F6"/>
    <w:rsid w:val="00ED72DA"/>
    <w:rsid w:val="00EE56DD"/>
    <w:rsid w:val="00EF0046"/>
    <w:rsid w:val="00F03114"/>
    <w:rsid w:val="00F05BD0"/>
    <w:rsid w:val="00F07CAE"/>
    <w:rsid w:val="00F149BE"/>
    <w:rsid w:val="00F158A8"/>
    <w:rsid w:val="00F254C5"/>
    <w:rsid w:val="00F3278F"/>
    <w:rsid w:val="00F40725"/>
    <w:rsid w:val="00F4441A"/>
    <w:rsid w:val="00F474B4"/>
    <w:rsid w:val="00F47BF1"/>
    <w:rsid w:val="00F56D3D"/>
    <w:rsid w:val="00F6318C"/>
    <w:rsid w:val="00F632A6"/>
    <w:rsid w:val="00F75FD9"/>
    <w:rsid w:val="00F93DD5"/>
    <w:rsid w:val="00FA06D7"/>
    <w:rsid w:val="00FA0EA6"/>
    <w:rsid w:val="00FA508D"/>
    <w:rsid w:val="00FA5C15"/>
    <w:rsid w:val="00FB31D2"/>
    <w:rsid w:val="00FB3658"/>
    <w:rsid w:val="00FD1F3E"/>
    <w:rsid w:val="00FD35B0"/>
    <w:rsid w:val="00FF2F51"/>
    <w:rsid w:val="00FF3EBA"/>
    <w:rsid w:val="00FF67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70F52"/>
  <w15:chartTrackingRefBased/>
  <w15:docId w15:val="{4B0314A0-07B3-4B19-A2FF-3413E1DF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EED"/>
    <w:pPr>
      <w:spacing w:line="360" w:lineRule="auto"/>
    </w:pPr>
    <w:rPr>
      <w:rFonts w:ascii="Arial" w:hAnsi="Arial"/>
      <w:sz w:val="24"/>
    </w:rPr>
  </w:style>
  <w:style w:type="paragraph" w:styleId="Ttulo1">
    <w:name w:val="heading 1"/>
    <w:basedOn w:val="Normal"/>
    <w:next w:val="Normal"/>
    <w:link w:val="Ttulo1Car"/>
    <w:uiPriority w:val="9"/>
    <w:qFormat/>
    <w:rsid w:val="009310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F08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A86EE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A86EED"/>
    <w:rPr>
      <w:rFonts w:ascii="Arial" w:hAnsi="Arial"/>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basedOn w:val="Fuentedeprrafopredeter"/>
    <w:link w:val="4GChar"/>
    <w:uiPriority w:val="99"/>
    <w:unhideWhenUsed/>
    <w:qFormat/>
    <w:rsid w:val="00A86EED"/>
    <w:rPr>
      <w:vertAlign w:val="superscript"/>
    </w:rPr>
  </w:style>
  <w:style w:type="paragraph" w:styleId="Encabezado">
    <w:name w:val="header"/>
    <w:basedOn w:val="Normal"/>
    <w:link w:val="EncabezadoCar"/>
    <w:uiPriority w:val="99"/>
    <w:unhideWhenUsed/>
    <w:rsid w:val="00225C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25C74"/>
    <w:rPr>
      <w:rFonts w:ascii="Arial" w:hAnsi="Arial"/>
      <w:sz w:val="24"/>
    </w:rPr>
  </w:style>
  <w:style w:type="paragraph" w:styleId="Piedepgina">
    <w:name w:val="footer"/>
    <w:basedOn w:val="Normal"/>
    <w:link w:val="PiedepginaCar"/>
    <w:uiPriority w:val="99"/>
    <w:unhideWhenUsed/>
    <w:rsid w:val="00225C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25C74"/>
    <w:rPr>
      <w:rFonts w:ascii="Arial" w:hAnsi="Arial"/>
      <w:sz w:val="24"/>
    </w:rPr>
  </w:style>
  <w:style w:type="character" w:customStyle="1" w:styleId="Ttulo2Car">
    <w:name w:val="Título 2 Car"/>
    <w:basedOn w:val="Fuentedeprrafopredeter"/>
    <w:link w:val="Ttulo2"/>
    <w:uiPriority w:val="9"/>
    <w:rsid w:val="000F0895"/>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793270"/>
    <w:pPr>
      <w:ind w:left="720"/>
      <w:contextualSpacing/>
    </w:pPr>
  </w:style>
  <w:style w:type="paragraph" w:styleId="NormalWeb">
    <w:name w:val="Normal (Web)"/>
    <w:aliases w:val="Normal (Web) Car1 Car,Normal (Web) Car Car Car,Normal (Web) Car1 Car Car Car,Normal (Web) Car Car Car Car Car Car Car Car Car Car Car,Normal (Web) Car Car Car Car Car Car Car,Car Car Car Car,Car Car Car Car Car Car,Car Car1,Car Car Car1"/>
    <w:basedOn w:val="Normal"/>
    <w:uiPriority w:val="99"/>
    <w:rsid w:val="00741201"/>
    <w:pPr>
      <w:spacing w:line="240" w:lineRule="auto"/>
      <w:jc w:val="left"/>
    </w:pPr>
    <w:rPr>
      <w:rFonts w:eastAsia="Calibri"/>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41201"/>
    <w:pPr>
      <w:spacing w:before="0" w:beforeAutospacing="0" w:after="0" w:afterAutospacing="0" w:line="240" w:lineRule="auto"/>
    </w:pPr>
    <w:rPr>
      <w:rFonts w:asciiTheme="minorHAnsi" w:hAnsiTheme="minorHAnsi"/>
      <w:sz w:val="22"/>
      <w:vertAlign w:val="superscript"/>
    </w:rPr>
  </w:style>
  <w:style w:type="character" w:customStyle="1" w:styleId="Ttulo1Car">
    <w:name w:val="Título 1 Car"/>
    <w:basedOn w:val="Fuentedeprrafopredeter"/>
    <w:link w:val="Ttulo1"/>
    <w:uiPriority w:val="9"/>
    <w:rsid w:val="009310D8"/>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9310D8"/>
    <w:pPr>
      <w:spacing w:beforeAutospacing="0" w:afterAutospacing="0" w:line="259" w:lineRule="auto"/>
      <w:jc w:val="left"/>
      <w:outlineLvl w:val="9"/>
    </w:pPr>
    <w:rPr>
      <w:lang w:eastAsia="es-MX"/>
    </w:rPr>
  </w:style>
  <w:style w:type="paragraph" w:styleId="TDC1">
    <w:name w:val="toc 1"/>
    <w:basedOn w:val="Normal"/>
    <w:next w:val="Normal"/>
    <w:autoRedefine/>
    <w:uiPriority w:val="39"/>
    <w:unhideWhenUsed/>
    <w:rsid w:val="009310D8"/>
    <w:pPr>
      <w:tabs>
        <w:tab w:val="right" w:leader="dot" w:pos="7694"/>
      </w:tabs>
      <w:spacing w:before="0" w:beforeAutospacing="0" w:afterAutospacing="0" w:line="240" w:lineRule="auto"/>
      <w:jc w:val="left"/>
    </w:pPr>
    <w:rPr>
      <w:sz w:val="18"/>
      <w:szCs w:val="18"/>
    </w:rPr>
  </w:style>
  <w:style w:type="character" w:styleId="Hipervnculo">
    <w:name w:val="Hyperlink"/>
    <w:basedOn w:val="Fuentedeprrafopredeter"/>
    <w:uiPriority w:val="99"/>
    <w:unhideWhenUsed/>
    <w:rsid w:val="009310D8"/>
    <w:rPr>
      <w:color w:val="0563C1" w:themeColor="hyperlink"/>
      <w:u w:val="single"/>
    </w:rPr>
  </w:style>
  <w:style w:type="paragraph" w:customStyle="1" w:styleId="TEXTOLIBRE">
    <w:name w:val="TEXTO LIBRE"/>
    <w:basedOn w:val="Normal"/>
    <w:rsid w:val="009310D8"/>
    <w:pPr>
      <w:spacing w:before="120" w:beforeAutospacing="0" w:after="120" w:afterAutospacing="0"/>
      <w:ind w:firstLine="709"/>
    </w:pPr>
    <w:rPr>
      <w:rFonts w:ascii="Times New Roman" w:eastAsia="Times New Roman" w:hAnsi="Times New Roman" w:cs="Times New Roman"/>
      <w:sz w:val="28"/>
      <w:szCs w:val="24"/>
      <w:lang w:val="es-ES" w:eastAsia="es-ES"/>
    </w:rPr>
  </w:style>
  <w:style w:type="paragraph" w:customStyle="1" w:styleId="Texto">
    <w:name w:val="Texto"/>
    <w:basedOn w:val="Normal"/>
    <w:rsid w:val="00C837BA"/>
    <w:pPr>
      <w:spacing w:before="0" w:beforeAutospacing="0" w:after="101" w:afterAutospacing="0" w:line="216" w:lineRule="exact"/>
      <w:ind w:firstLine="288"/>
    </w:pPr>
    <w:rPr>
      <w:rFonts w:eastAsia="Times New Roman" w:cs="Arial"/>
      <w:sz w:val="18"/>
      <w:szCs w:val="18"/>
      <w:lang w:val="es-ES" w:eastAsia="es-ES"/>
    </w:rPr>
  </w:style>
  <w:style w:type="table" w:styleId="Tablaconcuadrcula">
    <w:name w:val="Table Grid"/>
    <w:basedOn w:val="Tablanormal"/>
    <w:uiPriority w:val="39"/>
    <w:rsid w:val="00E117BF"/>
    <w:pPr>
      <w:spacing w:before="0" w:beforeAutospacing="0" w:after="0" w:afterAutospacing="0"/>
      <w:jc w:val="left"/>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34B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34BE"/>
    <w:rPr>
      <w:rFonts w:ascii="Segoe UI" w:hAnsi="Segoe UI" w:cs="Segoe UI"/>
      <w:sz w:val="18"/>
      <w:szCs w:val="18"/>
    </w:rPr>
  </w:style>
  <w:style w:type="paragraph" w:styleId="TDC2">
    <w:name w:val="toc 2"/>
    <w:basedOn w:val="Normal"/>
    <w:next w:val="Normal"/>
    <w:autoRedefine/>
    <w:uiPriority w:val="39"/>
    <w:unhideWhenUsed/>
    <w:rsid w:val="00EB18B4"/>
    <w:pPr>
      <w:ind w:left="240"/>
    </w:pPr>
  </w:style>
  <w:style w:type="character" w:styleId="Refdecomentario">
    <w:name w:val="annotation reference"/>
    <w:basedOn w:val="Fuentedeprrafopredeter"/>
    <w:uiPriority w:val="99"/>
    <w:semiHidden/>
    <w:unhideWhenUsed/>
    <w:rsid w:val="00A503BA"/>
    <w:rPr>
      <w:sz w:val="16"/>
      <w:szCs w:val="16"/>
    </w:rPr>
  </w:style>
  <w:style w:type="paragraph" w:styleId="Textocomentario">
    <w:name w:val="annotation text"/>
    <w:basedOn w:val="Normal"/>
    <w:link w:val="TextocomentarioCar"/>
    <w:uiPriority w:val="99"/>
    <w:semiHidden/>
    <w:unhideWhenUsed/>
    <w:rsid w:val="00A503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03B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503BA"/>
    <w:rPr>
      <w:b/>
      <w:bCs/>
    </w:rPr>
  </w:style>
  <w:style w:type="character" w:customStyle="1" w:styleId="AsuntodelcomentarioCar">
    <w:name w:val="Asunto del comentario Car"/>
    <w:basedOn w:val="TextocomentarioCar"/>
    <w:link w:val="Asuntodelcomentario"/>
    <w:uiPriority w:val="99"/>
    <w:semiHidden/>
    <w:rsid w:val="00A503BA"/>
    <w:rPr>
      <w:rFonts w:ascii="Arial" w:hAnsi="Arial"/>
      <w:b/>
      <w:bCs/>
      <w:sz w:val="20"/>
      <w:szCs w:val="20"/>
    </w:rPr>
  </w:style>
  <w:style w:type="character" w:customStyle="1" w:styleId="UnresolvedMention">
    <w:name w:val="Unresolved Mention"/>
    <w:basedOn w:val="Fuentedeprrafopredeter"/>
    <w:uiPriority w:val="99"/>
    <w:semiHidden/>
    <w:unhideWhenUsed/>
    <w:rsid w:val="00415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6339">
      <w:bodyDiv w:val="1"/>
      <w:marLeft w:val="0"/>
      <w:marRight w:val="0"/>
      <w:marTop w:val="0"/>
      <w:marBottom w:val="0"/>
      <w:divBdr>
        <w:top w:val="none" w:sz="0" w:space="0" w:color="auto"/>
        <w:left w:val="none" w:sz="0" w:space="0" w:color="auto"/>
        <w:bottom w:val="none" w:sz="0" w:space="0" w:color="auto"/>
        <w:right w:val="none" w:sz="0" w:space="0" w:color="auto"/>
      </w:divBdr>
    </w:div>
    <w:div w:id="2235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re/articulos/sabes-cuantos-mexicanos-viven-en-el-extranjero" TargetMode="External"/><Relationship Id="rId1" Type="http://schemas.openxmlformats.org/officeDocument/2006/relationships/hyperlink" Target="https://www.dof.gob.mx/nota_detalle.php?codigo=5613613&amp;fecha=16/03/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9F0448D7A7D54AA1157ACC25AB82ED" ma:contentTypeVersion="6" ma:contentTypeDescription="Crear nuevo documento." ma:contentTypeScope="" ma:versionID="7c932ddab3e5882937b8e25db6baa424">
  <xsd:schema xmlns:xsd="http://www.w3.org/2001/XMLSchema" xmlns:xs="http://www.w3.org/2001/XMLSchema" xmlns:p="http://schemas.microsoft.com/office/2006/metadata/properties" xmlns:ns3="e88e4002-33ea-4c3a-9a31-a8b1bf83a4cf" targetNamespace="http://schemas.microsoft.com/office/2006/metadata/properties" ma:root="true" ma:fieldsID="d41da1448f99ecca20d16c6c07a5e695" ns3:_="">
    <xsd:import namespace="e88e4002-33ea-4c3a-9a31-a8b1bf83a4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e4002-33ea-4c3a-9a31-a8b1bf83a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D37E-3661-4D26-8BB4-0441B308D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e4002-33ea-4c3a-9a31-a8b1bf83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D854E-7333-4286-BFCD-C404596AF2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DE3B43-BFB6-4FA6-A6CE-4E82057DE50D}">
  <ds:schemaRefs>
    <ds:schemaRef ds:uri="http://schemas.microsoft.com/sharepoint/v3/contenttype/forms"/>
  </ds:schemaRefs>
</ds:datastoreItem>
</file>

<file path=customXml/itemProps4.xml><?xml version="1.0" encoding="utf-8"?>
<ds:datastoreItem xmlns:ds="http://schemas.openxmlformats.org/officeDocument/2006/customXml" ds:itemID="{508685D8-20B2-4F81-BED2-C7D7FCEA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4325</Words>
  <Characters>23791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Lucero Martínez Peña</dc:creator>
  <cp:keywords/>
  <dc:description/>
  <cp:lastModifiedBy>BRENDA</cp:lastModifiedBy>
  <cp:revision>2</cp:revision>
  <dcterms:created xsi:type="dcterms:W3CDTF">2021-08-13T18:43:00Z</dcterms:created>
  <dcterms:modified xsi:type="dcterms:W3CDTF">2021-08-13T18:43:00Z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0x010100E69F0448D7A7D54AA1157ACC25AB82ED</vt:lpwstr>
  </property>
</Properties>
</file>