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84736" w14:textId="01B5052F" w:rsidR="005A422F" w:rsidRPr="005A422F" w:rsidRDefault="00081971" w:rsidP="005A422F">
      <w:pPr>
        <w:spacing w:before="100" w:beforeAutospacing="1" w:after="100" w:afterAutospacing="1"/>
        <w:jc w:val="both"/>
        <w:rPr>
          <w:rFonts w:cs="Arial"/>
          <w:sz w:val="24"/>
          <w:szCs w:val="24"/>
        </w:rPr>
      </w:pPr>
      <w:r w:rsidRPr="005A422F">
        <w:rPr>
          <w:noProof/>
        </w:rPr>
        <w:drawing>
          <wp:inline distT="0" distB="0" distL="0" distR="0" wp14:anchorId="18947BC6" wp14:editId="2AFE0448">
            <wp:extent cx="5071745" cy="70377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71745" cy="7037705"/>
                    </a:xfrm>
                    <a:prstGeom prst="rect">
                      <a:avLst/>
                    </a:prstGeom>
                    <a:noFill/>
                    <a:ln>
                      <a:noFill/>
                    </a:ln>
                  </pic:spPr>
                </pic:pic>
              </a:graphicData>
            </a:graphic>
          </wp:inline>
        </w:drawing>
      </w:r>
      <w:bookmarkStart w:id="0" w:name="_GoBack"/>
      <w:bookmarkEnd w:id="0"/>
    </w:p>
    <w:p w14:paraId="10404090" w14:textId="77777777" w:rsidR="005A422F" w:rsidRDefault="005A422F" w:rsidP="00220688">
      <w:pPr>
        <w:spacing w:before="100" w:beforeAutospacing="1" w:after="100" w:afterAutospacing="1"/>
        <w:ind w:left="3119"/>
        <w:jc w:val="both"/>
        <w:rPr>
          <w:rFonts w:cs="Arial"/>
          <w:b/>
          <w:sz w:val="24"/>
          <w:szCs w:val="24"/>
        </w:rPr>
      </w:pPr>
    </w:p>
    <w:p w14:paraId="4C412C18" w14:textId="1440AD2D" w:rsidR="005A422F" w:rsidRDefault="005A422F" w:rsidP="00220688">
      <w:pPr>
        <w:spacing w:before="100" w:beforeAutospacing="1" w:after="100" w:afterAutospacing="1"/>
        <w:ind w:left="3119"/>
        <w:jc w:val="both"/>
        <w:rPr>
          <w:rFonts w:cs="Arial"/>
          <w:b/>
          <w:sz w:val="24"/>
          <w:szCs w:val="24"/>
        </w:rPr>
        <w:sectPr w:rsidR="005A422F" w:rsidSect="00081971">
          <w:headerReference w:type="even" r:id="rId12"/>
          <w:headerReference w:type="default" r:id="rId13"/>
          <w:footerReference w:type="even" r:id="rId14"/>
          <w:footerReference w:type="default" r:id="rId15"/>
          <w:headerReference w:type="first" r:id="rId16"/>
          <w:footerReference w:type="first" r:id="rId17"/>
          <w:pgSz w:w="12240" w:h="18720" w:code="14"/>
          <w:pgMar w:top="1276" w:right="1418" w:bottom="1418" w:left="2835" w:header="1559" w:footer="907" w:gutter="0"/>
          <w:pgNumType w:start="1"/>
          <w:cols w:space="708"/>
          <w:titlePg/>
          <w:docGrid w:linePitch="360"/>
        </w:sectPr>
      </w:pPr>
    </w:p>
    <w:p w14:paraId="0E459102" w14:textId="6AC96C00" w:rsidR="004D5F2C" w:rsidRPr="00982313" w:rsidRDefault="00D41F45" w:rsidP="00220688">
      <w:pPr>
        <w:spacing w:before="100" w:beforeAutospacing="1" w:after="100" w:afterAutospacing="1"/>
        <w:ind w:left="3119"/>
        <w:jc w:val="both"/>
        <w:rPr>
          <w:rFonts w:cs="Arial"/>
          <w:bCs/>
          <w:sz w:val="24"/>
          <w:szCs w:val="24"/>
        </w:rPr>
      </w:pPr>
      <w:r w:rsidRPr="00982313">
        <w:rPr>
          <w:rFonts w:cs="Arial"/>
          <w:b/>
          <w:sz w:val="24"/>
          <w:szCs w:val="24"/>
        </w:rPr>
        <w:lastRenderedPageBreak/>
        <w:t>EXPEDIENTE:</w:t>
      </w:r>
      <w:r w:rsidR="007E4B9B" w:rsidRPr="00982313">
        <w:rPr>
          <w:rFonts w:cs="Arial"/>
          <w:b/>
          <w:sz w:val="24"/>
          <w:szCs w:val="24"/>
        </w:rPr>
        <w:t xml:space="preserve"> </w:t>
      </w:r>
      <w:r w:rsidR="002B2C4C" w:rsidRPr="00982313">
        <w:rPr>
          <w:rFonts w:cs="Arial"/>
          <w:sz w:val="24"/>
          <w:szCs w:val="24"/>
        </w:rPr>
        <w:t>SUP-JDC-1660/2020</w:t>
      </w:r>
      <w:r w:rsidR="00B54F1C" w:rsidRPr="00982313">
        <w:rPr>
          <w:rFonts w:cs="Arial"/>
          <w:sz w:val="24"/>
          <w:szCs w:val="24"/>
        </w:rPr>
        <w:t xml:space="preserve"> </w:t>
      </w:r>
    </w:p>
    <w:p w14:paraId="1DD8B752" w14:textId="686E860B" w:rsidR="00D41F45" w:rsidRPr="00982313" w:rsidRDefault="00D41F45" w:rsidP="00220688">
      <w:pPr>
        <w:spacing w:before="100" w:beforeAutospacing="1" w:after="100" w:afterAutospacing="1"/>
        <w:ind w:left="3119"/>
        <w:jc w:val="both"/>
        <w:rPr>
          <w:rFonts w:cs="Arial"/>
          <w:sz w:val="24"/>
          <w:szCs w:val="24"/>
        </w:rPr>
      </w:pPr>
      <w:r w:rsidRPr="00982313">
        <w:rPr>
          <w:rFonts w:cs="Arial"/>
          <w:b/>
          <w:sz w:val="24"/>
          <w:szCs w:val="24"/>
        </w:rPr>
        <w:t>PONENTE:</w:t>
      </w:r>
      <w:r w:rsidRPr="00982313">
        <w:rPr>
          <w:rFonts w:cs="Arial"/>
          <w:bCs/>
          <w:sz w:val="24"/>
          <w:szCs w:val="24"/>
        </w:rPr>
        <w:t xml:space="preserve"> </w:t>
      </w:r>
      <w:r w:rsidR="002365D7" w:rsidRPr="00982313">
        <w:rPr>
          <w:rFonts w:cs="Arial"/>
          <w:bCs/>
          <w:sz w:val="24"/>
          <w:szCs w:val="24"/>
        </w:rPr>
        <w:t xml:space="preserve">MAGISTRADO </w:t>
      </w:r>
      <w:r w:rsidRPr="00982313">
        <w:rPr>
          <w:rFonts w:cs="Arial"/>
          <w:sz w:val="24"/>
          <w:szCs w:val="24"/>
        </w:rPr>
        <w:t>FELIPE DE LA MATA PIZAÑA</w:t>
      </w:r>
      <w:r w:rsidR="00C570FA" w:rsidRPr="00982313">
        <w:rPr>
          <w:rStyle w:val="Refdenotaalpie"/>
          <w:rFonts w:cs="Arial"/>
          <w:sz w:val="24"/>
          <w:szCs w:val="24"/>
        </w:rPr>
        <w:footnoteReference w:id="1"/>
      </w:r>
    </w:p>
    <w:p w14:paraId="1DFD841B" w14:textId="49D2ED3A" w:rsidR="00D41F45" w:rsidRPr="00982313" w:rsidRDefault="00512951" w:rsidP="005B2582">
      <w:pPr>
        <w:spacing w:before="100" w:beforeAutospacing="1" w:after="100" w:afterAutospacing="1" w:line="360" w:lineRule="auto"/>
        <w:jc w:val="both"/>
        <w:rPr>
          <w:rFonts w:eastAsia="Times New Roman" w:cs="Arial"/>
          <w:sz w:val="24"/>
          <w:szCs w:val="24"/>
          <w:lang w:eastAsia="es-MX"/>
        </w:rPr>
      </w:pPr>
      <w:r w:rsidRPr="00982313">
        <w:rPr>
          <w:rFonts w:eastAsia="Times New Roman" w:cs="Arial"/>
          <w:sz w:val="24"/>
          <w:szCs w:val="24"/>
          <w:lang w:eastAsia="es-MX"/>
        </w:rPr>
        <w:t>Ciudad de M</w:t>
      </w:r>
      <w:r w:rsidR="00AA7267" w:rsidRPr="00982313">
        <w:rPr>
          <w:rFonts w:eastAsia="Times New Roman" w:cs="Arial"/>
          <w:sz w:val="24"/>
          <w:szCs w:val="24"/>
          <w:lang w:eastAsia="es-MX"/>
        </w:rPr>
        <w:t>éxico,</w:t>
      </w:r>
      <w:r w:rsidR="00C570FA" w:rsidRPr="00982313">
        <w:rPr>
          <w:rFonts w:eastAsia="Times New Roman" w:cs="Arial"/>
          <w:sz w:val="24"/>
          <w:szCs w:val="24"/>
          <w:lang w:eastAsia="es-MX"/>
        </w:rPr>
        <w:t xml:space="preserve"> </w:t>
      </w:r>
      <w:r w:rsidR="003B0E36" w:rsidRPr="00982313">
        <w:rPr>
          <w:rFonts w:eastAsia="Times New Roman" w:cs="Arial"/>
          <w:sz w:val="24"/>
          <w:szCs w:val="24"/>
          <w:lang w:eastAsia="es-MX"/>
        </w:rPr>
        <w:t>catorce</w:t>
      </w:r>
      <w:r w:rsidR="00CD430B" w:rsidRPr="00982313">
        <w:rPr>
          <w:rFonts w:eastAsia="Times New Roman" w:cs="Arial"/>
          <w:sz w:val="24"/>
          <w:szCs w:val="24"/>
          <w:lang w:eastAsia="es-MX"/>
        </w:rPr>
        <w:t xml:space="preserve"> </w:t>
      </w:r>
      <w:r w:rsidR="007E4B9B" w:rsidRPr="00982313">
        <w:rPr>
          <w:rFonts w:eastAsia="Times New Roman" w:cs="Arial"/>
          <w:sz w:val="24"/>
          <w:szCs w:val="24"/>
          <w:lang w:eastAsia="es-MX"/>
        </w:rPr>
        <w:t>de</w:t>
      </w:r>
      <w:r w:rsidR="006B1DD5" w:rsidRPr="00982313">
        <w:rPr>
          <w:rFonts w:eastAsia="Times New Roman" w:cs="Arial"/>
          <w:sz w:val="24"/>
          <w:szCs w:val="24"/>
          <w:lang w:eastAsia="es-MX"/>
        </w:rPr>
        <w:t xml:space="preserve"> </w:t>
      </w:r>
      <w:r w:rsidR="00340C9B" w:rsidRPr="00982313">
        <w:rPr>
          <w:rFonts w:eastAsia="Times New Roman" w:cs="Arial"/>
          <w:sz w:val="24"/>
          <w:szCs w:val="24"/>
          <w:lang w:eastAsia="es-MX"/>
        </w:rPr>
        <w:t>agosto</w:t>
      </w:r>
      <w:r w:rsidR="00CD430B" w:rsidRPr="00982313">
        <w:rPr>
          <w:rFonts w:eastAsia="Times New Roman" w:cs="Arial"/>
          <w:sz w:val="24"/>
          <w:szCs w:val="24"/>
          <w:lang w:eastAsia="es-MX"/>
        </w:rPr>
        <w:t xml:space="preserve"> </w:t>
      </w:r>
      <w:r w:rsidR="00D41F45" w:rsidRPr="00982313">
        <w:rPr>
          <w:rFonts w:eastAsia="Times New Roman" w:cs="Arial"/>
          <w:sz w:val="24"/>
          <w:szCs w:val="24"/>
          <w:lang w:eastAsia="es-MX"/>
        </w:rPr>
        <w:t xml:space="preserve">de dos mil </w:t>
      </w:r>
      <w:r w:rsidR="00B0238E" w:rsidRPr="00982313">
        <w:rPr>
          <w:rFonts w:eastAsia="Times New Roman" w:cs="Arial"/>
          <w:sz w:val="24"/>
          <w:szCs w:val="24"/>
          <w:lang w:eastAsia="es-MX"/>
        </w:rPr>
        <w:t>veinte</w:t>
      </w:r>
      <w:r w:rsidR="00D41F45" w:rsidRPr="00982313">
        <w:rPr>
          <w:rFonts w:eastAsia="Times New Roman" w:cs="Arial"/>
          <w:sz w:val="24"/>
          <w:szCs w:val="24"/>
          <w:lang w:eastAsia="es-MX"/>
        </w:rPr>
        <w:t>.</w:t>
      </w:r>
    </w:p>
    <w:p w14:paraId="21C1C5F2" w14:textId="1BB00A98" w:rsidR="00F80423" w:rsidRPr="00982313" w:rsidRDefault="00516968" w:rsidP="005B2582">
      <w:pPr>
        <w:spacing w:before="100" w:beforeAutospacing="1" w:after="100" w:afterAutospacing="1" w:line="360" w:lineRule="auto"/>
        <w:mirrorIndents/>
        <w:jc w:val="both"/>
        <w:rPr>
          <w:rFonts w:cs="Arial"/>
          <w:sz w:val="24"/>
          <w:szCs w:val="24"/>
        </w:rPr>
      </w:pPr>
      <w:r w:rsidRPr="00982313">
        <w:rPr>
          <w:rFonts w:eastAsia="Times New Roman" w:cs="Arial"/>
          <w:b/>
          <w:sz w:val="24"/>
          <w:szCs w:val="24"/>
          <w:lang w:eastAsia="es-MX"/>
        </w:rPr>
        <w:t xml:space="preserve">Sentencia </w:t>
      </w:r>
      <w:r w:rsidRPr="00982313">
        <w:rPr>
          <w:rFonts w:eastAsia="Times New Roman" w:cs="Arial"/>
          <w:sz w:val="24"/>
          <w:szCs w:val="24"/>
          <w:lang w:eastAsia="es-MX"/>
        </w:rPr>
        <w:t>que</w:t>
      </w:r>
      <w:r w:rsidR="001A7E4F" w:rsidRPr="00982313">
        <w:rPr>
          <w:rFonts w:eastAsia="Times New Roman" w:cs="Arial"/>
          <w:sz w:val="24"/>
          <w:szCs w:val="24"/>
          <w:lang w:eastAsia="es-MX"/>
        </w:rPr>
        <w:t xml:space="preserve"> </w:t>
      </w:r>
      <w:r w:rsidR="00467610" w:rsidRPr="00982313">
        <w:rPr>
          <w:rFonts w:eastAsia="Times New Roman" w:cs="Arial"/>
          <w:b/>
          <w:sz w:val="24"/>
          <w:szCs w:val="24"/>
          <w:lang w:eastAsia="es-MX"/>
        </w:rPr>
        <w:t>desecha</w:t>
      </w:r>
      <w:r w:rsidR="00467610" w:rsidRPr="00982313">
        <w:rPr>
          <w:rFonts w:eastAsia="Times New Roman" w:cs="Arial"/>
          <w:bCs/>
          <w:sz w:val="24"/>
          <w:szCs w:val="24"/>
          <w:lang w:eastAsia="es-MX"/>
        </w:rPr>
        <w:t xml:space="preserve"> </w:t>
      </w:r>
      <w:r w:rsidR="00FB3A11" w:rsidRPr="00982313">
        <w:rPr>
          <w:rFonts w:eastAsia="Times New Roman" w:cs="Arial"/>
          <w:bCs/>
          <w:sz w:val="24"/>
          <w:szCs w:val="24"/>
          <w:lang w:eastAsia="es-MX"/>
        </w:rPr>
        <w:t>la demanda presentada</w:t>
      </w:r>
      <w:r w:rsidR="00FC77AB" w:rsidRPr="00982313">
        <w:rPr>
          <w:rFonts w:eastAsia="Times New Roman" w:cs="Arial"/>
          <w:bCs/>
          <w:sz w:val="24"/>
          <w:szCs w:val="24"/>
          <w:lang w:eastAsia="es-MX"/>
        </w:rPr>
        <w:t xml:space="preserve"> </w:t>
      </w:r>
      <w:r w:rsidR="00467610" w:rsidRPr="00982313">
        <w:rPr>
          <w:rFonts w:cs="Arial"/>
          <w:sz w:val="24"/>
          <w:szCs w:val="24"/>
        </w:rPr>
        <w:t xml:space="preserve">por </w:t>
      </w:r>
      <w:bookmarkStart w:id="3" w:name="_Hlk47373009"/>
      <w:proofErr w:type="spellStart"/>
      <w:r w:rsidR="00467610" w:rsidRPr="00982313">
        <w:rPr>
          <w:rFonts w:cs="Arial"/>
          <w:sz w:val="24"/>
          <w:szCs w:val="24"/>
        </w:rPr>
        <w:t>Kyri</w:t>
      </w:r>
      <w:proofErr w:type="spellEnd"/>
      <w:r w:rsidR="00467610" w:rsidRPr="00982313">
        <w:rPr>
          <w:rFonts w:cs="Arial"/>
          <w:sz w:val="24"/>
          <w:szCs w:val="24"/>
        </w:rPr>
        <w:t xml:space="preserve"> Rebeca Vences Solís </w:t>
      </w:r>
      <w:r w:rsidR="00FC77AB" w:rsidRPr="00982313">
        <w:rPr>
          <w:rFonts w:cs="Arial"/>
          <w:sz w:val="24"/>
          <w:szCs w:val="24"/>
        </w:rPr>
        <w:t xml:space="preserve">a fin de controvertir </w:t>
      </w:r>
      <w:r w:rsidR="00467610" w:rsidRPr="00982313">
        <w:rPr>
          <w:rFonts w:cs="Arial"/>
          <w:sz w:val="24"/>
          <w:szCs w:val="24"/>
        </w:rPr>
        <w:t>e</w:t>
      </w:r>
      <w:r w:rsidRPr="00982313">
        <w:rPr>
          <w:rFonts w:cs="Arial"/>
          <w:sz w:val="24"/>
          <w:szCs w:val="24"/>
        </w:rPr>
        <w:t>l</w:t>
      </w:r>
      <w:r w:rsidR="004D5F2C" w:rsidRPr="00982313">
        <w:rPr>
          <w:rFonts w:eastAsia="Times New Roman" w:cs="Arial"/>
          <w:sz w:val="24"/>
          <w:szCs w:val="24"/>
          <w:lang w:eastAsia="es-MX"/>
        </w:rPr>
        <w:t xml:space="preserve"> </w:t>
      </w:r>
      <w:r w:rsidR="001E0F52" w:rsidRPr="00982313">
        <w:rPr>
          <w:rFonts w:eastAsia="Times New Roman" w:cs="Arial"/>
          <w:sz w:val="24"/>
          <w:szCs w:val="24"/>
          <w:lang w:eastAsia="es-MX"/>
        </w:rPr>
        <w:t xml:space="preserve">listado </w:t>
      </w:r>
      <w:r w:rsidR="009E45D7" w:rsidRPr="00982313">
        <w:rPr>
          <w:rFonts w:eastAsia="Times New Roman" w:cs="Arial"/>
          <w:sz w:val="24"/>
          <w:szCs w:val="24"/>
          <w:lang w:eastAsia="es-MX"/>
        </w:rPr>
        <w:t>con los</w:t>
      </w:r>
      <w:r w:rsidR="00467610" w:rsidRPr="00982313">
        <w:rPr>
          <w:rFonts w:eastAsia="Times New Roman" w:cs="Arial"/>
          <w:sz w:val="24"/>
          <w:szCs w:val="24"/>
          <w:lang w:eastAsia="es-MX"/>
        </w:rPr>
        <w:t xml:space="preserve"> folios </w:t>
      </w:r>
      <w:r w:rsidR="009E45D7" w:rsidRPr="00982313">
        <w:rPr>
          <w:rFonts w:eastAsia="Times New Roman" w:cs="Arial"/>
          <w:sz w:val="24"/>
          <w:szCs w:val="24"/>
          <w:lang w:eastAsia="es-MX"/>
        </w:rPr>
        <w:t xml:space="preserve">de los aspirantes que no acceden a la siguiente etapa del proceso </w:t>
      </w:r>
      <w:r w:rsidR="00467610" w:rsidRPr="00982313">
        <w:rPr>
          <w:rFonts w:eastAsia="Times New Roman" w:cs="Arial"/>
          <w:sz w:val="24"/>
          <w:szCs w:val="24"/>
          <w:lang w:eastAsia="es-MX"/>
        </w:rPr>
        <w:t xml:space="preserve">de designación de consejerías electorales del OPLE en Yucatán </w:t>
      </w:r>
      <w:r w:rsidR="00444F6E" w:rsidRPr="00982313">
        <w:rPr>
          <w:rFonts w:eastAsia="Times New Roman" w:cs="Arial"/>
          <w:sz w:val="24"/>
          <w:szCs w:val="24"/>
          <w:lang w:eastAsia="es-MX"/>
        </w:rPr>
        <w:t xml:space="preserve">emitido </w:t>
      </w:r>
      <w:r w:rsidR="00444F6E" w:rsidRPr="00982313">
        <w:rPr>
          <w:rFonts w:cs="Arial"/>
          <w:sz w:val="24"/>
          <w:szCs w:val="24"/>
        </w:rPr>
        <w:t xml:space="preserve">por </w:t>
      </w:r>
      <w:r w:rsidR="002514CD" w:rsidRPr="00982313">
        <w:rPr>
          <w:rFonts w:cs="Arial"/>
          <w:sz w:val="24"/>
          <w:szCs w:val="24"/>
        </w:rPr>
        <w:t>la Comisión de Vinculación con los Organismos Públicos Locales del Instituto Nacional Electoral</w:t>
      </w:r>
      <w:r w:rsidR="00467610" w:rsidRPr="00982313">
        <w:rPr>
          <w:rFonts w:cs="Arial"/>
          <w:sz w:val="24"/>
          <w:szCs w:val="24"/>
        </w:rPr>
        <w:t>.</w:t>
      </w:r>
    </w:p>
    <w:bookmarkEnd w:id="3" w:displacedByCustomXml="next"/>
    <w:sdt>
      <w:sdtPr>
        <w:rPr>
          <w:rFonts w:ascii="Arial" w:eastAsiaTheme="minorHAnsi" w:hAnsi="Arial" w:cs="Arial"/>
          <w:b/>
          <w:color w:val="auto"/>
          <w:sz w:val="18"/>
          <w:szCs w:val="18"/>
          <w:lang w:val="es-ES" w:eastAsia="en-US"/>
        </w:rPr>
        <w:id w:val="-1362895272"/>
        <w:docPartObj>
          <w:docPartGallery w:val="Table of Contents"/>
          <w:docPartUnique/>
        </w:docPartObj>
      </w:sdtPr>
      <w:sdtEndPr>
        <w:rPr>
          <w:b w:val="0"/>
          <w:bCs/>
        </w:rPr>
      </w:sdtEndPr>
      <w:sdtContent>
        <w:p w14:paraId="21D388FE" w14:textId="77777777" w:rsidR="00B953CB" w:rsidRPr="00982313" w:rsidRDefault="00B953CB" w:rsidP="007F56A0">
          <w:pPr>
            <w:pStyle w:val="TtuloTDC"/>
            <w:spacing w:before="0" w:line="240" w:lineRule="auto"/>
            <w:jc w:val="center"/>
            <w:rPr>
              <w:rFonts w:ascii="Arial" w:hAnsi="Arial" w:cs="Arial"/>
              <w:b/>
              <w:color w:val="auto"/>
              <w:sz w:val="24"/>
              <w:szCs w:val="24"/>
            </w:rPr>
          </w:pPr>
          <w:r w:rsidRPr="00982313">
            <w:rPr>
              <w:rFonts w:ascii="Arial" w:eastAsiaTheme="minorHAnsi" w:hAnsi="Arial" w:cs="Arial"/>
              <w:b/>
              <w:color w:val="auto"/>
              <w:sz w:val="24"/>
              <w:szCs w:val="24"/>
              <w:lang w:val="es-ES" w:eastAsia="en-US"/>
            </w:rPr>
            <w:t>ÍNDICE</w:t>
          </w:r>
        </w:p>
        <w:p w14:paraId="657B9DB3" w14:textId="110A16ED" w:rsidR="00AA012A" w:rsidRPr="00982313" w:rsidRDefault="00B953CB" w:rsidP="00AA012A">
          <w:pPr>
            <w:pStyle w:val="TDC1"/>
            <w:tabs>
              <w:tab w:val="clear" w:pos="7694"/>
              <w:tab w:val="right" w:leader="dot" w:pos="8222"/>
            </w:tabs>
            <w:rPr>
              <w:rFonts w:eastAsiaTheme="minorEastAsia" w:cs="Arial"/>
              <w:bCs/>
              <w:noProof/>
              <w:sz w:val="22"/>
              <w:szCs w:val="22"/>
              <w:lang w:eastAsia="es-MX"/>
            </w:rPr>
          </w:pPr>
          <w:r w:rsidRPr="00982313">
            <w:rPr>
              <w:rFonts w:cs="Arial"/>
              <w:bCs/>
            </w:rPr>
            <w:fldChar w:fldCharType="begin"/>
          </w:r>
          <w:r w:rsidRPr="00982313">
            <w:rPr>
              <w:rFonts w:cs="Arial"/>
              <w:bCs/>
            </w:rPr>
            <w:instrText xml:space="preserve"> TOC \o "1-3" \h \z \u </w:instrText>
          </w:r>
          <w:r w:rsidRPr="00982313">
            <w:rPr>
              <w:rFonts w:cs="Arial"/>
              <w:bCs/>
            </w:rPr>
            <w:fldChar w:fldCharType="separate"/>
          </w:r>
          <w:hyperlink w:anchor="_Toc47391888" w:history="1">
            <w:r w:rsidR="00AA012A" w:rsidRPr="00982313">
              <w:rPr>
                <w:rStyle w:val="Hipervnculo"/>
                <w:rFonts w:cs="Arial"/>
                <w:bCs/>
                <w:noProof/>
                <w:u w:val="none"/>
              </w:rPr>
              <w:t>GLOSARIO</w:t>
            </w:r>
            <w:r w:rsidR="00AA012A" w:rsidRPr="00982313">
              <w:rPr>
                <w:rFonts w:cs="Arial"/>
                <w:bCs/>
                <w:noProof/>
                <w:webHidden/>
              </w:rPr>
              <w:tab/>
            </w:r>
            <w:r w:rsidR="00AA012A" w:rsidRPr="00982313">
              <w:rPr>
                <w:rFonts w:cs="Arial"/>
                <w:bCs/>
                <w:noProof/>
                <w:webHidden/>
              </w:rPr>
              <w:fldChar w:fldCharType="begin"/>
            </w:r>
            <w:r w:rsidR="00AA012A" w:rsidRPr="00982313">
              <w:rPr>
                <w:rFonts w:cs="Arial"/>
                <w:bCs/>
                <w:noProof/>
                <w:webHidden/>
              </w:rPr>
              <w:instrText xml:space="preserve"> PAGEREF _Toc47391888 \h </w:instrText>
            </w:r>
            <w:r w:rsidR="00AA012A" w:rsidRPr="00982313">
              <w:rPr>
                <w:rFonts w:cs="Arial"/>
                <w:bCs/>
                <w:noProof/>
                <w:webHidden/>
              </w:rPr>
            </w:r>
            <w:r w:rsidR="00AA012A" w:rsidRPr="00982313">
              <w:rPr>
                <w:rFonts w:cs="Arial"/>
                <w:bCs/>
                <w:noProof/>
                <w:webHidden/>
              </w:rPr>
              <w:fldChar w:fldCharType="separate"/>
            </w:r>
            <w:r w:rsidR="00071A9C">
              <w:rPr>
                <w:rFonts w:cs="Arial"/>
                <w:bCs/>
                <w:noProof/>
                <w:webHidden/>
              </w:rPr>
              <w:t>1</w:t>
            </w:r>
            <w:r w:rsidR="00AA012A" w:rsidRPr="00982313">
              <w:rPr>
                <w:rFonts w:cs="Arial"/>
                <w:bCs/>
                <w:noProof/>
                <w:webHidden/>
              </w:rPr>
              <w:fldChar w:fldCharType="end"/>
            </w:r>
          </w:hyperlink>
        </w:p>
        <w:p w14:paraId="525DD20A" w14:textId="36F8D08A" w:rsidR="00AA012A" w:rsidRPr="00982313" w:rsidRDefault="00E867DD" w:rsidP="00AA012A">
          <w:pPr>
            <w:pStyle w:val="TDC1"/>
            <w:tabs>
              <w:tab w:val="clear" w:pos="7694"/>
              <w:tab w:val="right" w:leader="dot" w:pos="8222"/>
            </w:tabs>
            <w:rPr>
              <w:rFonts w:eastAsiaTheme="minorEastAsia" w:cs="Arial"/>
              <w:bCs/>
              <w:noProof/>
              <w:sz w:val="22"/>
              <w:szCs w:val="22"/>
              <w:lang w:eastAsia="es-MX"/>
            </w:rPr>
          </w:pPr>
          <w:hyperlink w:anchor="_Toc47391889" w:history="1">
            <w:r w:rsidR="00AA012A" w:rsidRPr="00982313">
              <w:rPr>
                <w:rStyle w:val="Hipervnculo"/>
                <w:rFonts w:eastAsia="Times New Roman" w:cs="Arial"/>
                <w:bCs/>
                <w:noProof/>
                <w:u w:val="none"/>
                <w:lang w:eastAsia="es-MX"/>
              </w:rPr>
              <w:t>ANTECEDENTES</w:t>
            </w:r>
            <w:r w:rsidR="00AA012A" w:rsidRPr="00982313">
              <w:rPr>
                <w:rFonts w:cs="Arial"/>
                <w:bCs/>
                <w:noProof/>
                <w:webHidden/>
              </w:rPr>
              <w:tab/>
            </w:r>
            <w:r w:rsidR="00AA012A" w:rsidRPr="00982313">
              <w:rPr>
                <w:rFonts w:cs="Arial"/>
                <w:bCs/>
                <w:noProof/>
                <w:webHidden/>
              </w:rPr>
              <w:fldChar w:fldCharType="begin"/>
            </w:r>
            <w:r w:rsidR="00AA012A" w:rsidRPr="00982313">
              <w:rPr>
                <w:rFonts w:cs="Arial"/>
                <w:bCs/>
                <w:noProof/>
                <w:webHidden/>
              </w:rPr>
              <w:instrText xml:space="preserve"> PAGEREF _Toc47391889 \h </w:instrText>
            </w:r>
            <w:r w:rsidR="00AA012A" w:rsidRPr="00982313">
              <w:rPr>
                <w:rFonts w:cs="Arial"/>
                <w:bCs/>
                <w:noProof/>
                <w:webHidden/>
              </w:rPr>
            </w:r>
            <w:r w:rsidR="00AA012A" w:rsidRPr="00982313">
              <w:rPr>
                <w:rFonts w:cs="Arial"/>
                <w:bCs/>
                <w:noProof/>
                <w:webHidden/>
              </w:rPr>
              <w:fldChar w:fldCharType="separate"/>
            </w:r>
            <w:r w:rsidR="00071A9C">
              <w:rPr>
                <w:rFonts w:cs="Arial"/>
                <w:bCs/>
                <w:noProof/>
                <w:webHidden/>
              </w:rPr>
              <w:t>1</w:t>
            </w:r>
            <w:r w:rsidR="00AA012A" w:rsidRPr="00982313">
              <w:rPr>
                <w:rFonts w:cs="Arial"/>
                <w:bCs/>
                <w:noProof/>
                <w:webHidden/>
              </w:rPr>
              <w:fldChar w:fldCharType="end"/>
            </w:r>
          </w:hyperlink>
        </w:p>
        <w:p w14:paraId="744FA6B1" w14:textId="27D83C94" w:rsidR="00AA012A" w:rsidRPr="00982313" w:rsidRDefault="00E867DD" w:rsidP="00AA012A">
          <w:pPr>
            <w:pStyle w:val="TDC1"/>
            <w:tabs>
              <w:tab w:val="clear" w:pos="7694"/>
              <w:tab w:val="right" w:leader="dot" w:pos="8222"/>
            </w:tabs>
            <w:rPr>
              <w:rFonts w:eastAsiaTheme="minorEastAsia" w:cs="Arial"/>
              <w:bCs/>
              <w:noProof/>
              <w:sz w:val="22"/>
              <w:szCs w:val="22"/>
              <w:lang w:eastAsia="es-MX"/>
            </w:rPr>
          </w:pPr>
          <w:hyperlink w:anchor="_Toc47391890" w:history="1">
            <w:r w:rsidR="00AA012A" w:rsidRPr="00982313">
              <w:rPr>
                <w:rStyle w:val="Hipervnculo"/>
                <w:rFonts w:eastAsia="Times New Roman" w:cs="Arial"/>
                <w:bCs/>
                <w:noProof/>
                <w:u w:val="none"/>
                <w:lang w:eastAsia="es-MX"/>
              </w:rPr>
              <w:t>COMPETENCIA</w:t>
            </w:r>
            <w:r w:rsidR="00AA012A" w:rsidRPr="00982313">
              <w:rPr>
                <w:rFonts w:cs="Arial"/>
                <w:bCs/>
                <w:noProof/>
                <w:webHidden/>
              </w:rPr>
              <w:tab/>
            </w:r>
            <w:r w:rsidR="00AA012A" w:rsidRPr="00982313">
              <w:rPr>
                <w:rFonts w:cs="Arial"/>
                <w:bCs/>
                <w:noProof/>
                <w:webHidden/>
              </w:rPr>
              <w:fldChar w:fldCharType="begin"/>
            </w:r>
            <w:r w:rsidR="00AA012A" w:rsidRPr="00982313">
              <w:rPr>
                <w:rFonts w:cs="Arial"/>
                <w:bCs/>
                <w:noProof/>
                <w:webHidden/>
              </w:rPr>
              <w:instrText xml:space="preserve"> PAGEREF _Toc47391890 \h </w:instrText>
            </w:r>
            <w:r w:rsidR="00AA012A" w:rsidRPr="00982313">
              <w:rPr>
                <w:rFonts w:cs="Arial"/>
                <w:bCs/>
                <w:noProof/>
                <w:webHidden/>
              </w:rPr>
            </w:r>
            <w:r w:rsidR="00AA012A" w:rsidRPr="00982313">
              <w:rPr>
                <w:rFonts w:cs="Arial"/>
                <w:bCs/>
                <w:noProof/>
                <w:webHidden/>
              </w:rPr>
              <w:fldChar w:fldCharType="separate"/>
            </w:r>
            <w:r w:rsidR="00071A9C">
              <w:rPr>
                <w:rFonts w:cs="Arial"/>
                <w:bCs/>
                <w:noProof/>
                <w:webHidden/>
              </w:rPr>
              <w:t>2</w:t>
            </w:r>
            <w:r w:rsidR="00AA012A" w:rsidRPr="00982313">
              <w:rPr>
                <w:rFonts w:cs="Arial"/>
                <w:bCs/>
                <w:noProof/>
                <w:webHidden/>
              </w:rPr>
              <w:fldChar w:fldCharType="end"/>
            </w:r>
          </w:hyperlink>
        </w:p>
        <w:p w14:paraId="2EBAC512" w14:textId="1A6C5AD8" w:rsidR="00AA012A" w:rsidRPr="00982313" w:rsidRDefault="00E867DD" w:rsidP="00AA012A">
          <w:pPr>
            <w:pStyle w:val="TDC1"/>
            <w:tabs>
              <w:tab w:val="clear" w:pos="7694"/>
              <w:tab w:val="right" w:leader="dot" w:pos="8222"/>
            </w:tabs>
            <w:rPr>
              <w:rFonts w:eastAsiaTheme="minorEastAsia" w:cs="Arial"/>
              <w:bCs/>
              <w:noProof/>
              <w:sz w:val="22"/>
              <w:szCs w:val="22"/>
              <w:lang w:eastAsia="es-MX"/>
            </w:rPr>
          </w:pPr>
          <w:hyperlink w:anchor="_Toc47391891" w:history="1">
            <w:r w:rsidR="00AA012A" w:rsidRPr="00982313">
              <w:rPr>
                <w:rStyle w:val="Hipervnculo"/>
                <w:rFonts w:eastAsia="Times New Roman" w:cs="Arial"/>
                <w:bCs/>
                <w:noProof/>
                <w:u w:val="none"/>
                <w:lang w:eastAsia="es-MX"/>
              </w:rPr>
              <w:t>URGENCIA DE RESOLVER</w:t>
            </w:r>
            <w:r w:rsidR="00AA012A" w:rsidRPr="00982313">
              <w:rPr>
                <w:rFonts w:cs="Arial"/>
                <w:bCs/>
                <w:noProof/>
                <w:webHidden/>
              </w:rPr>
              <w:tab/>
            </w:r>
            <w:r w:rsidR="00AA012A" w:rsidRPr="00982313">
              <w:rPr>
                <w:rFonts w:cs="Arial"/>
                <w:bCs/>
                <w:noProof/>
                <w:webHidden/>
              </w:rPr>
              <w:fldChar w:fldCharType="begin"/>
            </w:r>
            <w:r w:rsidR="00AA012A" w:rsidRPr="00982313">
              <w:rPr>
                <w:rFonts w:cs="Arial"/>
                <w:bCs/>
                <w:noProof/>
                <w:webHidden/>
              </w:rPr>
              <w:instrText xml:space="preserve"> PAGEREF _Toc47391891 \h </w:instrText>
            </w:r>
            <w:r w:rsidR="00AA012A" w:rsidRPr="00982313">
              <w:rPr>
                <w:rFonts w:cs="Arial"/>
                <w:bCs/>
                <w:noProof/>
                <w:webHidden/>
              </w:rPr>
            </w:r>
            <w:r w:rsidR="00AA012A" w:rsidRPr="00982313">
              <w:rPr>
                <w:rFonts w:cs="Arial"/>
                <w:bCs/>
                <w:noProof/>
                <w:webHidden/>
              </w:rPr>
              <w:fldChar w:fldCharType="separate"/>
            </w:r>
            <w:r w:rsidR="00071A9C">
              <w:rPr>
                <w:rFonts w:cs="Arial"/>
                <w:bCs/>
                <w:noProof/>
                <w:webHidden/>
              </w:rPr>
              <w:t>3</w:t>
            </w:r>
            <w:r w:rsidR="00AA012A" w:rsidRPr="00982313">
              <w:rPr>
                <w:rFonts w:cs="Arial"/>
                <w:bCs/>
                <w:noProof/>
                <w:webHidden/>
              </w:rPr>
              <w:fldChar w:fldCharType="end"/>
            </w:r>
          </w:hyperlink>
        </w:p>
        <w:p w14:paraId="4E270540" w14:textId="01C83640" w:rsidR="00AA012A" w:rsidRPr="00982313" w:rsidRDefault="00E867DD" w:rsidP="00AA012A">
          <w:pPr>
            <w:pStyle w:val="TDC1"/>
            <w:tabs>
              <w:tab w:val="clear" w:pos="7694"/>
              <w:tab w:val="right" w:leader="dot" w:pos="8222"/>
            </w:tabs>
            <w:rPr>
              <w:rFonts w:eastAsiaTheme="minorEastAsia" w:cs="Arial"/>
              <w:bCs/>
              <w:noProof/>
              <w:sz w:val="22"/>
              <w:szCs w:val="22"/>
              <w:lang w:eastAsia="es-MX"/>
            </w:rPr>
          </w:pPr>
          <w:hyperlink w:anchor="_Toc47391892" w:history="1">
            <w:r w:rsidR="00AA012A" w:rsidRPr="00982313">
              <w:rPr>
                <w:rStyle w:val="Hipervnculo"/>
                <w:rFonts w:eastAsia="Times New Roman" w:cs="Arial"/>
                <w:bCs/>
                <w:noProof/>
                <w:u w:val="none"/>
                <w:lang w:val="es-ES_tradnl" w:eastAsia="es-MX"/>
              </w:rPr>
              <w:t>IMPROCEDENCIA</w:t>
            </w:r>
            <w:r w:rsidR="00AA012A" w:rsidRPr="00982313">
              <w:rPr>
                <w:rFonts w:cs="Arial"/>
                <w:bCs/>
                <w:noProof/>
                <w:webHidden/>
              </w:rPr>
              <w:tab/>
            </w:r>
            <w:r w:rsidR="00AA012A" w:rsidRPr="00982313">
              <w:rPr>
                <w:rFonts w:cs="Arial"/>
                <w:bCs/>
                <w:noProof/>
                <w:webHidden/>
              </w:rPr>
              <w:fldChar w:fldCharType="begin"/>
            </w:r>
            <w:r w:rsidR="00AA012A" w:rsidRPr="00982313">
              <w:rPr>
                <w:rFonts w:cs="Arial"/>
                <w:bCs/>
                <w:noProof/>
                <w:webHidden/>
              </w:rPr>
              <w:instrText xml:space="preserve"> PAGEREF _Toc47391892 \h </w:instrText>
            </w:r>
            <w:r w:rsidR="00AA012A" w:rsidRPr="00982313">
              <w:rPr>
                <w:rFonts w:cs="Arial"/>
                <w:bCs/>
                <w:noProof/>
                <w:webHidden/>
              </w:rPr>
            </w:r>
            <w:r w:rsidR="00AA012A" w:rsidRPr="00982313">
              <w:rPr>
                <w:rFonts w:cs="Arial"/>
                <w:bCs/>
                <w:noProof/>
                <w:webHidden/>
              </w:rPr>
              <w:fldChar w:fldCharType="separate"/>
            </w:r>
            <w:r w:rsidR="00071A9C">
              <w:rPr>
                <w:rFonts w:cs="Arial"/>
                <w:bCs/>
                <w:noProof/>
                <w:webHidden/>
              </w:rPr>
              <w:t>4</w:t>
            </w:r>
            <w:r w:rsidR="00AA012A" w:rsidRPr="00982313">
              <w:rPr>
                <w:rFonts w:cs="Arial"/>
                <w:bCs/>
                <w:noProof/>
                <w:webHidden/>
              </w:rPr>
              <w:fldChar w:fldCharType="end"/>
            </w:r>
          </w:hyperlink>
        </w:p>
        <w:p w14:paraId="4A014D8E" w14:textId="14938ABF" w:rsidR="00AA012A" w:rsidRPr="00982313" w:rsidRDefault="00E867DD" w:rsidP="00AA012A">
          <w:pPr>
            <w:pStyle w:val="TDC1"/>
            <w:tabs>
              <w:tab w:val="clear" w:pos="7694"/>
              <w:tab w:val="right" w:leader="dot" w:pos="8222"/>
            </w:tabs>
            <w:rPr>
              <w:rFonts w:eastAsiaTheme="minorEastAsia" w:cs="Arial"/>
              <w:bCs/>
              <w:noProof/>
              <w:sz w:val="22"/>
              <w:szCs w:val="22"/>
              <w:lang w:eastAsia="es-MX"/>
            </w:rPr>
          </w:pPr>
          <w:hyperlink w:anchor="_Toc47391893" w:history="1">
            <w:r w:rsidR="00AA012A" w:rsidRPr="00982313">
              <w:rPr>
                <w:rStyle w:val="Hipervnculo"/>
                <w:rFonts w:eastAsia="Times New Roman" w:cs="Arial"/>
                <w:bCs/>
                <w:noProof/>
                <w:u w:val="none"/>
                <w:lang w:val="es-ES_tradnl" w:eastAsia="es-MX"/>
              </w:rPr>
              <w:t>1. Decisión</w:t>
            </w:r>
            <w:r w:rsidR="00AA012A" w:rsidRPr="00982313">
              <w:rPr>
                <w:rFonts w:cs="Arial"/>
                <w:bCs/>
                <w:noProof/>
                <w:webHidden/>
              </w:rPr>
              <w:tab/>
            </w:r>
            <w:r w:rsidR="00AA012A" w:rsidRPr="00982313">
              <w:rPr>
                <w:rFonts w:cs="Arial"/>
                <w:bCs/>
                <w:noProof/>
                <w:webHidden/>
              </w:rPr>
              <w:fldChar w:fldCharType="begin"/>
            </w:r>
            <w:r w:rsidR="00AA012A" w:rsidRPr="00982313">
              <w:rPr>
                <w:rFonts w:cs="Arial"/>
                <w:bCs/>
                <w:noProof/>
                <w:webHidden/>
              </w:rPr>
              <w:instrText xml:space="preserve"> PAGEREF _Toc47391893 \h </w:instrText>
            </w:r>
            <w:r w:rsidR="00AA012A" w:rsidRPr="00982313">
              <w:rPr>
                <w:rFonts w:cs="Arial"/>
                <w:bCs/>
                <w:noProof/>
                <w:webHidden/>
              </w:rPr>
            </w:r>
            <w:r w:rsidR="00AA012A" w:rsidRPr="00982313">
              <w:rPr>
                <w:rFonts w:cs="Arial"/>
                <w:bCs/>
                <w:noProof/>
                <w:webHidden/>
              </w:rPr>
              <w:fldChar w:fldCharType="separate"/>
            </w:r>
            <w:r w:rsidR="00071A9C">
              <w:rPr>
                <w:rFonts w:cs="Arial"/>
                <w:bCs/>
                <w:noProof/>
                <w:webHidden/>
              </w:rPr>
              <w:t>4</w:t>
            </w:r>
            <w:r w:rsidR="00AA012A" w:rsidRPr="00982313">
              <w:rPr>
                <w:rFonts w:cs="Arial"/>
                <w:bCs/>
                <w:noProof/>
                <w:webHidden/>
              </w:rPr>
              <w:fldChar w:fldCharType="end"/>
            </w:r>
          </w:hyperlink>
        </w:p>
        <w:p w14:paraId="2F090A3E" w14:textId="45B60B3C" w:rsidR="00AA012A" w:rsidRPr="00982313" w:rsidRDefault="00E867DD" w:rsidP="00AA012A">
          <w:pPr>
            <w:pStyle w:val="TDC1"/>
            <w:tabs>
              <w:tab w:val="clear" w:pos="7694"/>
              <w:tab w:val="right" w:leader="dot" w:pos="8222"/>
            </w:tabs>
            <w:rPr>
              <w:rFonts w:eastAsiaTheme="minorEastAsia" w:cs="Arial"/>
              <w:bCs/>
              <w:noProof/>
              <w:sz w:val="22"/>
              <w:szCs w:val="22"/>
              <w:lang w:eastAsia="es-MX"/>
            </w:rPr>
          </w:pPr>
          <w:hyperlink w:anchor="_Toc47391894" w:history="1">
            <w:r w:rsidR="00AA012A" w:rsidRPr="00982313">
              <w:rPr>
                <w:rStyle w:val="Hipervnculo"/>
                <w:rFonts w:eastAsia="Times New Roman" w:cs="Arial"/>
                <w:bCs/>
                <w:noProof/>
                <w:u w:val="none"/>
                <w:lang w:val="es-ES_tradnl" w:eastAsia="es-MX"/>
              </w:rPr>
              <w:t>2. Justificación</w:t>
            </w:r>
            <w:r w:rsidR="00AA012A" w:rsidRPr="00982313">
              <w:rPr>
                <w:rFonts w:cs="Arial"/>
                <w:bCs/>
                <w:noProof/>
                <w:webHidden/>
              </w:rPr>
              <w:tab/>
            </w:r>
            <w:r w:rsidR="00AA012A" w:rsidRPr="00982313">
              <w:rPr>
                <w:rFonts w:cs="Arial"/>
                <w:bCs/>
                <w:noProof/>
                <w:webHidden/>
              </w:rPr>
              <w:fldChar w:fldCharType="begin"/>
            </w:r>
            <w:r w:rsidR="00AA012A" w:rsidRPr="00982313">
              <w:rPr>
                <w:rFonts w:cs="Arial"/>
                <w:bCs/>
                <w:noProof/>
                <w:webHidden/>
              </w:rPr>
              <w:instrText xml:space="preserve"> PAGEREF _Toc47391894 \h </w:instrText>
            </w:r>
            <w:r w:rsidR="00AA012A" w:rsidRPr="00982313">
              <w:rPr>
                <w:rFonts w:cs="Arial"/>
                <w:bCs/>
                <w:noProof/>
                <w:webHidden/>
              </w:rPr>
            </w:r>
            <w:r w:rsidR="00AA012A" w:rsidRPr="00982313">
              <w:rPr>
                <w:rFonts w:cs="Arial"/>
                <w:bCs/>
                <w:noProof/>
                <w:webHidden/>
              </w:rPr>
              <w:fldChar w:fldCharType="separate"/>
            </w:r>
            <w:r w:rsidR="00071A9C">
              <w:rPr>
                <w:rFonts w:cs="Arial"/>
                <w:bCs/>
                <w:noProof/>
                <w:webHidden/>
              </w:rPr>
              <w:t>4</w:t>
            </w:r>
            <w:r w:rsidR="00AA012A" w:rsidRPr="00982313">
              <w:rPr>
                <w:rFonts w:cs="Arial"/>
                <w:bCs/>
                <w:noProof/>
                <w:webHidden/>
              </w:rPr>
              <w:fldChar w:fldCharType="end"/>
            </w:r>
          </w:hyperlink>
        </w:p>
        <w:p w14:paraId="08DAB535" w14:textId="0147A78D" w:rsidR="00AA012A" w:rsidRPr="00982313" w:rsidRDefault="00E867DD" w:rsidP="00AA012A">
          <w:pPr>
            <w:pStyle w:val="TDC1"/>
            <w:tabs>
              <w:tab w:val="clear" w:pos="7694"/>
              <w:tab w:val="right" w:leader="dot" w:pos="8222"/>
            </w:tabs>
            <w:rPr>
              <w:rFonts w:eastAsiaTheme="minorEastAsia" w:cs="Arial"/>
              <w:bCs/>
              <w:noProof/>
              <w:sz w:val="22"/>
              <w:szCs w:val="22"/>
              <w:lang w:eastAsia="es-MX"/>
            </w:rPr>
          </w:pPr>
          <w:hyperlink w:anchor="_Toc47391895" w:history="1">
            <w:r w:rsidR="00AA012A" w:rsidRPr="00982313">
              <w:rPr>
                <w:rStyle w:val="Hipervnculo"/>
                <w:rFonts w:eastAsia="Times New Roman" w:cs="Arial"/>
                <w:bCs/>
                <w:noProof/>
                <w:u w:val="none"/>
                <w:lang w:val="es-ES_tradnl" w:eastAsia="es-MX"/>
              </w:rPr>
              <w:t>3. Conclusión</w:t>
            </w:r>
            <w:r w:rsidR="00AA012A" w:rsidRPr="00982313">
              <w:rPr>
                <w:rFonts w:cs="Arial"/>
                <w:bCs/>
                <w:noProof/>
                <w:webHidden/>
              </w:rPr>
              <w:tab/>
            </w:r>
            <w:r w:rsidR="00AA012A" w:rsidRPr="00982313">
              <w:rPr>
                <w:rFonts w:cs="Arial"/>
                <w:bCs/>
                <w:noProof/>
                <w:webHidden/>
              </w:rPr>
              <w:fldChar w:fldCharType="begin"/>
            </w:r>
            <w:r w:rsidR="00AA012A" w:rsidRPr="00982313">
              <w:rPr>
                <w:rFonts w:cs="Arial"/>
                <w:bCs/>
                <w:noProof/>
                <w:webHidden/>
              </w:rPr>
              <w:instrText xml:space="preserve"> PAGEREF _Toc47391895 \h </w:instrText>
            </w:r>
            <w:r w:rsidR="00AA012A" w:rsidRPr="00982313">
              <w:rPr>
                <w:rFonts w:cs="Arial"/>
                <w:bCs/>
                <w:noProof/>
                <w:webHidden/>
              </w:rPr>
            </w:r>
            <w:r w:rsidR="00AA012A" w:rsidRPr="00982313">
              <w:rPr>
                <w:rFonts w:cs="Arial"/>
                <w:bCs/>
                <w:noProof/>
                <w:webHidden/>
              </w:rPr>
              <w:fldChar w:fldCharType="separate"/>
            </w:r>
            <w:r w:rsidR="00071A9C">
              <w:rPr>
                <w:rFonts w:cs="Arial"/>
                <w:bCs/>
                <w:noProof/>
                <w:webHidden/>
              </w:rPr>
              <w:t>8</w:t>
            </w:r>
            <w:r w:rsidR="00AA012A" w:rsidRPr="00982313">
              <w:rPr>
                <w:rFonts w:cs="Arial"/>
                <w:bCs/>
                <w:noProof/>
                <w:webHidden/>
              </w:rPr>
              <w:fldChar w:fldCharType="end"/>
            </w:r>
          </w:hyperlink>
        </w:p>
        <w:p w14:paraId="49666D13" w14:textId="71D201BF" w:rsidR="00AA012A" w:rsidRPr="00982313" w:rsidRDefault="00E867DD" w:rsidP="00AA012A">
          <w:pPr>
            <w:pStyle w:val="TDC1"/>
            <w:tabs>
              <w:tab w:val="clear" w:pos="7694"/>
              <w:tab w:val="right" w:leader="dot" w:pos="8222"/>
            </w:tabs>
            <w:rPr>
              <w:rFonts w:eastAsiaTheme="minorEastAsia" w:cs="Arial"/>
              <w:bCs/>
              <w:noProof/>
              <w:sz w:val="22"/>
              <w:szCs w:val="22"/>
              <w:lang w:eastAsia="es-MX"/>
            </w:rPr>
          </w:pPr>
          <w:hyperlink w:anchor="_Toc47391896" w:history="1">
            <w:r w:rsidR="00AA012A" w:rsidRPr="00982313">
              <w:rPr>
                <w:rStyle w:val="Hipervnculo"/>
                <w:rFonts w:eastAsia="Times New Roman" w:cs="Arial"/>
                <w:bCs/>
                <w:noProof/>
                <w:u w:val="none"/>
                <w:lang w:eastAsia="es-MX"/>
              </w:rPr>
              <w:t>RESUELVE</w:t>
            </w:r>
            <w:r w:rsidR="00AA012A" w:rsidRPr="00982313">
              <w:rPr>
                <w:rFonts w:cs="Arial"/>
                <w:bCs/>
                <w:noProof/>
                <w:webHidden/>
              </w:rPr>
              <w:tab/>
            </w:r>
            <w:r w:rsidR="00AA012A" w:rsidRPr="00982313">
              <w:rPr>
                <w:rFonts w:cs="Arial"/>
                <w:bCs/>
                <w:noProof/>
                <w:webHidden/>
              </w:rPr>
              <w:fldChar w:fldCharType="begin"/>
            </w:r>
            <w:r w:rsidR="00AA012A" w:rsidRPr="00982313">
              <w:rPr>
                <w:rFonts w:cs="Arial"/>
                <w:bCs/>
                <w:noProof/>
                <w:webHidden/>
              </w:rPr>
              <w:instrText xml:space="preserve"> PAGEREF _Toc47391896 \h </w:instrText>
            </w:r>
            <w:r w:rsidR="00AA012A" w:rsidRPr="00982313">
              <w:rPr>
                <w:rFonts w:cs="Arial"/>
                <w:bCs/>
                <w:noProof/>
                <w:webHidden/>
              </w:rPr>
            </w:r>
            <w:r w:rsidR="00AA012A" w:rsidRPr="00982313">
              <w:rPr>
                <w:rFonts w:cs="Arial"/>
                <w:bCs/>
                <w:noProof/>
                <w:webHidden/>
              </w:rPr>
              <w:fldChar w:fldCharType="separate"/>
            </w:r>
            <w:r w:rsidR="00071A9C">
              <w:rPr>
                <w:rFonts w:cs="Arial"/>
                <w:bCs/>
                <w:noProof/>
                <w:webHidden/>
              </w:rPr>
              <w:t>8</w:t>
            </w:r>
            <w:r w:rsidR="00AA012A" w:rsidRPr="00982313">
              <w:rPr>
                <w:rFonts w:cs="Arial"/>
                <w:bCs/>
                <w:noProof/>
                <w:webHidden/>
              </w:rPr>
              <w:fldChar w:fldCharType="end"/>
            </w:r>
          </w:hyperlink>
        </w:p>
        <w:p w14:paraId="5C2E88AD" w14:textId="79733BEE" w:rsidR="00B953CB" w:rsidRPr="00982313" w:rsidRDefault="00B953CB" w:rsidP="00AA012A">
          <w:pPr>
            <w:pStyle w:val="TDC1"/>
            <w:tabs>
              <w:tab w:val="clear" w:pos="7694"/>
              <w:tab w:val="right" w:leader="dot" w:pos="8222"/>
            </w:tabs>
            <w:rPr>
              <w:rFonts w:cs="Arial"/>
              <w:bCs/>
            </w:rPr>
          </w:pPr>
          <w:r w:rsidRPr="00982313">
            <w:rPr>
              <w:rFonts w:cs="Arial"/>
              <w:bCs/>
              <w:lang w:val="es-ES"/>
            </w:rPr>
            <w:fldChar w:fldCharType="end"/>
          </w:r>
        </w:p>
      </w:sdtContent>
    </w:sdt>
    <w:p w14:paraId="003E32E3" w14:textId="77777777" w:rsidR="00B953CB" w:rsidRPr="00982313" w:rsidRDefault="00B953CB" w:rsidP="00F30331">
      <w:pPr>
        <w:pStyle w:val="Ttulo1"/>
        <w:spacing w:before="0"/>
        <w:jc w:val="center"/>
        <w:rPr>
          <w:rFonts w:ascii="Arial" w:hAnsi="Arial" w:cs="Arial"/>
          <w:b/>
          <w:color w:val="auto"/>
          <w:sz w:val="24"/>
          <w:szCs w:val="24"/>
        </w:rPr>
      </w:pPr>
      <w:bookmarkStart w:id="4" w:name="_Toc47391888"/>
      <w:r w:rsidRPr="00982313">
        <w:rPr>
          <w:rFonts w:ascii="Arial" w:hAnsi="Arial" w:cs="Arial"/>
          <w:b/>
          <w:color w:val="auto"/>
          <w:sz w:val="24"/>
          <w:szCs w:val="24"/>
        </w:rPr>
        <w:t>GLOSARIO</w:t>
      </w:r>
      <w:bookmarkEnd w:id="4"/>
    </w:p>
    <w:tbl>
      <w:tblPr>
        <w:tblW w:w="7513" w:type="dxa"/>
        <w:jc w:val="center"/>
        <w:tblLook w:val="01E0" w:firstRow="1" w:lastRow="1" w:firstColumn="1" w:lastColumn="1" w:noHBand="0" w:noVBand="0"/>
      </w:tblPr>
      <w:tblGrid>
        <w:gridCol w:w="1843"/>
        <w:gridCol w:w="5670"/>
      </w:tblGrid>
      <w:tr w:rsidR="00507EF2" w:rsidRPr="00982313" w14:paraId="2257174B" w14:textId="77777777" w:rsidTr="00B772D6">
        <w:trPr>
          <w:trHeight w:val="284"/>
          <w:jc w:val="center"/>
        </w:trPr>
        <w:tc>
          <w:tcPr>
            <w:tcW w:w="1843" w:type="dxa"/>
            <w:shd w:val="clear" w:color="auto" w:fill="auto"/>
            <w:vAlign w:val="center"/>
          </w:tcPr>
          <w:p w14:paraId="7B3B2016" w14:textId="6CAEA415" w:rsidR="00507EF2" w:rsidRPr="00982313" w:rsidRDefault="007641DB" w:rsidP="00266141">
            <w:pPr>
              <w:ind w:left="-108"/>
              <w:jc w:val="both"/>
              <w:rPr>
                <w:rFonts w:cs="Arial"/>
                <w:b/>
                <w:sz w:val="18"/>
                <w:szCs w:val="18"/>
              </w:rPr>
            </w:pPr>
            <w:bookmarkStart w:id="5" w:name="_Hlk47374913"/>
            <w:r w:rsidRPr="00982313">
              <w:rPr>
                <w:rFonts w:cs="Arial"/>
                <w:b/>
                <w:sz w:val="18"/>
                <w:szCs w:val="18"/>
              </w:rPr>
              <w:t>Actora</w:t>
            </w:r>
            <w:r w:rsidR="00507EF2" w:rsidRPr="00982313">
              <w:rPr>
                <w:rFonts w:cs="Arial"/>
                <w:b/>
                <w:sz w:val="18"/>
                <w:szCs w:val="18"/>
              </w:rPr>
              <w:t>:</w:t>
            </w:r>
          </w:p>
        </w:tc>
        <w:tc>
          <w:tcPr>
            <w:tcW w:w="5670" w:type="dxa"/>
            <w:shd w:val="clear" w:color="auto" w:fill="auto"/>
            <w:vAlign w:val="center"/>
          </w:tcPr>
          <w:p w14:paraId="264AE59A" w14:textId="32315EE8" w:rsidR="00507EF2" w:rsidRPr="00982313" w:rsidRDefault="007641DB" w:rsidP="00266141">
            <w:pPr>
              <w:jc w:val="both"/>
              <w:rPr>
                <w:rFonts w:cs="Arial"/>
                <w:sz w:val="18"/>
                <w:szCs w:val="18"/>
                <w:lang w:eastAsia="es-MX"/>
              </w:rPr>
            </w:pPr>
            <w:bookmarkStart w:id="6" w:name="_Hlk47372991"/>
            <w:proofErr w:type="spellStart"/>
            <w:r w:rsidRPr="00982313">
              <w:rPr>
                <w:rFonts w:cs="Arial"/>
                <w:sz w:val="18"/>
                <w:szCs w:val="18"/>
                <w:lang w:eastAsia="es-MX"/>
              </w:rPr>
              <w:t>Kyri</w:t>
            </w:r>
            <w:proofErr w:type="spellEnd"/>
            <w:r w:rsidRPr="00982313">
              <w:rPr>
                <w:rFonts w:cs="Arial"/>
                <w:sz w:val="18"/>
                <w:szCs w:val="18"/>
                <w:lang w:eastAsia="es-MX"/>
              </w:rPr>
              <w:t xml:space="preserve"> Rebeca Vences Solís.</w:t>
            </w:r>
            <w:bookmarkEnd w:id="6"/>
          </w:p>
        </w:tc>
      </w:tr>
      <w:tr w:rsidR="00052106" w:rsidRPr="00982313" w14:paraId="35392158" w14:textId="77777777" w:rsidTr="00B772D6">
        <w:trPr>
          <w:trHeight w:val="284"/>
          <w:jc w:val="center"/>
        </w:trPr>
        <w:tc>
          <w:tcPr>
            <w:tcW w:w="1843" w:type="dxa"/>
            <w:shd w:val="clear" w:color="auto" w:fill="auto"/>
            <w:vAlign w:val="center"/>
          </w:tcPr>
          <w:p w14:paraId="2DA04ADF" w14:textId="4CB981B9" w:rsidR="00052106" w:rsidRPr="00982313" w:rsidRDefault="005E4CEA" w:rsidP="00052106">
            <w:pPr>
              <w:ind w:left="-108"/>
              <w:jc w:val="both"/>
              <w:rPr>
                <w:rFonts w:cs="Arial"/>
                <w:b/>
                <w:sz w:val="18"/>
                <w:szCs w:val="18"/>
              </w:rPr>
            </w:pPr>
            <w:bookmarkStart w:id="7" w:name="_Hlk47389408"/>
            <w:r w:rsidRPr="00982313">
              <w:rPr>
                <w:rFonts w:cs="Arial"/>
                <w:b/>
                <w:sz w:val="18"/>
                <w:szCs w:val="18"/>
              </w:rPr>
              <w:t>CVOPL</w:t>
            </w:r>
            <w:bookmarkEnd w:id="7"/>
            <w:r w:rsidRPr="00982313">
              <w:rPr>
                <w:rFonts w:cs="Arial"/>
                <w:b/>
                <w:sz w:val="18"/>
                <w:szCs w:val="18"/>
              </w:rPr>
              <w:t>:</w:t>
            </w:r>
          </w:p>
        </w:tc>
        <w:tc>
          <w:tcPr>
            <w:tcW w:w="5670" w:type="dxa"/>
            <w:shd w:val="clear" w:color="auto" w:fill="auto"/>
            <w:vAlign w:val="center"/>
          </w:tcPr>
          <w:p w14:paraId="7965108E" w14:textId="65A7753C" w:rsidR="00052106" w:rsidRPr="00982313" w:rsidRDefault="00052106" w:rsidP="00052106">
            <w:pPr>
              <w:jc w:val="both"/>
              <w:rPr>
                <w:rFonts w:cs="Arial"/>
                <w:sz w:val="18"/>
                <w:szCs w:val="18"/>
                <w:lang w:eastAsia="es-MX"/>
              </w:rPr>
            </w:pPr>
            <w:r w:rsidRPr="00982313">
              <w:rPr>
                <w:rFonts w:cs="Arial"/>
                <w:sz w:val="18"/>
                <w:szCs w:val="18"/>
                <w:lang w:eastAsia="es-MX"/>
              </w:rPr>
              <w:t xml:space="preserve">Comisión de </w:t>
            </w:r>
            <w:r w:rsidR="007641DB" w:rsidRPr="00982313">
              <w:rPr>
                <w:rFonts w:cs="Arial"/>
                <w:sz w:val="18"/>
                <w:szCs w:val="18"/>
                <w:lang w:eastAsia="es-MX"/>
              </w:rPr>
              <w:t>Vinculación con los Organismos Públicos Locales</w:t>
            </w:r>
            <w:r w:rsidR="00724580" w:rsidRPr="00982313">
              <w:rPr>
                <w:rFonts w:cs="Arial"/>
                <w:sz w:val="18"/>
                <w:szCs w:val="18"/>
                <w:lang w:eastAsia="es-MX"/>
              </w:rPr>
              <w:t xml:space="preserve"> </w:t>
            </w:r>
            <w:r w:rsidR="007641DB" w:rsidRPr="00982313">
              <w:rPr>
                <w:rFonts w:cs="Arial"/>
                <w:sz w:val="18"/>
                <w:szCs w:val="18"/>
                <w:lang w:eastAsia="es-MX"/>
              </w:rPr>
              <w:t>del Instituto Nacional Electoral.</w:t>
            </w:r>
          </w:p>
        </w:tc>
      </w:tr>
      <w:tr w:rsidR="00052106" w:rsidRPr="00982313" w14:paraId="32A5E41A" w14:textId="77777777" w:rsidTr="00B772D6">
        <w:trPr>
          <w:trHeight w:val="284"/>
          <w:jc w:val="center"/>
        </w:trPr>
        <w:tc>
          <w:tcPr>
            <w:tcW w:w="1843" w:type="dxa"/>
            <w:shd w:val="clear" w:color="auto" w:fill="auto"/>
            <w:vAlign w:val="center"/>
          </w:tcPr>
          <w:p w14:paraId="485BB09E" w14:textId="5616A538" w:rsidR="00052106" w:rsidRPr="00982313" w:rsidRDefault="00052106" w:rsidP="00052106">
            <w:pPr>
              <w:ind w:left="-108"/>
              <w:jc w:val="both"/>
              <w:rPr>
                <w:rFonts w:cs="Arial"/>
                <w:b/>
                <w:sz w:val="18"/>
                <w:szCs w:val="18"/>
              </w:rPr>
            </w:pPr>
            <w:r w:rsidRPr="00982313">
              <w:rPr>
                <w:rFonts w:cs="Arial"/>
                <w:b/>
                <w:sz w:val="18"/>
                <w:szCs w:val="18"/>
              </w:rPr>
              <w:t>CG del INE</w:t>
            </w:r>
            <w:r w:rsidR="004614FE" w:rsidRPr="00982313">
              <w:rPr>
                <w:rFonts w:cs="Arial"/>
                <w:b/>
                <w:sz w:val="18"/>
                <w:szCs w:val="18"/>
              </w:rPr>
              <w:t>:</w:t>
            </w:r>
          </w:p>
        </w:tc>
        <w:tc>
          <w:tcPr>
            <w:tcW w:w="5670" w:type="dxa"/>
            <w:shd w:val="clear" w:color="auto" w:fill="auto"/>
            <w:vAlign w:val="center"/>
          </w:tcPr>
          <w:p w14:paraId="00936C14" w14:textId="60BDED66" w:rsidR="00052106" w:rsidRPr="00982313" w:rsidRDefault="00052106" w:rsidP="00052106">
            <w:pPr>
              <w:jc w:val="both"/>
              <w:rPr>
                <w:rFonts w:cs="Arial"/>
                <w:sz w:val="18"/>
                <w:szCs w:val="18"/>
                <w:lang w:eastAsia="es-MX"/>
              </w:rPr>
            </w:pPr>
            <w:r w:rsidRPr="00982313">
              <w:rPr>
                <w:rFonts w:cs="Arial"/>
                <w:sz w:val="18"/>
                <w:szCs w:val="18"/>
                <w:lang w:eastAsia="es-MX"/>
              </w:rPr>
              <w:t>Consejo General del Instituto Nacional Electoral</w:t>
            </w:r>
            <w:r w:rsidR="007641DB" w:rsidRPr="00982313">
              <w:rPr>
                <w:rFonts w:cs="Arial"/>
                <w:sz w:val="18"/>
                <w:szCs w:val="18"/>
                <w:lang w:eastAsia="es-MX"/>
              </w:rPr>
              <w:t>.</w:t>
            </w:r>
          </w:p>
        </w:tc>
      </w:tr>
      <w:tr w:rsidR="00052106" w:rsidRPr="00982313" w14:paraId="707F5476" w14:textId="77777777" w:rsidTr="00B772D6">
        <w:trPr>
          <w:trHeight w:val="284"/>
          <w:jc w:val="center"/>
        </w:trPr>
        <w:tc>
          <w:tcPr>
            <w:tcW w:w="1843" w:type="dxa"/>
            <w:shd w:val="clear" w:color="auto" w:fill="auto"/>
            <w:vAlign w:val="center"/>
          </w:tcPr>
          <w:p w14:paraId="48C6AD09" w14:textId="77777777" w:rsidR="00052106" w:rsidRPr="00982313" w:rsidRDefault="00052106" w:rsidP="00052106">
            <w:pPr>
              <w:ind w:left="-108"/>
              <w:jc w:val="both"/>
              <w:rPr>
                <w:rFonts w:cs="Arial"/>
                <w:b/>
                <w:sz w:val="18"/>
                <w:szCs w:val="18"/>
              </w:rPr>
            </w:pPr>
            <w:r w:rsidRPr="00982313">
              <w:rPr>
                <w:rFonts w:cs="Arial"/>
                <w:b/>
                <w:sz w:val="18"/>
                <w:szCs w:val="18"/>
              </w:rPr>
              <w:t>INE:</w:t>
            </w:r>
          </w:p>
        </w:tc>
        <w:tc>
          <w:tcPr>
            <w:tcW w:w="5670" w:type="dxa"/>
            <w:shd w:val="clear" w:color="auto" w:fill="auto"/>
            <w:vAlign w:val="center"/>
          </w:tcPr>
          <w:p w14:paraId="08E912B5" w14:textId="14F275D3" w:rsidR="00052106" w:rsidRPr="00982313" w:rsidRDefault="00052106" w:rsidP="00052106">
            <w:pPr>
              <w:jc w:val="both"/>
              <w:rPr>
                <w:rFonts w:cs="Arial"/>
                <w:sz w:val="18"/>
                <w:szCs w:val="18"/>
                <w:lang w:eastAsia="es-MX"/>
              </w:rPr>
            </w:pPr>
            <w:r w:rsidRPr="00982313">
              <w:rPr>
                <w:rFonts w:cs="Arial"/>
                <w:sz w:val="18"/>
                <w:szCs w:val="18"/>
                <w:lang w:eastAsia="es-MX"/>
              </w:rPr>
              <w:t>Instituto Nacional Electoral</w:t>
            </w:r>
          </w:p>
        </w:tc>
      </w:tr>
      <w:tr w:rsidR="00052106" w:rsidRPr="00982313" w14:paraId="0373D4DC" w14:textId="77777777" w:rsidTr="00B772D6">
        <w:trPr>
          <w:trHeight w:val="284"/>
          <w:jc w:val="center"/>
        </w:trPr>
        <w:tc>
          <w:tcPr>
            <w:tcW w:w="1843" w:type="dxa"/>
            <w:shd w:val="clear" w:color="auto" w:fill="auto"/>
            <w:vAlign w:val="center"/>
          </w:tcPr>
          <w:p w14:paraId="7A2180F6" w14:textId="70BB97E1" w:rsidR="00052106" w:rsidRPr="00982313" w:rsidRDefault="00A12F2F" w:rsidP="00052106">
            <w:pPr>
              <w:ind w:left="-108"/>
              <w:jc w:val="both"/>
              <w:rPr>
                <w:rFonts w:cs="Arial"/>
                <w:b/>
                <w:sz w:val="18"/>
                <w:szCs w:val="18"/>
              </w:rPr>
            </w:pPr>
            <w:r w:rsidRPr="00982313">
              <w:rPr>
                <w:rFonts w:cs="Arial"/>
                <w:b/>
                <w:sz w:val="18"/>
                <w:szCs w:val="18"/>
              </w:rPr>
              <w:t>LGIPE</w:t>
            </w:r>
            <w:r w:rsidR="00052106" w:rsidRPr="00982313">
              <w:rPr>
                <w:rFonts w:cs="Arial"/>
                <w:b/>
                <w:sz w:val="18"/>
                <w:szCs w:val="18"/>
              </w:rPr>
              <w:t>:</w:t>
            </w:r>
          </w:p>
        </w:tc>
        <w:tc>
          <w:tcPr>
            <w:tcW w:w="5670" w:type="dxa"/>
            <w:shd w:val="clear" w:color="auto" w:fill="auto"/>
            <w:vAlign w:val="center"/>
          </w:tcPr>
          <w:p w14:paraId="725D618A" w14:textId="722849EC" w:rsidR="00052106" w:rsidRPr="00982313" w:rsidRDefault="00052106" w:rsidP="00052106">
            <w:pPr>
              <w:jc w:val="both"/>
              <w:rPr>
                <w:rFonts w:cs="Arial"/>
                <w:sz w:val="18"/>
                <w:szCs w:val="18"/>
                <w:lang w:eastAsia="es-MX"/>
              </w:rPr>
            </w:pPr>
            <w:r w:rsidRPr="00982313">
              <w:rPr>
                <w:rFonts w:cs="Arial"/>
                <w:sz w:val="18"/>
                <w:szCs w:val="18"/>
                <w:lang w:eastAsia="es-MX"/>
              </w:rPr>
              <w:t>Ley General de Instituciones y Procedimientos Electorales</w:t>
            </w:r>
          </w:p>
        </w:tc>
      </w:tr>
      <w:tr w:rsidR="00052106" w:rsidRPr="00982313" w14:paraId="23435DE7" w14:textId="77777777" w:rsidTr="00B772D6">
        <w:trPr>
          <w:trHeight w:val="284"/>
          <w:jc w:val="center"/>
        </w:trPr>
        <w:tc>
          <w:tcPr>
            <w:tcW w:w="1843" w:type="dxa"/>
            <w:shd w:val="clear" w:color="auto" w:fill="auto"/>
            <w:vAlign w:val="center"/>
          </w:tcPr>
          <w:p w14:paraId="5FD8213C" w14:textId="77777777" w:rsidR="00052106" w:rsidRPr="00982313" w:rsidRDefault="00052106" w:rsidP="00052106">
            <w:pPr>
              <w:ind w:left="-91"/>
              <w:jc w:val="both"/>
              <w:rPr>
                <w:rFonts w:cs="Arial"/>
                <w:b/>
                <w:sz w:val="18"/>
                <w:szCs w:val="18"/>
              </w:rPr>
            </w:pPr>
            <w:r w:rsidRPr="00982313">
              <w:rPr>
                <w:rFonts w:cs="Arial"/>
                <w:b/>
                <w:sz w:val="18"/>
                <w:szCs w:val="18"/>
              </w:rPr>
              <w:t>Ley de Medios:</w:t>
            </w:r>
          </w:p>
        </w:tc>
        <w:tc>
          <w:tcPr>
            <w:tcW w:w="5670" w:type="dxa"/>
            <w:shd w:val="clear" w:color="auto" w:fill="auto"/>
            <w:vAlign w:val="center"/>
          </w:tcPr>
          <w:p w14:paraId="017FEA12" w14:textId="4FE4DED1" w:rsidR="00052106" w:rsidRPr="00982313" w:rsidRDefault="00052106" w:rsidP="00052106">
            <w:pPr>
              <w:jc w:val="both"/>
              <w:rPr>
                <w:rFonts w:cs="Arial"/>
                <w:sz w:val="18"/>
                <w:szCs w:val="18"/>
                <w:lang w:eastAsia="es-MX"/>
              </w:rPr>
            </w:pPr>
            <w:r w:rsidRPr="00982313">
              <w:rPr>
                <w:rFonts w:cs="Arial"/>
                <w:sz w:val="18"/>
                <w:szCs w:val="18"/>
                <w:lang w:eastAsia="es-MX"/>
              </w:rPr>
              <w:t>Ley General del Sistema de Medios de Impugnación en Materia Electoral</w:t>
            </w:r>
          </w:p>
        </w:tc>
      </w:tr>
      <w:tr w:rsidR="00052106" w:rsidRPr="00982313" w14:paraId="5F88546A" w14:textId="77777777" w:rsidTr="00B772D6">
        <w:trPr>
          <w:trHeight w:val="284"/>
          <w:jc w:val="center"/>
        </w:trPr>
        <w:tc>
          <w:tcPr>
            <w:tcW w:w="1843" w:type="dxa"/>
            <w:shd w:val="clear" w:color="auto" w:fill="auto"/>
            <w:vAlign w:val="center"/>
          </w:tcPr>
          <w:p w14:paraId="6A762495" w14:textId="77777777" w:rsidR="00052106" w:rsidRPr="00982313" w:rsidRDefault="00052106" w:rsidP="00052106">
            <w:pPr>
              <w:ind w:left="-91"/>
              <w:jc w:val="both"/>
              <w:rPr>
                <w:rFonts w:cs="Arial"/>
                <w:b/>
                <w:sz w:val="18"/>
                <w:szCs w:val="18"/>
              </w:rPr>
            </w:pPr>
            <w:r w:rsidRPr="00982313">
              <w:rPr>
                <w:rFonts w:cs="Arial"/>
                <w:b/>
                <w:sz w:val="18"/>
                <w:szCs w:val="18"/>
              </w:rPr>
              <w:t>Ley Orgánica:</w:t>
            </w:r>
          </w:p>
        </w:tc>
        <w:tc>
          <w:tcPr>
            <w:tcW w:w="5670" w:type="dxa"/>
            <w:shd w:val="clear" w:color="auto" w:fill="auto"/>
            <w:vAlign w:val="center"/>
          </w:tcPr>
          <w:p w14:paraId="51666047" w14:textId="1A44E7B9" w:rsidR="00052106" w:rsidRPr="00982313" w:rsidRDefault="00052106" w:rsidP="00052106">
            <w:pPr>
              <w:jc w:val="both"/>
              <w:rPr>
                <w:rFonts w:cs="Arial"/>
                <w:sz w:val="18"/>
                <w:szCs w:val="18"/>
                <w:lang w:eastAsia="es-MX"/>
              </w:rPr>
            </w:pPr>
            <w:r w:rsidRPr="00982313">
              <w:rPr>
                <w:rFonts w:cs="Arial"/>
                <w:sz w:val="18"/>
                <w:szCs w:val="18"/>
                <w:lang w:eastAsia="es-MX"/>
              </w:rPr>
              <w:t>Ley Orgánica del Poder Judicial de la Federación</w:t>
            </w:r>
          </w:p>
        </w:tc>
      </w:tr>
      <w:tr w:rsidR="00CD26C0" w:rsidRPr="00982313" w14:paraId="21395608" w14:textId="77777777" w:rsidTr="00B772D6">
        <w:trPr>
          <w:trHeight w:val="284"/>
          <w:jc w:val="center"/>
        </w:trPr>
        <w:tc>
          <w:tcPr>
            <w:tcW w:w="1843" w:type="dxa"/>
            <w:shd w:val="clear" w:color="auto" w:fill="auto"/>
            <w:vAlign w:val="center"/>
          </w:tcPr>
          <w:p w14:paraId="556AFA4C" w14:textId="5E9C842E" w:rsidR="00CD26C0" w:rsidRPr="00982313" w:rsidRDefault="00CD26C0" w:rsidP="00052106">
            <w:pPr>
              <w:ind w:left="-91"/>
              <w:jc w:val="both"/>
              <w:rPr>
                <w:rFonts w:cs="Arial"/>
                <w:b/>
                <w:sz w:val="18"/>
                <w:szCs w:val="18"/>
              </w:rPr>
            </w:pPr>
            <w:r w:rsidRPr="00982313">
              <w:rPr>
                <w:rFonts w:cs="Arial"/>
                <w:b/>
                <w:sz w:val="18"/>
                <w:szCs w:val="18"/>
              </w:rPr>
              <w:t>OPLES:</w:t>
            </w:r>
          </w:p>
        </w:tc>
        <w:tc>
          <w:tcPr>
            <w:tcW w:w="5670" w:type="dxa"/>
            <w:shd w:val="clear" w:color="auto" w:fill="auto"/>
            <w:vAlign w:val="center"/>
          </w:tcPr>
          <w:p w14:paraId="04112807" w14:textId="279C583F" w:rsidR="00CD26C0" w:rsidRPr="00982313" w:rsidRDefault="00CD26C0" w:rsidP="00052106">
            <w:pPr>
              <w:jc w:val="both"/>
              <w:rPr>
                <w:rFonts w:cs="Arial"/>
                <w:sz w:val="18"/>
                <w:szCs w:val="18"/>
                <w:lang w:eastAsia="es-MX"/>
              </w:rPr>
            </w:pPr>
            <w:r w:rsidRPr="00982313">
              <w:rPr>
                <w:rFonts w:cs="Arial"/>
                <w:sz w:val="18"/>
                <w:szCs w:val="18"/>
                <w:lang w:eastAsia="es-MX"/>
              </w:rPr>
              <w:t>Organismos Públicos Locales Electorales.</w:t>
            </w:r>
          </w:p>
        </w:tc>
      </w:tr>
      <w:tr w:rsidR="00052106" w:rsidRPr="00982313" w14:paraId="0EDE64A1" w14:textId="77777777" w:rsidTr="00B772D6">
        <w:trPr>
          <w:trHeight w:val="284"/>
          <w:jc w:val="center"/>
        </w:trPr>
        <w:tc>
          <w:tcPr>
            <w:tcW w:w="1843" w:type="dxa"/>
            <w:shd w:val="clear" w:color="auto" w:fill="auto"/>
            <w:vAlign w:val="center"/>
          </w:tcPr>
          <w:p w14:paraId="777CDB3A" w14:textId="77777777" w:rsidR="00052106" w:rsidRPr="00982313" w:rsidRDefault="00052106" w:rsidP="00052106">
            <w:pPr>
              <w:ind w:left="-91"/>
              <w:jc w:val="both"/>
              <w:rPr>
                <w:rFonts w:cs="Arial"/>
                <w:b/>
                <w:sz w:val="18"/>
                <w:szCs w:val="18"/>
              </w:rPr>
            </w:pPr>
            <w:r w:rsidRPr="00982313">
              <w:rPr>
                <w:rFonts w:cs="Arial"/>
                <w:b/>
                <w:sz w:val="18"/>
                <w:szCs w:val="18"/>
              </w:rPr>
              <w:t>Reglamento Interno:</w:t>
            </w:r>
          </w:p>
        </w:tc>
        <w:tc>
          <w:tcPr>
            <w:tcW w:w="5670" w:type="dxa"/>
            <w:shd w:val="clear" w:color="auto" w:fill="auto"/>
            <w:vAlign w:val="center"/>
          </w:tcPr>
          <w:p w14:paraId="0BF34658" w14:textId="537FEAD4" w:rsidR="00052106" w:rsidRPr="00982313" w:rsidRDefault="00052106" w:rsidP="00052106">
            <w:pPr>
              <w:jc w:val="both"/>
              <w:rPr>
                <w:rFonts w:cs="Arial"/>
                <w:sz w:val="18"/>
                <w:szCs w:val="18"/>
                <w:lang w:eastAsia="es-MX"/>
              </w:rPr>
            </w:pPr>
            <w:r w:rsidRPr="00982313">
              <w:rPr>
                <w:rFonts w:cs="Arial"/>
                <w:sz w:val="18"/>
                <w:szCs w:val="18"/>
                <w:lang w:eastAsia="es-MX"/>
              </w:rPr>
              <w:t>Reglamento Interno del Tribunal Electoral del Poder Judicial de la Federación</w:t>
            </w:r>
          </w:p>
        </w:tc>
      </w:tr>
      <w:tr w:rsidR="00B772D6" w:rsidRPr="00982313" w14:paraId="764E9BCF" w14:textId="77777777" w:rsidTr="00B772D6">
        <w:trPr>
          <w:trHeight w:val="284"/>
          <w:jc w:val="center"/>
        </w:trPr>
        <w:tc>
          <w:tcPr>
            <w:tcW w:w="1843" w:type="dxa"/>
            <w:shd w:val="clear" w:color="auto" w:fill="auto"/>
            <w:vAlign w:val="center"/>
          </w:tcPr>
          <w:p w14:paraId="007298EB" w14:textId="1DD49261" w:rsidR="00B772D6" w:rsidRPr="00982313" w:rsidRDefault="00B772D6" w:rsidP="00052106">
            <w:pPr>
              <w:ind w:left="-91"/>
              <w:jc w:val="both"/>
              <w:rPr>
                <w:rFonts w:cs="Arial"/>
                <w:b/>
                <w:sz w:val="18"/>
                <w:szCs w:val="18"/>
              </w:rPr>
            </w:pPr>
            <w:r w:rsidRPr="00982313">
              <w:rPr>
                <w:rFonts w:cs="Arial"/>
                <w:b/>
                <w:sz w:val="18"/>
                <w:szCs w:val="18"/>
              </w:rPr>
              <w:t>Sala Superior:</w:t>
            </w:r>
          </w:p>
        </w:tc>
        <w:tc>
          <w:tcPr>
            <w:tcW w:w="5670" w:type="dxa"/>
            <w:shd w:val="clear" w:color="auto" w:fill="auto"/>
            <w:vAlign w:val="center"/>
          </w:tcPr>
          <w:p w14:paraId="47612ED6" w14:textId="01AE9C16" w:rsidR="00B772D6" w:rsidRPr="00982313" w:rsidRDefault="00B772D6" w:rsidP="00052106">
            <w:pPr>
              <w:jc w:val="both"/>
              <w:rPr>
                <w:rFonts w:cs="Arial"/>
                <w:sz w:val="18"/>
                <w:szCs w:val="18"/>
                <w:lang w:eastAsia="es-MX"/>
              </w:rPr>
            </w:pPr>
            <w:r w:rsidRPr="00982313">
              <w:rPr>
                <w:rFonts w:cs="Arial"/>
                <w:sz w:val="18"/>
                <w:szCs w:val="18"/>
                <w:lang w:eastAsia="es-MX"/>
              </w:rPr>
              <w:t xml:space="preserve">Sala Superior del Tribunal Electoral del Poder Judicial de la Federación </w:t>
            </w:r>
          </w:p>
        </w:tc>
      </w:tr>
      <w:tr w:rsidR="00D27368" w:rsidRPr="00982313" w14:paraId="7ECAD0BD" w14:textId="77777777" w:rsidTr="00B772D6">
        <w:trPr>
          <w:trHeight w:val="284"/>
          <w:jc w:val="center"/>
        </w:trPr>
        <w:tc>
          <w:tcPr>
            <w:tcW w:w="1843" w:type="dxa"/>
            <w:shd w:val="clear" w:color="auto" w:fill="auto"/>
            <w:vAlign w:val="center"/>
          </w:tcPr>
          <w:p w14:paraId="3AE65714" w14:textId="4591EABA" w:rsidR="00D27368" w:rsidRPr="00982313" w:rsidRDefault="00D27368" w:rsidP="00052106">
            <w:pPr>
              <w:ind w:left="-91"/>
              <w:jc w:val="both"/>
              <w:rPr>
                <w:rFonts w:cs="Arial"/>
                <w:b/>
                <w:sz w:val="18"/>
                <w:szCs w:val="18"/>
              </w:rPr>
            </w:pPr>
            <w:r w:rsidRPr="00982313">
              <w:rPr>
                <w:rFonts w:cs="Arial"/>
                <w:b/>
                <w:sz w:val="18"/>
                <w:szCs w:val="18"/>
              </w:rPr>
              <w:t>Sala Xalapa:</w:t>
            </w:r>
          </w:p>
        </w:tc>
        <w:tc>
          <w:tcPr>
            <w:tcW w:w="5670" w:type="dxa"/>
            <w:shd w:val="clear" w:color="auto" w:fill="auto"/>
            <w:vAlign w:val="center"/>
          </w:tcPr>
          <w:p w14:paraId="31A76B44" w14:textId="5D7D9519" w:rsidR="00D27368" w:rsidRPr="00982313" w:rsidRDefault="00D27368" w:rsidP="00052106">
            <w:pPr>
              <w:jc w:val="both"/>
              <w:rPr>
                <w:rFonts w:cs="Arial"/>
                <w:sz w:val="18"/>
                <w:szCs w:val="18"/>
                <w:lang w:eastAsia="es-MX"/>
              </w:rPr>
            </w:pPr>
            <w:r w:rsidRPr="00982313">
              <w:rPr>
                <w:rFonts w:cs="Arial"/>
                <w:sz w:val="18"/>
                <w:szCs w:val="18"/>
                <w:lang w:eastAsia="es-MX"/>
              </w:rPr>
              <w:t>Sala Regional del Tribunal Electoral del Poder Judicial de la Federación, correspondiente a la Tercera Circunscripción Plurinominal Electoral, con sede en la Xalapa, Veracruz.</w:t>
            </w:r>
          </w:p>
        </w:tc>
      </w:tr>
    </w:tbl>
    <w:p w14:paraId="73F96CAF" w14:textId="2D50B334" w:rsidR="00D41F45" w:rsidRPr="00982313" w:rsidRDefault="00D41F45" w:rsidP="009B1330">
      <w:pPr>
        <w:pStyle w:val="Ttulo1"/>
        <w:keepNext w:val="0"/>
        <w:keepLines w:val="0"/>
        <w:widowControl w:val="0"/>
        <w:spacing w:before="100" w:beforeAutospacing="1" w:after="100" w:afterAutospacing="1" w:line="336" w:lineRule="auto"/>
        <w:jc w:val="center"/>
        <w:rPr>
          <w:rFonts w:ascii="Arial" w:eastAsia="Times New Roman" w:hAnsi="Arial" w:cs="Arial"/>
          <w:b/>
          <w:color w:val="auto"/>
          <w:sz w:val="24"/>
          <w:szCs w:val="24"/>
          <w:lang w:eastAsia="es-MX"/>
        </w:rPr>
      </w:pPr>
      <w:bookmarkStart w:id="8" w:name="_Toc496171373"/>
      <w:bookmarkStart w:id="9" w:name="_Toc47391889"/>
      <w:bookmarkEnd w:id="5"/>
      <w:r w:rsidRPr="00982313">
        <w:rPr>
          <w:rFonts w:ascii="Arial" w:eastAsia="Times New Roman" w:hAnsi="Arial" w:cs="Arial"/>
          <w:b/>
          <w:color w:val="auto"/>
          <w:sz w:val="24"/>
          <w:szCs w:val="24"/>
          <w:lang w:eastAsia="es-MX"/>
        </w:rPr>
        <w:t>ANTECEDENTES</w:t>
      </w:r>
      <w:bookmarkEnd w:id="8"/>
      <w:bookmarkEnd w:id="9"/>
    </w:p>
    <w:p w14:paraId="3F57CDD3" w14:textId="04229DE6" w:rsidR="001C31CA" w:rsidRPr="00982313" w:rsidRDefault="005A17A6" w:rsidP="009B1330">
      <w:pPr>
        <w:pStyle w:val="Normalsentencia"/>
        <w:widowControl w:val="0"/>
        <w:spacing w:before="100" w:beforeAutospacing="1" w:after="100" w:afterAutospacing="1" w:line="336" w:lineRule="auto"/>
        <w:ind w:firstLine="0"/>
        <w:rPr>
          <w:rFonts w:ascii="Arial" w:hAnsi="Arial"/>
          <w:sz w:val="24"/>
          <w:szCs w:val="24"/>
          <w:lang w:val="es-MX"/>
        </w:rPr>
      </w:pPr>
      <w:bookmarkStart w:id="10" w:name="_Hlk47373228"/>
      <w:bookmarkStart w:id="11" w:name="_Hlk26368060"/>
      <w:bookmarkStart w:id="12" w:name="_Toc496171374"/>
      <w:r w:rsidRPr="00982313">
        <w:rPr>
          <w:rFonts w:ascii="Arial" w:hAnsi="Arial"/>
          <w:b/>
          <w:sz w:val="24"/>
          <w:szCs w:val="24"/>
          <w:lang w:val="es-MX"/>
        </w:rPr>
        <w:t>1</w:t>
      </w:r>
      <w:r w:rsidR="001C31CA" w:rsidRPr="00982313">
        <w:rPr>
          <w:rFonts w:ascii="Arial" w:hAnsi="Arial"/>
          <w:b/>
          <w:sz w:val="24"/>
          <w:szCs w:val="24"/>
          <w:lang w:val="es-MX"/>
        </w:rPr>
        <w:t xml:space="preserve">. Convocatoria. </w:t>
      </w:r>
      <w:r w:rsidR="001C31CA" w:rsidRPr="00982313">
        <w:rPr>
          <w:rFonts w:ascii="Arial" w:hAnsi="Arial"/>
          <w:sz w:val="24"/>
          <w:szCs w:val="24"/>
          <w:lang w:val="es-MX"/>
        </w:rPr>
        <w:t>El diecinueve de junio,</w:t>
      </w:r>
      <w:r w:rsidR="001C31CA" w:rsidRPr="00982313">
        <w:rPr>
          <w:rStyle w:val="Refdenotaalpie"/>
          <w:rFonts w:ascii="Arial" w:hAnsi="Arial"/>
          <w:sz w:val="24"/>
          <w:szCs w:val="24"/>
          <w:lang w:val="es-MX"/>
        </w:rPr>
        <w:footnoteReference w:id="2"/>
      </w:r>
      <w:r w:rsidR="001C31CA" w:rsidRPr="00982313">
        <w:rPr>
          <w:rFonts w:ascii="Arial" w:hAnsi="Arial"/>
          <w:sz w:val="24"/>
          <w:szCs w:val="24"/>
          <w:lang w:val="es-MX"/>
        </w:rPr>
        <w:t xml:space="preserve"> el CG del INE </w:t>
      </w:r>
      <w:r w:rsidR="00595F5C" w:rsidRPr="00982313">
        <w:rPr>
          <w:rFonts w:ascii="Arial" w:hAnsi="Arial"/>
          <w:sz w:val="24"/>
          <w:szCs w:val="24"/>
          <w:lang w:val="es-MX"/>
        </w:rPr>
        <w:t>emitió</w:t>
      </w:r>
      <w:r w:rsidR="001C31CA" w:rsidRPr="00982313">
        <w:rPr>
          <w:rFonts w:ascii="Arial" w:hAnsi="Arial"/>
          <w:sz w:val="24"/>
          <w:szCs w:val="24"/>
          <w:lang w:val="es-MX"/>
        </w:rPr>
        <w:t xml:space="preserve"> </w:t>
      </w:r>
      <w:r w:rsidR="006258D6" w:rsidRPr="00982313">
        <w:rPr>
          <w:rFonts w:ascii="Arial" w:hAnsi="Arial"/>
          <w:sz w:val="24"/>
          <w:szCs w:val="24"/>
          <w:lang w:val="es-MX"/>
        </w:rPr>
        <w:t xml:space="preserve">el acuerdo mediante el cual se aprueban las convocatorias para la selección y designación de las consejerías vacantes en los OPLES, incluida la del </w:t>
      </w:r>
      <w:r w:rsidR="006258D6" w:rsidRPr="00982313">
        <w:rPr>
          <w:rFonts w:ascii="Arial" w:hAnsi="Arial"/>
          <w:sz w:val="24"/>
          <w:szCs w:val="24"/>
          <w:lang w:val="es-MX"/>
        </w:rPr>
        <w:lastRenderedPageBreak/>
        <w:t xml:space="preserve">instituto </w:t>
      </w:r>
      <w:r w:rsidR="00B5497D" w:rsidRPr="00982313">
        <w:rPr>
          <w:rFonts w:ascii="Arial" w:hAnsi="Arial"/>
          <w:sz w:val="24"/>
          <w:szCs w:val="24"/>
          <w:lang w:val="es-MX"/>
        </w:rPr>
        <w:t xml:space="preserve">electoral </w:t>
      </w:r>
      <w:r w:rsidR="006258D6" w:rsidRPr="00982313">
        <w:rPr>
          <w:rFonts w:ascii="Arial" w:hAnsi="Arial"/>
          <w:sz w:val="24"/>
          <w:szCs w:val="24"/>
          <w:lang w:val="es-MX"/>
        </w:rPr>
        <w:t>de Yucatán.</w:t>
      </w:r>
      <w:r w:rsidR="001C31CA" w:rsidRPr="00982313">
        <w:rPr>
          <w:rStyle w:val="Refdenotaalpie"/>
          <w:rFonts w:ascii="Arial" w:hAnsi="Arial"/>
          <w:sz w:val="24"/>
          <w:szCs w:val="24"/>
          <w:lang w:val="es-MX"/>
        </w:rPr>
        <w:footnoteReference w:id="3"/>
      </w:r>
    </w:p>
    <w:p w14:paraId="78AB34B9" w14:textId="3F1024AC" w:rsidR="00595F5C" w:rsidRPr="00982313" w:rsidRDefault="005A17A6" w:rsidP="009B1330">
      <w:pPr>
        <w:pStyle w:val="Normalsentencia"/>
        <w:spacing w:before="100" w:beforeAutospacing="1" w:after="100" w:afterAutospacing="1" w:line="336" w:lineRule="auto"/>
        <w:ind w:firstLine="0"/>
        <w:rPr>
          <w:rFonts w:ascii="Arial" w:hAnsi="Arial"/>
          <w:sz w:val="24"/>
          <w:szCs w:val="24"/>
          <w:lang w:val="es-MX"/>
        </w:rPr>
      </w:pPr>
      <w:r w:rsidRPr="00982313">
        <w:rPr>
          <w:rFonts w:ascii="Arial" w:hAnsi="Arial"/>
          <w:b/>
          <w:sz w:val="24"/>
          <w:szCs w:val="24"/>
          <w:lang w:val="es-MX"/>
        </w:rPr>
        <w:t>2</w:t>
      </w:r>
      <w:r w:rsidR="00F03C8E" w:rsidRPr="00982313">
        <w:rPr>
          <w:rFonts w:ascii="Arial" w:hAnsi="Arial"/>
          <w:b/>
          <w:sz w:val="24"/>
          <w:szCs w:val="24"/>
          <w:lang w:val="es-MX"/>
        </w:rPr>
        <w:t xml:space="preserve">. </w:t>
      </w:r>
      <w:r w:rsidR="00140102" w:rsidRPr="00982313">
        <w:rPr>
          <w:rFonts w:ascii="Arial" w:hAnsi="Arial"/>
          <w:b/>
          <w:sz w:val="24"/>
          <w:szCs w:val="24"/>
          <w:lang w:val="es-MX"/>
        </w:rPr>
        <w:t xml:space="preserve">Acto impugnado. </w:t>
      </w:r>
      <w:r w:rsidR="00595F5C" w:rsidRPr="00982313">
        <w:rPr>
          <w:rFonts w:ascii="Arial" w:hAnsi="Arial"/>
          <w:sz w:val="24"/>
          <w:szCs w:val="24"/>
          <w:lang w:val="es-MX"/>
        </w:rPr>
        <w:t>El veintitrés de julio, la CVOPL</w:t>
      </w:r>
      <w:r w:rsidR="00595F5C" w:rsidRPr="00982313">
        <w:rPr>
          <w:rFonts w:ascii="Arial" w:hAnsi="Arial"/>
          <w:bCs/>
          <w:sz w:val="24"/>
          <w:szCs w:val="24"/>
          <w:lang w:val="es-MX"/>
        </w:rPr>
        <w:t xml:space="preserve"> </w:t>
      </w:r>
      <w:r w:rsidR="00595F5C" w:rsidRPr="00982313">
        <w:rPr>
          <w:rFonts w:ascii="Arial" w:hAnsi="Arial"/>
          <w:sz w:val="24"/>
          <w:szCs w:val="24"/>
          <w:lang w:val="es-MX"/>
        </w:rPr>
        <w:t>aprobó el listado con los folios de las y los aspirantes que no acceden a la siguiente etapa de dicho proceso de designación.</w:t>
      </w:r>
    </w:p>
    <w:p w14:paraId="5294A8BE" w14:textId="5B1289ED" w:rsidR="008D387A" w:rsidRPr="00982313" w:rsidRDefault="00595F5C" w:rsidP="009B1330">
      <w:pPr>
        <w:pStyle w:val="Normalsentencia"/>
        <w:widowControl w:val="0"/>
        <w:spacing w:before="100" w:beforeAutospacing="1" w:after="100" w:afterAutospacing="1" w:line="336" w:lineRule="auto"/>
        <w:ind w:firstLine="0"/>
        <w:rPr>
          <w:rFonts w:ascii="Arial" w:hAnsi="Arial"/>
          <w:sz w:val="24"/>
          <w:szCs w:val="24"/>
          <w:lang w:val="es-MX"/>
        </w:rPr>
      </w:pPr>
      <w:r w:rsidRPr="00982313">
        <w:rPr>
          <w:rFonts w:ascii="Arial" w:hAnsi="Arial"/>
          <w:sz w:val="24"/>
          <w:szCs w:val="24"/>
          <w:lang w:val="es-MX"/>
        </w:rPr>
        <w:t>En la misma, se determinó que la actora no accede a la siguiente etapa, pues no cumplía con el requisito consistente en contar con una residencia efectiva de por lo menos cinco años anteriores a su designación, en la entidad en la que pretende ejercer la función de consejera electoral.</w:t>
      </w:r>
    </w:p>
    <w:bookmarkEnd w:id="10"/>
    <w:p w14:paraId="72143F0D" w14:textId="695BA316" w:rsidR="00F03C8E" w:rsidRPr="00982313" w:rsidRDefault="005A17A6" w:rsidP="009B1330">
      <w:pPr>
        <w:pStyle w:val="Normalsentencia"/>
        <w:widowControl w:val="0"/>
        <w:spacing w:before="100" w:beforeAutospacing="1" w:after="100" w:afterAutospacing="1" w:line="336" w:lineRule="auto"/>
        <w:ind w:firstLine="0"/>
        <w:rPr>
          <w:rFonts w:ascii="Arial" w:hAnsi="Arial"/>
          <w:sz w:val="24"/>
          <w:szCs w:val="24"/>
        </w:rPr>
      </w:pPr>
      <w:r w:rsidRPr="00982313">
        <w:rPr>
          <w:rFonts w:ascii="Arial" w:hAnsi="Arial"/>
          <w:b/>
          <w:sz w:val="24"/>
          <w:szCs w:val="24"/>
          <w:lang w:val="es-MX"/>
        </w:rPr>
        <w:t>3</w:t>
      </w:r>
      <w:r w:rsidR="00E30CDE" w:rsidRPr="00982313">
        <w:rPr>
          <w:rFonts w:ascii="Arial" w:hAnsi="Arial"/>
          <w:b/>
          <w:sz w:val="24"/>
          <w:szCs w:val="24"/>
          <w:lang w:val="es-MX"/>
        </w:rPr>
        <w:t xml:space="preserve">. </w:t>
      </w:r>
      <w:r w:rsidR="00F03C8E" w:rsidRPr="00982313">
        <w:rPr>
          <w:rFonts w:ascii="Arial" w:hAnsi="Arial"/>
          <w:b/>
          <w:sz w:val="24"/>
          <w:szCs w:val="24"/>
          <w:lang w:val="es-MX"/>
        </w:rPr>
        <w:t>Demanda</w:t>
      </w:r>
      <w:r w:rsidR="003A6E78" w:rsidRPr="00982313">
        <w:rPr>
          <w:rFonts w:ascii="Arial" w:hAnsi="Arial"/>
          <w:b/>
          <w:sz w:val="24"/>
          <w:szCs w:val="24"/>
          <w:lang w:val="es-MX"/>
        </w:rPr>
        <w:t>.</w:t>
      </w:r>
      <w:r w:rsidR="008E227D" w:rsidRPr="00982313">
        <w:rPr>
          <w:rFonts w:ascii="Arial" w:hAnsi="Arial"/>
          <w:sz w:val="24"/>
          <w:szCs w:val="24"/>
          <w:lang w:val="es-MX"/>
        </w:rPr>
        <w:t xml:space="preserve"> </w:t>
      </w:r>
      <w:r w:rsidR="00595F5C" w:rsidRPr="00982313">
        <w:rPr>
          <w:rFonts w:ascii="Arial" w:hAnsi="Arial"/>
          <w:sz w:val="24"/>
          <w:szCs w:val="24"/>
        </w:rPr>
        <w:t xml:space="preserve">El veintiocho de julio, </w:t>
      </w:r>
      <w:bookmarkStart w:id="13" w:name="_Hlk21508601"/>
      <w:r w:rsidR="00595F5C" w:rsidRPr="00982313">
        <w:rPr>
          <w:rFonts w:ascii="Arial" w:hAnsi="Arial"/>
          <w:sz w:val="24"/>
          <w:szCs w:val="24"/>
        </w:rPr>
        <w:t xml:space="preserve">la actora presentó ante la Sala Xalapa demanda de juicio ciudadano, vía correo electrónico, </w:t>
      </w:r>
      <w:bookmarkStart w:id="14" w:name="_Hlk47691727"/>
      <w:r w:rsidR="00595F5C" w:rsidRPr="00982313">
        <w:rPr>
          <w:rFonts w:ascii="Arial" w:hAnsi="Arial"/>
          <w:sz w:val="24"/>
          <w:szCs w:val="24"/>
        </w:rPr>
        <w:t xml:space="preserve">a fin de impugnar </w:t>
      </w:r>
      <w:bookmarkEnd w:id="13"/>
      <w:r w:rsidR="00595F5C" w:rsidRPr="00982313">
        <w:rPr>
          <w:rFonts w:ascii="Arial" w:hAnsi="Arial"/>
          <w:sz w:val="24"/>
          <w:szCs w:val="24"/>
        </w:rPr>
        <w:t>el listado referido en el punto precedente.</w:t>
      </w:r>
      <w:bookmarkEnd w:id="14"/>
    </w:p>
    <w:p w14:paraId="78D99C7C" w14:textId="7B8C8391" w:rsidR="00595F5C" w:rsidRPr="00982313" w:rsidRDefault="005A17A6" w:rsidP="009B1330">
      <w:pPr>
        <w:pStyle w:val="Normalsentencia"/>
        <w:widowControl w:val="0"/>
        <w:spacing w:before="100" w:beforeAutospacing="1" w:after="100" w:afterAutospacing="1" w:line="336" w:lineRule="auto"/>
        <w:ind w:firstLine="0"/>
        <w:rPr>
          <w:rFonts w:ascii="Arial" w:hAnsi="Arial"/>
          <w:sz w:val="24"/>
          <w:szCs w:val="24"/>
          <w:lang w:val="es-MX"/>
        </w:rPr>
      </w:pPr>
      <w:r w:rsidRPr="00982313">
        <w:rPr>
          <w:rFonts w:ascii="Arial" w:hAnsi="Arial"/>
          <w:b/>
          <w:sz w:val="24"/>
          <w:szCs w:val="24"/>
          <w:lang w:val="es-MX"/>
        </w:rPr>
        <w:t>4</w:t>
      </w:r>
      <w:r w:rsidR="00595F5C" w:rsidRPr="00982313">
        <w:rPr>
          <w:rFonts w:ascii="Arial" w:hAnsi="Arial"/>
          <w:b/>
          <w:sz w:val="24"/>
          <w:szCs w:val="24"/>
          <w:lang w:val="es-MX"/>
        </w:rPr>
        <w:t>. Remisión.</w:t>
      </w:r>
      <w:r w:rsidR="00595F5C" w:rsidRPr="00982313">
        <w:rPr>
          <w:rFonts w:ascii="Arial" w:hAnsi="Arial"/>
          <w:sz w:val="24"/>
          <w:szCs w:val="24"/>
          <w:lang w:val="es-MX"/>
        </w:rPr>
        <w:t xml:space="preserve"> El treinta y uno de julio, se recibió en esta Sala Superior oficio mediante el cual la Sala Regional remitió el escrito de demanda presentado por la actora.</w:t>
      </w:r>
      <w:r w:rsidR="00595F5C" w:rsidRPr="00982313">
        <w:rPr>
          <w:rFonts w:ascii="Arial" w:hAnsi="Arial"/>
          <w:sz w:val="24"/>
          <w:szCs w:val="24"/>
          <w:vertAlign w:val="superscript"/>
          <w:lang w:val="es-MX"/>
        </w:rPr>
        <w:footnoteReference w:id="4"/>
      </w:r>
    </w:p>
    <w:p w14:paraId="1E3702D7" w14:textId="16C7CA54" w:rsidR="008D7402" w:rsidRPr="00982313" w:rsidRDefault="005A17A6" w:rsidP="009B1330">
      <w:pPr>
        <w:widowControl w:val="0"/>
        <w:spacing w:before="100" w:beforeAutospacing="1" w:after="100" w:afterAutospacing="1" w:line="336" w:lineRule="auto"/>
        <w:jc w:val="both"/>
        <w:rPr>
          <w:rFonts w:cs="Arial"/>
          <w:sz w:val="24"/>
          <w:szCs w:val="24"/>
        </w:rPr>
      </w:pPr>
      <w:r w:rsidRPr="00982313">
        <w:rPr>
          <w:rFonts w:cs="Arial"/>
          <w:b/>
          <w:sz w:val="24"/>
          <w:szCs w:val="24"/>
        </w:rPr>
        <w:t>5</w:t>
      </w:r>
      <w:r w:rsidR="00E30CDE" w:rsidRPr="00982313">
        <w:rPr>
          <w:rFonts w:cs="Arial"/>
          <w:b/>
          <w:sz w:val="24"/>
          <w:szCs w:val="24"/>
        </w:rPr>
        <w:t>.</w:t>
      </w:r>
      <w:r w:rsidR="006922C8" w:rsidRPr="00982313">
        <w:rPr>
          <w:rFonts w:cs="Arial"/>
          <w:b/>
          <w:sz w:val="24"/>
          <w:szCs w:val="24"/>
        </w:rPr>
        <w:t xml:space="preserve"> </w:t>
      </w:r>
      <w:bookmarkStart w:id="15" w:name="_Hlk535498708"/>
      <w:bookmarkEnd w:id="11"/>
      <w:r w:rsidR="00595F5C" w:rsidRPr="00982313">
        <w:rPr>
          <w:rFonts w:cs="Arial"/>
          <w:b/>
          <w:sz w:val="24"/>
          <w:szCs w:val="24"/>
        </w:rPr>
        <w:t>Turno.</w:t>
      </w:r>
      <w:r w:rsidR="00595F5C" w:rsidRPr="00982313">
        <w:rPr>
          <w:rFonts w:cs="Arial"/>
          <w:sz w:val="24"/>
          <w:szCs w:val="24"/>
        </w:rPr>
        <w:t xml:space="preserve"> Recibidas las constancias en esta Sala Superior, el Magistrado Presidente acordó integrar el expediente </w:t>
      </w:r>
      <w:r w:rsidR="00595F5C" w:rsidRPr="00982313">
        <w:rPr>
          <w:rFonts w:cs="Arial"/>
          <w:b/>
          <w:bCs/>
          <w:sz w:val="24"/>
          <w:szCs w:val="24"/>
        </w:rPr>
        <w:t>SUP-JDC-1660/2020</w:t>
      </w:r>
      <w:r w:rsidR="00595F5C" w:rsidRPr="00982313">
        <w:rPr>
          <w:rFonts w:cs="Arial"/>
          <w:sz w:val="24"/>
          <w:szCs w:val="24"/>
        </w:rPr>
        <w:t xml:space="preserve"> y turnarlo a la ponencia del Magistrado Felipe de la Mata Pizaña.</w:t>
      </w:r>
    </w:p>
    <w:p w14:paraId="09A9C4B9" w14:textId="1665409A" w:rsidR="00061E03" w:rsidRPr="00982313" w:rsidRDefault="00061E03" w:rsidP="009B1330">
      <w:pPr>
        <w:widowControl w:val="0"/>
        <w:spacing w:before="100" w:beforeAutospacing="1" w:after="100" w:afterAutospacing="1" w:line="336" w:lineRule="auto"/>
        <w:jc w:val="both"/>
        <w:rPr>
          <w:rFonts w:cs="Arial"/>
          <w:sz w:val="24"/>
          <w:szCs w:val="24"/>
        </w:rPr>
      </w:pPr>
      <w:r w:rsidRPr="00982313">
        <w:rPr>
          <w:rFonts w:cs="Arial"/>
          <w:b/>
          <w:bCs/>
          <w:sz w:val="24"/>
          <w:szCs w:val="24"/>
        </w:rPr>
        <w:t>6. Constancias de trámite.</w:t>
      </w:r>
      <w:r w:rsidRPr="00982313">
        <w:rPr>
          <w:rFonts w:cs="Arial"/>
          <w:sz w:val="24"/>
          <w:szCs w:val="24"/>
        </w:rPr>
        <w:t xml:space="preserve"> Mediante oficio</w:t>
      </w:r>
      <w:r w:rsidRPr="00982313">
        <w:rPr>
          <w:rStyle w:val="Refdenotaalpie"/>
          <w:rFonts w:cs="Arial"/>
          <w:sz w:val="24"/>
          <w:szCs w:val="24"/>
        </w:rPr>
        <w:footnoteReference w:id="5"/>
      </w:r>
      <w:r w:rsidRPr="00982313">
        <w:rPr>
          <w:rFonts w:cs="Arial"/>
          <w:sz w:val="24"/>
          <w:szCs w:val="24"/>
        </w:rPr>
        <w:t xml:space="preserve"> recibido </w:t>
      </w:r>
      <w:r w:rsidR="00E84045" w:rsidRPr="00982313">
        <w:rPr>
          <w:rFonts w:cs="Arial"/>
          <w:sz w:val="24"/>
          <w:szCs w:val="24"/>
        </w:rPr>
        <w:t xml:space="preserve">el seis de agosto </w:t>
      </w:r>
      <w:r w:rsidRPr="00982313">
        <w:rPr>
          <w:rFonts w:cs="Arial"/>
          <w:sz w:val="24"/>
          <w:szCs w:val="24"/>
        </w:rPr>
        <w:t xml:space="preserve">en la Oficialía de Partes de esta Sala Superior, el </w:t>
      </w:r>
      <w:r w:rsidR="00E84045" w:rsidRPr="00982313">
        <w:rPr>
          <w:rFonts w:cs="Arial"/>
          <w:sz w:val="24"/>
          <w:szCs w:val="24"/>
        </w:rPr>
        <w:t>Secretario Técnico de la CVOPL remitió las constancias de publicitación, así como el correspondiente informe circunstanciado.</w:t>
      </w:r>
    </w:p>
    <w:p w14:paraId="456BFE81" w14:textId="06ACA963" w:rsidR="002072C9" w:rsidRPr="00982313" w:rsidRDefault="002072C9" w:rsidP="009B1330">
      <w:pPr>
        <w:widowControl w:val="0"/>
        <w:spacing w:before="100" w:beforeAutospacing="1" w:after="100" w:afterAutospacing="1" w:line="336" w:lineRule="auto"/>
        <w:jc w:val="both"/>
        <w:rPr>
          <w:rFonts w:cs="Arial"/>
          <w:bCs/>
          <w:sz w:val="24"/>
          <w:szCs w:val="24"/>
        </w:rPr>
      </w:pPr>
      <w:r w:rsidRPr="00982313">
        <w:rPr>
          <w:rFonts w:cs="Arial"/>
          <w:b/>
          <w:bCs/>
          <w:sz w:val="24"/>
          <w:szCs w:val="24"/>
        </w:rPr>
        <w:t>7. Pruebas supervenientes.</w:t>
      </w:r>
      <w:r w:rsidRPr="00982313">
        <w:rPr>
          <w:rFonts w:cs="Arial"/>
          <w:bCs/>
          <w:sz w:val="24"/>
          <w:szCs w:val="24"/>
        </w:rPr>
        <w:t xml:space="preserve"> El once de agosto, se recibió en la Oficialía de Partes de este órgano colegiado, escrito por el cual la actora ofrece pruebas supervenientes.</w:t>
      </w:r>
    </w:p>
    <w:p w14:paraId="3F74AD86" w14:textId="446E7A5D" w:rsidR="00176416" w:rsidRPr="00982313" w:rsidRDefault="004F39F3" w:rsidP="009B1330">
      <w:pPr>
        <w:pStyle w:val="Ttulo1"/>
        <w:keepNext w:val="0"/>
        <w:keepLines w:val="0"/>
        <w:widowControl w:val="0"/>
        <w:spacing w:before="100" w:beforeAutospacing="1" w:after="100" w:afterAutospacing="1" w:line="336" w:lineRule="auto"/>
        <w:jc w:val="center"/>
        <w:rPr>
          <w:rFonts w:ascii="Arial" w:eastAsia="Times New Roman" w:hAnsi="Arial" w:cs="Arial"/>
          <w:b/>
          <w:color w:val="auto"/>
          <w:sz w:val="24"/>
          <w:szCs w:val="24"/>
          <w:lang w:eastAsia="es-MX"/>
        </w:rPr>
      </w:pPr>
      <w:bookmarkStart w:id="16" w:name="_Toc47391890"/>
      <w:bookmarkEnd w:id="12"/>
      <w:bookmarkEnd w:id="15"/>
      <w:r w:rsidRPr="00982313">
        <w:rPr>
          <w:rFonts w:ascii="Arial" w:eastAsia="Times New Roman" w:hAnsi="Arial" w:cs="Arial"/>
          <w:b/>
          <w:color w:val="auto"/>
          <w:sz w:val="24"/>
          <w:szCs w:val="24"/>
          <w:lang w:eastAsia="es-MX"/>
        </w:rPr>
        <w:t>COMPETENCIA</w:t>
      </w:r>
      <w:bookmarkStart w:id="17" w:name="_Toc496171375"/>
      <w:bookmarkEnd w:id="16"/>
    </w:p>
    <w:bookmarkEnd w:id="17"/>
    <w:p w14:paraId="7A31C917" w14:textId="410BFB7A" w:rsidR="00DC2FBD" w:rsidRPr="00982313" w:rsidRDefault="00DC2FBD" w:rsidP="009B1330">
      <w:pPr>
        <w:widowControl w:val="0"/>
        <w:spacing w:before="100" w:beforeAutospacing="1" w:after="100" w:afterAutospacing="1" w:line="336" w:lineRule="auto"/>
        <w:mirrorIndents/>
        <w:jc w:val="both"/>
        <w:rPr>
          <w:rFonts w:cs="Arial"/>
          <w:sz w:val="24"/>
        </w:rPr>
      </w:pPr>
      <w:r w:rsidRPr="00982313">
        <w:rPr>
          <w:rFonts w:cs="Arial"/>
          <w:sz w:val="24"/>
        </w:rPr>
        <w:t>Esta Sala Superior es competente para</w:t>
      </w:r>
      <w:r w:rsidR="00AA2C85" w:rsidRPr="00982313">
        <w:rPr>
          <w:rFonts w:cs="Arial"/>
          <w:sz w:val="24"/>
        </w:rPr>
        <w:t xml:space="preserve"> conocer y</w:t>
      </w:r>
      <w:r w:rsidRPr="00982313">
        <w:rPr>
          <w:rFonts w:cs="Arial"/>
          <w:sz w:val="24"/>
        </w:rPr>
        <w:t xml:space="preserve"> resolver </w:t>
      </w:r>
      <w:r w:rsidR="00FB3A11" w:rsidRPr="00982313">
        <w:rPr>
          <w:rFonts w:cs="Arial"/>
          <w:sz w:val="24"/>
        </w:rPr>
        <w:t>el</w:t>
      </w:r>
      <w:r w:rsidR="009E4034" w:rsidRPr="00982313">
        <w:rPr>
          <w:rFonts w:cs="Arial"/>
          <w:sz w:val="24"/>
        </w:rPr>
        <w:t xml:space="preserve"> presente</w:t>
      </w:r>
      <w:r w:rsidR="00FB3A11" w:rsidRPr="00982313">
        <w:rPr>
          <w:rFonts w:cs="Arial"/>
          <w:sz w:val="24"/>
        </w:rPr>
        <w:t xml:space="preserve"> asunto</w:t>
      </w:r>
      <w:r w:rsidRPr="00982313">
        <w:rPr>
          <w:rFonts w:cs="Arial"/>
          <w:sz w:val="24"/>
        </w:rPr>
        <w:t xml:space="preserve">, </w:t>
      </w:r>
      <w:r w:rsidR="00E30CDE" w:rsidRPr="00982313">
        <w:rPr>
          <w:rFonts w:cs="Arial"/>
          <w:sz w:val="24"/>
        </w:rPr>
        <w:t xml:space="preserve">porque </w:t>
      </w:r>
      <w:r w:rsidRPr="00982313">
        <w:rPr>
          <w:rFonts w:cs="Arial"/>
          <w:sz w:val="24"/>
        </w:rPr>
        <w:t xml:space="preserve">la materia de controversia está relacionada con el </w:t>
      </w:r>
      <w:r w:rsidRPr="00982313">
        <w:rPr>
          <w:rFonts w:cs="Arial"/>
          <w:sz w:val="24"/>
        </w:rPr>
        <w:lastRenderedPageBreak/>
        <w:t>procedimiento de</w:t>
      </w:r>
      <w:r w:rsidR="00B5497D" w:rsidRPr="00982313">
        <w:rPr>
          <w:rFonts w:cs="Arial"/>
          <w:sz w:val="24"/>
        </w:rPr>
        <w:t xml:space="preserve"> selección y</w:t>
      </w:r>
      <w:r w:rsidRPr="00982313">
        <w:rPr>
          <w:rFonts w:cs="Arial"/>
          <w:sz w:val="24"/>
        </w:rPr>
        <w:t xml:space="preserve"> </w:t>
      </w:r>
      <w:r w:rsidR="00B5497D" w:rsidRPr="00982313">
        <w:rPr>
          <w:rFonts w:cs="Arial"/>
          <w:sz w:val="24"/>
        </w:rPr>
        <w:t xml:space="preserve">designación de consejerías electorales </w:t>
      </w:r>
      <w:r w:rsidR="00467610" w:rsidRPr="00982313">
        <w:rPr>
          <w:rFonts w:cs="Arial"/>
          <w:sz w:val="24"/>
        </w:rPr>
        <w:t xml:space="preserve">del OPLE </w:t>
      </w:r>
      <w:r w:rsidR="003A6E78" w:rsidRPr="00982313">
        <w:rPr>
          <w:rFonts w:cs="Arial"/>
          <w:sz w:val="24"/>
        </w:rPr>
        <w:t>en</w:t>
      </w:r>
      <w:r w:rsidR="00467610" w:rsidRPr="00982313">
        <w:rPr>
          <w:rFonts w:cs="Arial"/>
          <w:sz w:val="24"/>
        </w:rPr>
        <w:t xml:space="preserve"> Yucatán</w:t>
      </w:r>
      <w:r w:rsidR="00FC77AB" w:rsidRPr="00982313">
        <w:rPr>
          <w:rFonts w:cs="Arial"/>
          <w:sz w:val="24"/>
        </w:rPr>
        <w:t xml:space="preserve">, en términos del acuerdo de competencia </w:t>
      </w:r>
      <w:r w:rsidR="009E4034" w:rsidRPr="00982313">
        <w:rPr>
          <w:rFonts w:cs="Arial"/>
          <w:sz w:val="24"/>
        </w:rPr>
        <w:t xml:space="preserve">de </w:t>
      </w:r>
      <w:r w:rsidR="00E84045" w:rsidRPr="00982313">
        <w:rPr>
          <w:rFonts w:cs="Arial"/>
          <w:sz w:val="24"/>
        </w:rPr>
        <w:t xml:space="preserve">cinco </w:t>
      </w:r>
      <w:r w:rsidR="009E4034" w:rsidRPr="00982313">
        <w:rPr>
          <w:rFonts w:cs="Arial"/>
          <w:sz w:val="24"/>
        </w:rPr>
        <w:t xml:space="preserve">de agosto, </w:t>
      </w:r>
      <w:r w:rsidR="00FC77AB" w:rsidRPr="00982313">
        <w:rPr>
          <w:rFonts w:cs="Arial"/>
          <w:sz w:val="24"/>
        </w:rPr>
        <w:t>emitido por esta Sala Superior en el juicio al rubro indicado</w:t>
      </w:r>
      <w:r w:rsidRPr="00982313">
        <w:rPr>
          <w:rFonts w:cs="Arial"/>
          <w:sz w:val="24"/>
        </w:rPr>
        <w:t>.</w:t>
      </w:r>
      <w:r w:rsidRPr="00982313">
        <w:rPr>
          <w:rFonts w:cs="Arial"/>
          <w:sz w:val="24"/>
          <w:vertAlign w:val="superscript"/>
        </w:rPr>
        <w:footnoteReference w:id="6"/>
      </w:r>
    </w:p>
    <w:p w14:paraId="3320AEB9" w14:textId="77777777" w:rsidR="003A6E78" w:rsidRPr="00982313" w:rsidRDefault="003A6E78" w:rsidP="009B1330">
      <w:pPr>
        <w:pStyle w:val="Ttulo1"/>
        <w:keepNext w:val="0"/>
        <w:keepLines w:val="0"/>
        <w:widowControl w:val="0"/>
        <w:spacing w:before="100" w:beforeAutospacing="1" w:after="100" w:afterAutospacing="1" w:line="336" w:lineRule="auto"/>
        <w:jc w:val="center"/>
        <w:rPr>
          <w:rFonts w:ascii="Arial" w:eastAsia="Times New Roman" w:hAnsi="Arial" w:cs="Arial"/>
          <w:b/>
          <w:color w:val="auto"/>
          <w:sz w:val="24"/>
          <w:szCs w:val="24"/>
          <w:lang w:eastAsia="es-MX"/>
        </w:rPr>
      </w:pPr>
      <w:bookmarkStart w:id="20" w:name="_Toc43048086"/>
      <w:bookmarkStart w:id="21" w:name="_Toc47391891"/>
      <w:r w:rsidRPr="00982313">
        <w:rPr>
          <w:rFonts w:ascii="Arial" w:eastAsia="Times New Roman" w:hAnsi="Arial" w:cs="Arial"/>
          <w:b/>
          <w:color w:val="auto"/>
          <w:sz w:val="24"/>
          <w:szCs w:val="24"/>
          <w:lang w:eastAsia="es-MX"/>
        </w:rPr>
        <w:t>URGENCIA DE RESOLVER</w:t>
      </w:r>
      <w:bookmarkEnd w:id="20"/>
      <w:bookmarkEnd w:id="21"/>
      <w:r w:rsidRPr="00982313">
        <w:rPr>
          <w:rFonts w:ascii="Arial" w:eastAsia="Times New Roman" w:hAnsi="Arial" w:cs="Arial"/>
          <w:b/>
          <w:color w:val="auto"/>
          <w:sz w:val="24"/>
          <w:szCs w:val="24"/>
          <w:lang w:eastAsia="es-MX"/>
        </w:rPr>
        <w:t xml:space="preserve"> </w:t>
      </w:r>
    </w:p>
    <w:p w14:paraId="07DBC527" w14:textId="4B6FD9BF" w:rsidR="003A6E78" w:rsidRPr="00982313" w:rsidRDefault="003A6E78" w:rsidP="009B1330">
      <w:pPr>
        <w:pStyle w:val="numerados"/>
        <w:widowControl w:val="0"/>
        <w:numPr>
          <w:ilvl w:val="0"/>
          <w:numId w:val="0"/>
        </w:numPr>
        <w:spacing w:before="100" w:beforeAutospacing="1" w:after="100" w:afterAutospacing="1" w:line="336" w:lineRule="auto"/>
        <w:rPr>
          <w:rFonts w:ascii="Arial" w:hAnsi="Arial" w:cs="Arial"/>
          <w:sz w:val="24"/>
          <w:szCs w:val="24"/>
        </w:rPr>
      </w:pPr>
      <w:r w:rsidRPr="00982313">
        <w:rPr>
          <w:rFonts w:ascii="Arial" w:hAnsi="Arial" w:cs="Arial"/>
          <w:sz w:val="24"/>
          <w:szCs w:val="24"/>
        </w:rPr>
        <w:t xml:space="preserve">El juicio es de urgente resolución conforme a lo dispuesto </w:t>
      </w:r>
      <w:r w:rsidRPr="00982313">
        <w:rPr>
          <w:rFonts w:ascii="Arial" w:hAnsi="Arial" w:cs="Arial"/>
          <w:sz w:val="24"/>
          <w:szCs w:val="24"/>
          <w:lang w:eastAsia="es-MX"/>
        </w:rPr>
        <w:t xml:space="preserve">en los Acuerdos Generales </w:t>
      </w:r>
      <w:bookmarkStart w:id="22" w:name="_Hlk47692614"/>
      <w:r w:rsidRPr="00982313">
        <w:rPr>
          <w:rFonts w:ascii="Arial" w:hAnsi="Arial" w:cs="Arial"/>
          <w:sz w:val="24"/>
          <w:szCs w:val="24"/>
          <w:lang w:eastAsia="es-MX"/>
        </w:rPr>
        <w:t>2/2020</w:t>
      </w:r>
      <w:r w:rsidR="00E840BB" w:rsidRPr="00982313">
        <w:rPr>
          <w:rFonts w:ascii="Arial" w:hAnsi="Arial" w:cs="Arial"/>
          <w:sz w:val="24"/>
          <w:szCs w:val="24"/>
          <w:lang w:eastAsia="es-MX"/>
        </w:rPr>
        <w:t>,</w:t>
      </w:r>
      <w:r w:rsidRPr="00982313">
        <w:rPr>
          <w:rFonts w:ascii="Arial" w:hAnsi="Arial" w:cs="Arial"/>
          <w:sz w:val="24"/>
          <w:szCs w:val="24"/>
          <w:lang w:eastAsia="es-MX"/>
        </w:rPr>
        <w:t xml:space="preserve"> 4/2020 </w:t>
      </w:r>
      <w:r w:rsidR="00E840BB" w:rsidRPr="00982313">
        <w:rPr>
          <w:rFonts w:ascii="Arial" w:hAnsi="Arial" w:cs="Arial"/>
          <w:sz w:val="24"/>
          <w:szCs w:val="24"/>
          <w:lang w:eastAsia="es-MX"/>
        </w:rPr>
        <w:t xml:space="preserve">y 6/2020 </w:t>
      </w:r>
      <w:r w:rsidRPr="00982313">
        <w:rPr>
          <w:rFonts w:ascii="Arial" w:hAnsi="Arial" w:cs="Arial"/>
          <w:sz w:val="24"/>
          <w:szCs w:val="24"/>
          <w:lang w:eastAsia="es-MX"/>
        </w:rPr>
        <w:t xml:space="preserve">de esta Sala Superior, en los que se </w:t>
      </w:r>
      <w:r w:rsidRPr="00982313">
        <w:rPr>
          <w:rFonts w:ascii="Arial" w:hAnsi="Arial" w:cs="Arial"/>
          <w:sz w:val="24"/>
          <w:szCs w:val="24"/>
        </w:rPr>
        <w:t>autorizó la resolución de forma no presencial de los medios de impugnación urgentes</w:t>
      </w:r>
      <w:r w:rsidR="00E840BB" w:rsidRPr="00982313">
        <w:rPr>
          <w:rFonts w:ascii="Arial" w:hAnsi="Arial" w:cs="Arial"/>
          <w:sz w:val="24"/>
          <w:szCs w:val="24"/>
        </w:rPr>
        <w:t>, así como de aquellos asuntos que deriven de la reanudación gradual de las actividades del INE, como es el procedimiento de designación de consejerías del OPLE en Yucatán</w:t>
      </w:r>
      <w:r w:rsidRPr="00982313">
        <w:rPr>
          <w:rFonts w:ascii="Arial" w:hAnsi="Arial" w:cs="Arial"/>
          <w:sz w:val="24"/>
          <w:szCs w:val="24"/>
        </w:rPr>
        <w:t>.</w:t>
      </w:r>
      <w:bookmarkEnd w:id="22"/>
    </w:p>
    <w:p w14:paraId="152729C2" w14:textId="77777777" w:rsidR="003A6E78" w:rsidRPr="00982313" w:rsidRDefault="003A6E78" w:rsidP="009B1330">
      <w:pPr>
        <w:pStyle w:val="numerados"/>
        <w:widowControl w:val="0"/>
        <w:numPr>
          <w:ilvl w:val="0"/>
          <w:numId w:val="0"/>
        </w:numPr>
        <w:spacing w:before="100" w:beforeAutospacing="1" w:after="100" w:afterAutospacing="1" w:line="336" w:lineRule="auto"/>
        <w:rPr>
          <w:rFonts w:ascii="Arial" w:hAnsi="Arial" w:cs="Arial"/>
          <w:bCs/>
          <w:sz w:val="24"/>
          <w:szCs w:val="24"/>
        </w:rPr>
      </w:pPr>
      <w:r w:rsidRPr="00982313">
        <w:rPr>
          <w:rFonts w:ascii="Arial" w:hAnsi="Arial" w:cs="Arial"/>
          <w:sz w:val="24"/>
          <w:szCs w:val="24"/>
        </w:rPr>
        <w:t>La urgencia se debe a que se impugna una determinación en la cual se aprueban los folios de las personas aspirantes que no cumplen con alguno de los requisitos de elegibilidad en el marco del proceso de selección y designación de las consejerías electorales de los OPLES.</w:t>
      </w:r>
    </w:p>
    <w:p w14:paraId="1A79C0FC" w14:textId="3E31A665" w:rsidR="003A6E78" w:rsidRPr="00982313" w:rsidRDefault="003A6E78" w:rsidP="009B1330">
      <w:pPr>
        <w:pStyle w:val="NormalWeb"/>
        <w:widowControl w:val="0"/>
        <w:shd w:val="clear" w:color="auto" w:fill="FFFFFF"/>
        <w:spacing w:line="336" w:lineRule="auto"/>
        <w:jc w:val="both"/>
        <w:rPr>
          <w:rFonts w:ascii="Arial" w:hAnsi="Arial" w:cs="Arial"/>
          <w:lang w:eastAsia="en-US"/>
        </w:rPr>
      </w:pPr>
      <w:r w:rsidRPr="00982313">
        <w:rPr>
          <w:rFonts w:ascii="Arial" w:hAnsi="Arial" w:cs="Arial"/>
          <w:lang w:eastAsia="en-US"/>
        </w:rPr>
        <w:t>Por tanto, se observa la necesidad de brindar certeza respecto de la pretensión de la parte actora, en relación con el proceso de designación de la consejería vacante en el OPLE de Yucatán, esto es, si le asiste derecho o no a seguir participando en las etapas subsecuentes.</w:t>
      </w:r>
    </w:p>
    <w:p w14:paraId="2226414D" w14:textId="77777777" w:rsidR="00FC77AB" w:rsidRPr="00982313" w:rsidRDefault="00FC77AB" w:rsidP="009B1330">
      <w:pPr>
        <w:pStyle w:val="NormalWeb"/>
        <w:widowControl w:val="0"/>
        <w:shd w:val="clear" w:color="auto" w:fill="FFFFFF"/>
        <w:spacing w:line="336" w:lineRule="auto"/>
        <w:jc w:val="both"/>
        <w:rPr>
          <w:rFonts w:ascii="Arial" w:hAnsi="Arial" w:cs="Arial"/>
          <w:lang w:eastAsia="en-US"/>
        </w:rPr>
      </w:pPr>
      <w:r w:rsidRPr="00982313">
        <w:rPr>
          <w:rFonts w:ascii="Arial" w:hAnsi="Arial" w:cs="Arial"/>
          <w:lang w:eastAsia="en-US"/>
        </w:rPr>
        <w:t>Esto es así, porque en términos de la convocatoria respectiva el examen de conocimientos se llevó a cabo el veinticinco de julio y los resultados se darán a conocer el cuatro de agosto.</w:t>
      </w:r>
    </w:p>
    <w:p w14:paraId="020D7EA2" w14:textId="57DFA13C" w:rsidR="00FC77AB" w:rsidRPr="00982313" w:rsidRDefault="00FC77AB" w:rsidP="009B1330">
      <w:pPr>
        <w:pStyle w:val="NormalWeb"/>
        <w:widowControl w:val="0"/>
        <w:shd w:val="clear" w:color="auto" w:fill="FFFFFF"/>
        <w:spacing w:line="336" w:lineRule="auto"/>
        <w:jc w:val="both"/>
        <w:rPr>
          <w:rFonts w:ascii="Arial" w:hAnsi="Arial" w:cs="Arial"/>
          <w:lang w:eastAsia="en-US"/>
        </w:rPr>
      </w:pPr>
      <w:r w:rsidRPr="00982313">
        <w:rPr>
          <w:rFonts w:ascii="Arial" w:hAnsi="Arial" w:cs="Arial"/>
          <w:lang w:eastAsia="en-US"/>
        </w:rPr>
        <w:t>Asimismo, el cotejo documental tendrá verificativo el cinco y seis de agosto, el ensayo presencial se llevará a cabo el inmediato día ocho y los resultados de éste se emitirán el siete de septiembre</w:t>
      </w:r>
      <w:r w:rsidR="00B00119" w:rsidRPr="00982313">
        <w:rPr>
          <w:rFonts w:ascii="Arial" w:hAnsi="Arial" w:cs="Arial"/>
          <w:lang w:eastAsia="en-US"/>
        </w:rPr>
        <w:t xml:space="preserve">, en tanto que, </w:t>
      </w:r>
      <w:r w:rsidRPr="00982313">
        <w:rPr>
          <w:rFonts w:ascii="Arial" w:hAnsi="Arial" w:cs="Arial"/>
        </w:rPr>
        <w:t>la designación de las consejerías vacantes se realizará a más tardar el próximo treinta de septiembre</w:t>
      </w:r>
      <w:r w:rsidR="00B00119" w:rsidRPr="00982313">
        <w:rPr>
          <w:rFonts w:ascii="Arial" w:hAnsi="Arial" w:cs="Arial"/>
        </w:rPr>
        <w:t>.</w:t>
      </w:r>
    </w:p>
    <w:p w14:paraId="21AF44B0" w14:textId="515EC16A" w:rsidR="0030235D" w:rsidRPr="00982313" w:rsidRDefault="00FC77AB" w:rsidP="009B1330">
      <w:pPr>
        <w:pStyle w:val="NormalWeb"/>
        <w:widowControl w:val="0"/>
        <w:shd w:val="clear" w:color="auto" w:fill="FFFFFF"/>
        <w:spacing w:line="336" w:lineRule="auto"/>
        <w:jc w:val="both"/>
        <w:rPr>
          <w:rFonts w:ascii="Arial" w:hAnsi="Arial" w:cs="Arial"/>
        </w:rPr>
      </w:pPr>
      <w:r w:rsidRPr="00982313">
        <w:rPr>
          <w:rFonts w:ascii="Arial" w:hAnsi="Arial" w:cs="Arial"/>
        </w:rPr>
        <w:t>Por tanto</w:t>
      </w:r>
      <w:r w:rsidR="003A6E78" w:rsidRPr="00982313">
        <w:rPr>
          <w:rFonts w:ascii="Arial" w:hAnsi="Arial" w:cs="Arial"/>
        </w:rPr>
        <w:t>, resulta indispensable que la Sala Superior se pronuncie respecto de la controversia planteada.</w:t>
      </w:r>
    </w:p>
    <w:p w14:paraId="301C7D00" w14:textId="1D0EC5BD" w:rsidR="00467610" w:rsidRPr="00982313" w:rsidRDefault="003A6E78" w:rsidP="009B1330">
      <w:pPr>
        <w:widowControl w:val="0"/>
        <w:spacing w:before="240" w:after="240" w:line="336" w:lineRule="auto"/>
        <w:jc w:val="center"/>
        <w:outlineLvl w:val="0"/>
        <w:rPr>
          <w:rFonts w:eastAsia="Times New Roman" w:cs="Arial"/>
          <w:b/>
          <w:sz w:val="24"/>
          <w:szCs w:val="24"/>
          <w:lang w:val="es-ES_tradnl" w:eastAsia="es-MX"/>
        </w:rPr>
      </w:pPr>
      <w:bookmarkStart w:id="23" w:name="_Toc47391892"/>
      <w:r w:rsidRPr="00982313">
        <w:rPr>
          <w:rFonts w:eastAsia="Times New Roman" w:cs="Arial"/>
          <w:b/>
          <w:sz w:val="24"/>
          <w:szCs w:val="24"/>
          <w:lang w:val="es-ES_tradnl" w:eastAsia="es-MX"/>
        </w:rPr>
        <w:lastRenderedPageBreak/>
        <w:t>IMPROCEDENCIA</w:t>
      </w:r>
      <w:bookmarkEnd w:id="23"/>
    </w:p>
    <w:p w14:paraId="27C29016" w14:textId="58055F36" w:rsidR="00FB3A11" w:rsidRPr="00982313" w:rsidRDefault="00FB3A11" w:rsidP="009B1330">
      <w:pPr>
        <w:widowControl w:val="0"/>
        <w:spacing w:before="240" w:after="240" w:line="336" w:lineRule="auto"/>
        <w:outlineLvl w:val="0"/>
        <w:rPr>
          <w:rFonts w:eastAsia="Times New Roman" w:cs="Arial"/>
          <w:b/>
          <w:sz w:val="24"/>
          <w:szCs w:val="24"/>
          <w:lang w:val="es-ES_tradnl" w:eastAsia="es-MX"/>
        </w:rPr>
      </w:pPr>
      <w:bookmarkStart w:id="24" w:name="_Toc47391893"/>
      <w:r w:rsidRPr="00982313">
        <w:rPr>
          <w:rFonts w:eastAsia="Times New Roman" w:cs="Arial"/>
          <w:b/>
          <w:sz w:val="24"/>
          <w:szCs w:val="24"/>
          <w:lang w:val="es-ES_tradnl" w:eastAsia="es-MX"/>
        </w:rPr>
        <w:t>1. Decisión</w:t>
      </w:r>
      <w:bookmarkEnd w:id="24"/>
    </w:p>
    <w:p w14:paraId="6A0FA40C" w14:textId="5B5F426C" w:rsidR="00467610" w:rsidRPr="00982313" w:rsidRDefault="00467610" w:rsidP="009B1330">
      <w:pPr>
        <w:widowControl w:val="0"/>
        <w:spacing w:before="240" w:after="240" w:line="336" w:lineRule="auto"/>
        <w:jc w:val="both"/>
        <w:rPr>
          <w:rFonts w:eastAsia="Times New Roman" w:cs="Arial"/>
          <w:color w:val="000000"/>
          <w:sz w:val="24"/>
          <w:szCs w:val="24"/>
          <w:lang w:val="es-ES_tradnl" w:eastAsia="es-ES"/>
        </w:rPr>
      </w:pPr>
      <w:r w:rsidRPr="00982313">
        <w:rPr>
          <w:rFonts w:eastAsia="Times New Roman" w:cs="Arial"/>
          <w:color w:val="000000"/>
          <w:sz w:val="24"/>
          <w:szCs w:val="24"/>
          <w:lang w:val="es-ES_tradnl" w:eastAsia="es-ES"/>
        </w:rPr>
        <w:t xml:space="preserve">Esta Sala Superior advierte que la </w:t>
      </w:r>
      <w:r w:rsidR="002B2C4C" w:rsidRPr="00982313">
        <w:rPr>
          <w:rFonts w:eastAsia="Times New Roman" w:cs="Arial"/>
          <w:color w:val="000000"/>
          <w:sz w:val="24"/>
          <w:szCs w:val="24"/>
          <w:lang w:val="es-ES_tradnl" w:eastAsia="es-ES"/>
        </w:rPr>
        <w:t>demanda se debe desechar porque carece de firma autógrafa.</w:t>
      </w:r>
    </w:p>
    <w:p w14:paraId="765EAD80" w14:textId="77777777" w:rsidR="00FB3A11" w:rsidRPr="00982313" w:rsidRDefault="00FB3A11" w:rsidP="009B1330">
      <w:pPr>
        <w:widowControl w:val="0"/>
        <w:spacing w:before="240" w:after="240" w:line="336" w:lineRule="auto"/>
        <w:outlineLvl w:val="0"/>
        <w:rPr>
          <w:rFonts w:eastAsia="Times New Roman" w:cs="Arial"/>
          <w:b/>
          <w:sz w:val="24"/>
          <w:szCs w:val="24"/>
          <w:lang w:val="es-ES_tradnl" w:eastAsia="es-MX"/>
        </w:rPr>
      </w:pPr>
      <w:bookmarkStart w:id="25" w:name="_Toc515569910"/>
      <w:bookmarkStart w:id="26" w:name="_Toc17314656"/>
      <w:bookmarkStart w:id="27" w:name="_Toc45716914"/>
      <w:bookmarkStart w:id="28" w:name="_Toc47391894"/>
      <w:r w:rsidRPr="00982313">
        <w:rPr>
          <w:rFonts w:eastAsia="Times New Roman" w:cs="Arial"/>
          <w:b/>
          <w:sz w:val="24"/>
          <w:szCs w:val="24"/>
          <w:lang w:val="es-ES_tradnl" w:eastAsia="es-MX"/>
        </w:rPr>
        <w:t>2. Justificación</w:t>
      </w:r>
      <w:bookmarkEnd w:id="25"/>
      <w:bookmarkEnd w:id="26"/>
      <w:bookmarkEnd w:id="27"/>
      <w:bookmarkEnd w:id="28"/>
    </w:p>
    <w:p w14:paraId="16DC40DA" w14:textId="77777777" w:rsidR="005252F5" w:rsidRPr="00982313" w:rsidRDefault="005252F5" w:rsidP="009B1330">
      <w:pPr>
        <w:widowControl w:val="0"/>
        <w:spacing w:before="240" w:after="240" w:line="336" w:lineRule="auto"/>
        <w:jc w:val="both"/>
        <w:rPr>
          <w:rFonts w:cs="Arial"/>
          <w:b/>
          <w:bCs/>
          <w:color w:val="000000" w:themeColor="text1"/>
          <w:sz w:val="24"/>
          <w:szCs w:val="24"/>
          <w:lang w:val="es-ES"/>
        </w:rPr>
      </w:pPr>
      <w:bookmarkStart w:id="29" w:name="_Toc515569913"/>
      <w:bookmarkStart w:id="30" w:name="_Toc17314659"/>
      <w:bookmarkStart w:id="31" w:name="_Toc45716916"/>
      <w:r w:rsidRPr="00982313">
        <w:rPr>
          <w:rFonts w:cs="Arial"/>
          <w:b/>
          <w:bCs/>
          <w:color w:val="000000" w:themeColor="text1"/>
          <w:sz w:val="24"/>
          <w:szCs w:val="24"/>
          <w:lang w:val="es-ES"/>
        </w:rPr>
        <w:t>Marco normativo.</w:t>
      </w:r>
    </w:p>
    <w:p w14:paraId="3927B451" w14:textId="58E54329" w:rsidR="005252F5" w:rsidRPr="00982313" w:rsidRDefault="005252F5" w:rsidP="009B1330">
      <w:pPr>
        <w:widowControl w:val="0"/>
        <w:spacing w:before="240" w:after="240" w:line="336" w:lineRule="auto"/>
        <w:jc w:val="both"/>
        <w:rPr>
          <w:rFonts w:cs="Arial"/>
          <w:bCs/>
          <w:color w:val="000000" w:themeColor="text1"/>
          <w:sz w:val="24"/>
          <w:szCs w:val="24"/>
        </w:rPr>
      </w:pPr>
      <w:r w:rsidRPr="00982313">
        <w:rPr>
          <w:rFonts w:cs="Arial"/>
          <w:bCs/>
          <w:color w:val="000000" w:themeColor="text1"/>
          <w:sz w:val="24"/>
          <w:szCs w:val="24"/>
          <w:lang w:val="it-IT"/>
        </w:rPr>
        <w:t>El artículo 9, párrafo primero, de la Ley de Medios prevé que los medios de impugnación se deben presentar por escrito ante la autoridad u órgano partidista señalado como responsable del acto o resolución impugnada y deben cumplir, entre otros requisitos, hacer constar el nombre y la firma autógrafa del promovente.</w:t>
      </w:r>
    </w:p>
    <w:p w14:paraId="433D6A68" w14:textId="6E4E66AA" w:rsidR="005252F5" w:rsidRPr="00982313" w:rsidRDefault="005252F5" w:rsidP="009B1330">
      <w:pPr>
        <w:widowControl w:val="0"/>
        <w:spacing w:before="240" w:after="240" w:line="336" w:lineRule="auto"/>
        <w:jc w:val="both"/>
        <w:rPr>
          <w:rFonts w:cs="Arial"/>
          <w:bCs/>
          <w:color w:val="000000" w:themeColor="text1"/>
          <w:sz w:val="24"/>
          <w:szCs w:val="24"/>
          <w:lang w:val="it-IT"/>
        </w:rPr>
      </w:pPr>
      <w:r w:rsidRPr="00982313">
        <w:rPr>
          <w:rFonts w:cs="Arial"/>
          <w:bCs/>
          <w:color w:val="000000" w:themeColor="text1"/>
          <w:sz w:val="24"/>
          <w:szCs w:val="24"/>
          <w:lang w:val="it-IT"/>
        </w:rPr>
        <w:t xml:space="preserve">Asimismo, en el párrafo tercero de dicho precepto establece que cuando el medio de impugnación incumpla, precisamente el requisito de hacer constar la firma autografa del promovente, se declarará su improcedencia y se desechará de plano la demanda. </w:t>
      </w:r>
    </w:p>
    <w:p w14:paraId="2627EF99" w14:textId="77777777" w:rsidR="005252F5" w:rsidRPr="00982313" w:rsidRDefault="005252F5" w:rsidP="009B1330">
      <w:pPr>
        <w:widowControl w:val="0"/>
        <w:spacing w:before="240" w:after="240" w:line="336" w:lineRule="auto"/>
        <w:jc w:val="both"/>
        <w:rPr>
          <w:rFonts w:cs="Arial"/>
          <w:bCs/>
          <w:color w:val="000000" w:themeColor="text1"/>
          <w:sz w:val="24"/>
          <w:szCs w:val="24"/>
          <w:lang w:val="it-IT"/>
        </w:rPr>
      </w:pPr>
      <w:r w:rsidRPr="00982313">
        <w:rPr>
          <w:rFonts w:cs="Arial"/>
          <w:bCs/>
          <w:color w:val="000000" w:themeColor="text1"/>
          <w:sz w:val="24"/>
          <w:szCs w:val="24"/>
          <w:lang w:val="it-IT"/>
        </w:rPr>
        <w:t>Al respecto, la firma autógrafa es un requisito formal indispensable de validez del medio de impugnación que se presenta por escrito, cuya finalidad es el dar certeza y autenticidad al escrito de demanda e identificar al autor o suscriptor de la misma.</w:t>
      </w:r>
    </w:p>
    <w:p w14:paraId="651F95EC" w14:textId="77777777" w:rsidR="005252F5" w:rsidRPr="00982313" w:rsidRDefault="005252F5" w:rsidP="009B1330">
      <w:pPr>
        <w:widowControl w:val="0"/>
        <w:spacing w:before="240" w:after="240" w:line="336" w:lineRule="auto"/>
        <w:jc w:val="both"/>
        <w:rPr>
          <w:rFonts w:cs="Arial"/>
          <w:bCs/>
          <w:color w:val="000000" w:themeColor="text1"/>
          <w:sz w:val="24"/>
          <w:szCs w:val="24"/>
          <w:lang w:val="it-IT"/>
        </w:rPr>
      </w:pPr>
      <w:r w:rsidRPr="00982313">
        <w:rPr>
          <w:rFonts w:cs="Arial"/>
          <w:bCs/>
          <w:color w:val="000000" w:themeColor="text1"/>
          <w:sz w:val="24"/>
          <w:szCs w:val="24"/>
          <w:lang w:val="it-IT"/>
        </w:rPr>
        <w:t>Ello, porque la firma representa la forma idónea de vincular al actor con el acto jurídico contenido en el ocurso, cuya carencia constituye la falta de un presupuesto necesario para establecer la relación jurídica procesal.</w:t>
      </w:r>
    </w:p>
    <w:p w14:paraId="045B0799" w14:textId="77777777" w:rsidR="005252F5" w:rsidRPr="00982313" w:rsidRDefault="005252F5" w:rsidP="009B1330">
      <w:pPr>
        <w:widowControl w:val="0"/>
        <w:spacing w:before="240" w:after="240" w:line="336" w:lineRule="auto"/>
        <w:jc w:val="both"/>
        <w:rPr>
          <w:rFonts w:cs="Arial"/>
          <w:b/>
          <w:bCs/>
          <w:color w:val="000000" w:themeColor="text1"/>
          <w:sz w:val="24"/>
          <w:szCs w:val="24"/>
          <w:lang w:val="es-ES"/>
        </w:rPr>
      </w:pPr>
      <w:r w:rsidRPr="00982313">
        <w:rPr>
          <w:rFonts w:cs="Arial"/>
          <w:b/>
          <w:bCs/>
          <w:color w:val="000000" w:themeColor="text1"/>
          <w:sz w:val="24"/>
          <w:szCs w:val="24"/>
          <w:lang w:val="es-ES"/>
        </w:rPr>
        <w:t>Remisión de demandas por medios electrónicos</w:t>
      </w:r>
    </w:p>
    <w:p w14:paraId="09849ABF" w14:textId="77777777" w:rsidR="00144437" w:rsidRPr="00982313" w:rsidRDefault="00144437" w:rsidP="009B1330">
      <w:pPr>
        <w:widowControl w:val="0"/>
        <w:spacing w:before="240" w:after="240" w:line="336" w:lineRule="auto"/>
        <w:jc w:val="both"/>
        <w:rPr>
          <w:rFonts w:cs="Arial"/>
          <w:bCs/>
          <w:color w:val="000000" w:themeColor="text1"/>
          <w:sz w:val="24"/>
          <w:szCs w:val="24"/>
          <w:lang w:val="es-ES"/>
        </w:rPr>
      </w:pPr>
      <w:r w:rsidRPr="00982313">
        <w:rPr>
          <w:rFonts w:cs="Arial"/>
          <w:bCs/>
          <w:color w:val="000000" w:themeColor="text1"/>
          <w:sz w:val="24"/>
          <w:szCs w:val="24"/>
          <w:lang w:val="es-ES"/>
        </w:rPr>
        <w:t>L</w:t>
      </w:r>
      <w:r w:rsidR="005252F5" w:rsidRPr="00982313">
        <w:rPr>
          <w:rFonts w:cs="Arial"/>
          <w:bCs/>
          <w:color w:val="000000" w:themeColor="text1"/>
          <w:sz w:val="24"/>
          <w:szCs w:val="24"/>
          <w:lang w:val="es-ES"/>
        </w:rPr>
        <w:t>a</w:t>
      </w:r>
      <w:r w:rsidRPr="00982313">
        <w:rPr>
          <w:rFonts w:cs="Arial"/>
          <w:bCs/>
          <w:color w:val="000000" w:themeColor="text1"/>
          <w:sz w:val="24"/>
          <w:szCs w:val="24"/>
          <w:lang w:val="es-ES"/>
        </w:rPr>
        <w:t>s</w:t>
      </w:r>
      <w:r w:rsidR="005252F5" w:rsidRPr="00982313">
        <w:rPr>
          <w:rFonts w:cs="Arial"/>
          <w:bCs/>
          <w:color w:val="000000" w:themeColor="text1"/>
          <w:sz w:val="24"/>
          <w:szCs w:val="24"/>
          <w:lang w:val="es-ES"/>
        </w:rPr>
        <w:t xml:space="preserve"> demandas </w:t>
      </w:r>
      <w:r w:rsidRPr="00982313">
        <w:rPr>
          <w:rFonts w:cs="Arial"/>
          <w:bCs/>
          <w:color w:val="000000" w:themeColor="text1"/>
          <w:sz w:val="24"/>
          <w:szCs w:val="24"/>
          <w:lang w:val="es-ES"/>
        </w:rPr>
        <w:t xml:space="preserve">que se remiten por correo electrónico son </w:t>
      </w:r>
      <w:r w:rsidR="005252F5" w:rsidRPr="00982313">
        <w:rPr>
          <w:rFonts w:cs="Arial"/>
          <w:bCs/>
          <w:color w:val="000000" w:themeColor="text1"/>
          <w:sz w:val="24"/>
          <w:szCs w:val="24"/>
          <w:lang w:val="es-ES"/>
        </w:rPr>
        <w:t>archivos con documentos en formatos digitalizados, que al momento de imprimirse e integrarse al expediente, evidentemente no cuentan con la firma autógrafa de puño y letra de los promoventes</w:t>
      </w:r>
      <w:r w:rsidRPr="00982313">
        <w:rPr>
          <w:rFonts w:cs="Arial"/>
          <w:bCs/>
          <w:color w:val="000000" w:themeColor="text1"/>
          <w:sz w:val="24"/>
          <w:szCs w:val="24"/>
          <w:lang w:val="es-ES"/>
        </w:rPr>
        <w:t>.</w:t>
      </w:r>
    </w:p>
    <w:p w14:paraId="333F3799" w14:textId="1D27FDAC" w:rsidR="005252F5" w:rsidRPr="00982313" w:rsidRDefault="00144437" w:rsidP="009B1330">
      <w:pPr>
        <w:widowControl w:val="0"/>
        <w:spacing w:before="240" w:after="240" w:line="336" w:lineRule="auto"/>
        <w:jc w:val="both"/>
        <w:rPr>
          <w:rFonts w:cs="Arial"/>
          <w:bCs/>
          <w:color w:val="000000" w:themeColor="text1"/>
          <w:sz w:val="24"/>
          <w:szCs w:val="24"/>
          <w:lang w:val="es-ES"/>
        </w:rPr>
      </w:pPr>
      <w:r w:rsidRPr="00982313">
        <w:rPr>
          <w:rFonts w:cs="Arial"/>
          <w:bCs/>
          <w:color w:val="000000" w:themeColor="text1"/>
          <w:sz w:val="24"/>
          <w:szCs w:val="24"/>
          <w:lang w:val="es-ES"/>
        </w:rPr>
        <w:t xml:space="preserve">En este sentido, </w:t>
      </w:r>
      <w:r w:rsidR="005252F5" w:rsidRPr="00982313">
        <w:rPr>
          <w:rFonts w:cs="Arial"/>
          <w:bCs/>
          <w:color w:val="000000" w:themeColor="text1"/>
          <w:sz w:val="24"/>
          <w:szCs w:val="24"/>
          <w:lang w:val="es-ES"/>
        </w:rPr>
        <w:t>esta Sala Superior ha definido una línea jurisprudencial sólida por cuanto a la improcedencia de los medios de impugnación y el desechamiento de las demandas presentadas con tales características.</w:t>
      </w:r>
    </w:p>
    <w:p w14:paraId="0D86692C" w14:textId="77777777" w:rsidR="00B67DB4" w:rsidRPr="00982313" w:rsidRDefault="00144437" w:rsidP="009B1330">
      <w:pPr>
        <w:widowControl w:val="0"/>
        <w:spacing w:before="240" w:after="240" w:line="336" w:lineRule="auto"/>
        <w:jc w:val="both"/>
        <w:rPr>
          <w:rFonts w:cs="Arial"/>
          <w:bCs/>
          <w:color w:val="000000" w:themeColor="text1"/>
          <w:sz w:val="24"/>
          <w:szCs w:val="24"/>
          <w:lang w:val="es-ES"/>
        </w:rPr>
      </w:pPr>
      <w:r w:rsidRPr="00982313">
        <w:rPr>
          <w:rFonts w:cs="Arial"/>
          <w:bCs/>
          <w:color w:val="000000" w:themeColor="text1"/>
          <w:sz w:val="24"/>
          <w:szCs w:val="24"/>
          <w:lang w:val="es-ES"/>
        </w:rPr>
        <w:lastRenderedPageBreak/>
        <w:t>Así,</w:t>
      </w:r>
      <w:r w:rsidR="005252F5" w:rsidRPr="00982313">
        <w:rPr>
          <w:rFonts w:cs="Arial"/>
          <w:bCs/>
          <w:color w:val="000000" w:themeColor="text1"/>
          <w:sz w:val="24"/>
          <w:szCs w:val="24"/>
          <w:lang w:val="es-ES"/>
        </w:rPr>
        <w:t xml:space="preserve"> este órgano jurisdiccional ha sustentado</w:t>
      </w:r>
      <w:r w:rsidRPr="00982313">
        <w:rPr>
          <w:rStyle w:val="Refdenotaalpie"/>
          <w:rFonts w:cs="Arial"/>
          <w:bCs/>
          <w:color w:val="000000" w:themeColor="text1"/>
          <w:sz w:val="24"/>
          <w:szCs w:val="24"/>
          <w:lang w:val="es-ES"/>
        </w:rPr>
        <w:footnoteReference w:id="7"/>
      </w:r>
      <w:r w:rsidR="005252F5" w:rsidRPr="00982313">
        <w:rPr>
          <w:rFonts w:cs="Arial"/>
          <w:bCs/>
          <w:color w:val="000000" w:themeColor="text1"/>
          <w:sz w:val="24"/>
          <w:szCs w:val="24"/>
          <w:lang w:val="es-ES"/>
        </w:rPr>
        <w:t xml:space="preserve"> que, el hecho de que en el documento digitalizado se aprecie una firma que aparentemente haya sido consignada en el original, no es suficiente para acreditar la autenticidad de la voluntad de ejercer el derecho de acción por parte del promovente</w:t>
      </w:r>
      <w:r w:rsidR="00B67DB4" w:rsidRPr="00982313">
        <w:rPr>
          <w:rFonts w:cs="Arial"/>
          <w:bCs/>
          <w:color w:val="000000" w:themeColor="text1"/>
          <w:sz w:val="24"/>
          <w:szCs w:val="24"/>
          <w:lang w:val="es-ES"/>
        </w:rPr>
        <w:t>.</w:t>
      </w:r>
    </w:p>
    <w:p w14:paraId="1B44B935" w14:textId="5C4581F7" w:rsidR="005252F5" w:rsidRPr="00982313" w:rsidRDefault="00B67DB4" w:rsidP="009B1330">
      <w:pPr>
        <w:widowControl w:val="0"/>
        <w:spacing w:before="240" w:after="240" w:line="336" w:lineRule="auto"/>
        <w:jc w:val="both"/>
        <w:rPr>
          <w:rFonts w:cs="Arial"/>
          <w:bCs/>
          <w:color w:val="000000" w:themeColor="text1"/>
          <w:sz w:val="24"/>
          <w:szCs w:val="24"/>
          <w:lang w:val="es-ES"/>
        </w:rPr>
      </w:pPr>
      <w:r w:rsidRPr="00982313">
        <w:rPr>
          <w:rFonts w:cs="Arial"/>
          <w:bCs/>
          <w:color w:val="000000" w:themeColor="text1"/>
          <w:sz w:val="24"/>
          <w:szCs w:val="24"/>
          <w:lang w:val="es-ES"/>
        </w:rPr>
        <w:t>Esto</w:t>
      </w:r>
      <w:r w:rsidR="005252F5" w:rsidRPr="00982313">
        <w:rPr>
          <w:rFonts w:cs="Arial"/>
          <w:bCs/>
          <w:color w:val="000000" w:themeColor="text1"/>
          <w:sz w:val="24"/>
          <w:szCs w:val="24"/>
          <w:lang w:val="es-ES"/>
        </w:rPr>
        <w:t xml:space="preserve">, </w:t>
      </w:r>
      <w:r w:rsidRPr="00982313">
        <w:rPr>
          <w:rFonts w:cs="Arial"/>
          <w:bCs/>
          <w:color w:val="000000" w:themeColor="text1"/>
          <w:sz w:val="24"/>
          <w:szCs w:val="24"/>
          <w:lang w:val="es-ES"/>
        </w:rPr>
        <w:t xml:space="preserve">porque </w:t>
      </w:r>
      <w:r w:rsidR="005252F5" w:rsidRPr="00982313">
        <w:rPr>
          <w:rFonts w:cs="Arial"/>
          <w:bCs/>
          <w:color w:val="000000" w:themeColor="text1"/>
          <w:sz w:val="24"/>
          <w:szCs w:val="24"/>
          <w:lang w:val="es-ES"/>
        </w:rPr>
        <w:t xml:space="preserve">el sistema de medios de impugnación vigente no </w:t>
      </w:r>
      <w:r w:rsidRPr="00982313">
        <w:rPr>
          <w:rFonts w:cs="Arial"/>
          <w:bCs/>
          <w:color w:val="000000" w:themeColor="text1"/>
          <w:sz w:val="24"/>
          <w:szCs w:val="24"/>
          <w:lang w:val="es-ES"/>
        </w:rPr>
        <w:t>prevé</w:t>
      </w:r>
      <w:r w:rsidR="005252F5" w:rsidRPr="00982313">
        <w:rPr>
          <w:rFonts w:cs="Arial"/>
          <w:bCs/>
          <w:color w:val="000000" w:themeColor="text1"/>
          <w:sz w:val="24"/>
          <w:szCs w:val="24"/>
          <w:lang w:val="es-ES"/>
        </w:rPr>
        <w:t xml:space="preserve"> la promoción o interposición por medios electrónicos, ni mecanismos que permitan autentificar la voluntad de los accionantes.</w:t>
      </w:r>
    </w:p>
    <w:p w14:paraId="6BF80BCD" w14:textId="229C98B9" w:rsidR="00B67DB4" w:rsidRPr="00982313" w:rsidRDefault="00B67DB4" w:rsidP="009B1330">
      <w:pPr>
        <w:widowControl w:val="0"/>
        <w:spacing w:before="240" w:after="240" w:line="336" w:lineRule="auto"/>
        <w:jc w:val="both"/>
        <w:rPr>
          <w:rFonts w:cs="Arial"/>
          <w:bCs/>
          <w:color w:val="000000" w:themeColor="text1"/>
          <w:sz w:val="24"/>
          <w:szCs w:val="24"/>
          <w:lang w:val="es-ES"/>
        </w:rPr>
      </w:pPr>
      <w:r w:rsidRPr="00982313">
        <w:rPr>
          <w:rFonts w:cs="Arial"/>
          <w:bCs/>
          <w:color w:val="000000" w:themeColor="text1"/>
          <w:sz w:val="24"/>
          <w:szCs w:val="24"/>
          <w:lang w:val="es-ES"/>
        </w:rPr>
        <w:t xml:space="preserve">En este sentido, </w:t>
      </w:r>
      <w:r w:rsidR="005252F5" w:rsidRPr="00982313">
        <w:rPr>
          <w:rFonts w:cs="Arial"/>
          <w:bCs/>
          <w:color w:val="000000" w:themeColor="text1"/>
          <w:sz w:val="24"/>
          <w:szCs w:val="24"/>
          <w:lang w:val="es-ES"/>
        </w:rPr>
        <w:t xml:space="preserve">si bien, este órgano </w:t>
      </w:r>
      <w:r w:rsidRPr="00982313">
        <w:rPr>
          <w:rFonts w:cs="Arial"/>
          <w:bCs/>
          <w:color w:val="000000" w:themeColor="text1"/>
          <w:sz w:val="24"/>
          <w:szCs w:val="24"/>
          <w:lang w:val="es-ES"/>
        </w:rPr>
        <w:t xml:space="preserve">colegiado </w:t>
      </w:r>
      <w:r w:rsidR="005252F5" w:rsidRPr="00982313">
        <w:rPr>
          <w:rFonts w:cs="Arial"/>
          <w:bCs/>
          <w:color w:val="000000" w:themeColor="text1"/>
          <w:sz w:val="24"/>
          <w:szCs w:val="24"/>
          <w:lang w:val="es-ES"/>
        </w:rPr>
        <w:t>ha implementado el uso del correo electrónico como medio para agilizar y eficientizar diferentes trámites y procesos en la función jurisdiccional</w:t>
      </w:r>
      <w:r w:rsidRPr="00982313">
        <w:rPr>
          <w:rFonts w:cs="Arial"/>
          <w:bCs/>
          <w:color w:val="000000" w:themeColor="text1"/>
          <w:sz w:val="24"/>
          <w:szCs w:val="24"/>
          <w:lang w:val="es-ES"/>
        </w:rPr>
        <w:t>,</w:t>
      </w:r>
      <w:r w:rsidR="005252F5" w:rsidRPr="00982313">
        <w:rPr>
          <w:rFonts w:cs="Arial"/>
          <w:bCs/>
          <w:color w:val="000000" w:themeColor="text1"/>
          <w:sz w:val="24"/>
          <w:szCs w:val="24"/>
          <w:lang w:val="es-ES"/>
        </w:rPr>
        <w:t xml:space="preserve"> ello no implica que, a través de su uso, se pueda exentar el cumplimiento de los requisitos formales</w:t>
      </w:r>
      <w:r w:rsidRPr="00982313">
        <w:rPr>
          <w:rFonts w:cs="Arial"/>
          <w:bCs/>
          <w:color w:val="000000" w:themeColor="text1"/>
          <w:sz w:val="24"/>
          <w:szCs w:val="24"/>
          <w:lang w:val="es-ES"/>
        </w:rPr>
        <w:t>, como es el nombre y firma autógrafa del promovente.</w:t>
      </w:r>
      <w:r w:rsidR="00F41CFF" w:rsidRPr="00982313">
        <w:rPr>
          <w:rStyle w:val="Refdenotaalpie"/>
          <w:rFonts w:cs="Arial"/>
          <w:bCs/>
          <w:color w:val="000000" w:themeColor="text1"/>
          <w:sz w:val="24"/>
          <w:szCs w:val="24"/>
          <w:lang w:val="es-ES"/>
        </w:rPr>
        <w:footnoteReference w:id="8"/>
      </w:r>
    </w:p>
    <w:p w14:paraId="311A0F1F" w14:textId="59A96715" w:rsidR="005252F5" w:rsidRPr="00982313" w:rsidRDefault="005252F5" w:rsidP="009B1330">
      <w:pPr>
        <w:widowControl w:val="0"/>
        <w:spacing w:before="240" w:after="240" w:line="336" w:lineRule="auto"/>
        <w:jc w:val="both"/>
        <w:rPr>
          <w:rFonts w:cs="Arial"/>
          <w:bCs/>
          <w:color w:val="000000" w:themeColor="text1"/>
          <w:sz w:val="24"/>
          <w:szCs w:val="24"/>
          <w:lang w:val="es-ES"/>
        </w:rPr>
      </w:pPr>
      <w:r w:rsidRPr="00982313">
        <w:rPr>
          <w:rFonts w:cs="Arial"/>
          <w:bCs/>
          <w:color w:val="000000" w:themeColor="text1"/>
          <w:sz w:val="24"/>
          <w:szCs w:val="24"/>
          <w:lang w:val="es-ES"/>
        </w:rPr>
        <w:t xml:space="preserve">De igual forma, </w:t>
      </w:r>
      <w:r w:rsidR="00672659" w:rsidRPr="00982313">
        <w:rPr>
          <w:rFonts w:cs="Arial"/>
          <w:bCs/>
          <w:color w:val="000000" w:themeColor="text1"/>
          <w:sz w:val="24"/>
          <w:szCs w:val="24"/>
          <w:lang w:val="es-ES"/>
        </w:rPr>
        <w:t xml:space="preserve">esta Sala Superior </w:t>
      </w:r>
      <w:r w:rsidRPr="00982313">
        <w:rPr>
          <w:rFonts w:cs="Arial"/>
          <w:bCs/>
          <w:color w:val="000000" w:themeColor="text1"/>
          <w:sz w:val="24"/>
          <w:szCs w:val="24"/>
          <w:lang w:val="es-ES"/>
        </w:rPr>
        <w:t>ha implementado instrumentos que posibilitan el acceso a la ciudadanía a los medios de impugnación extraordinarios competencia de este Tribunal Electoral, a través de métodos alternos a la presentación y comparecencia directa exigida para las actuaciones.</w:t>
      </w:r>
    </w:p>
    <w:p w14:paraId="52E47C3A" w14:textId="6D1FD189" w:rsidR="00672659" w:rsidRPr="00982313" w:rsidRDefault="00672659" w:rsidP="009B1330">
      <w:pPr>
        <w:widowControl w:val="0"/>
        <w:spacing w:before="240" w:after="240" w:line="336" w:lineRule="auto"/>
        <w:jc w:val="both"/>
        <w:rPr>
          <w:rFonts w:cs="Arial"/>
          <w:bCs/>
          <w:color w:val="000000" w:themeColor="text1"/>
          <w:sz w:val="24"/>
          <w:szCs w:val="24"/>
          <w:lang w:val="es-ES"/>
        </w:rPr>
      </w:pPr>
      <w:r w:rsidRPr="00982313">
        <w:rPr>
          <w:rFonts w:cs="Arial"/>
          <w:bCs/>
          <w:color w:val="000000" w:themeColor="text1"/>
          <w:sz w:val="24"/>
          <w:szCs w:val="24"/>
          <w:lang w:val="es-ES"/>
        </w:rPr>
        <w:t xml:space="preserve">Lo anterior, en atención a las circunstancias atípicas que actualmente aquejan al país, derivadas de la pandemia originada por el </w:t>
      </w:r>
      <w:bookmarkStart w:id="32" w:name="_Hlk40105508"/>
      <w:r w:rsidRPr="00982313">
        <w:rPr>
          <w:rFonts w:cs="Arial"/>
          <w:bCs/>
          <w:color w:val="000000" w:themeColor="text1"/>
          <w:sz w:val="24"/>
          <w:szCs w:val="24"/>
        </w:rPr>
        <w:t>virus SARS-CoV2 que provoca el padecimiento denominado COVID-19</w:t>
      </w:r>
      <w:bookmarkEnd w:id="32"/>
      <w:r w:rsidRPr="00982313">
        <w:rPr>
          <w:rFonts w:cs="Arial"/>
          <w:bCs/>
          <w:color w:val="000000" w:themeColor="text1"/>
          <w:sz w:val="24"/>
          <w:szCs w:val="24"/>
        </w:rPr>
        <w:t>.</w:t>
      </w:r>
    </w:p>
    <w:p w14:paraId="4FC2DEC5" w14:textId="66FB0F15" w:rsidR="005252F5" w:rsidRPr="00982313" w:rsidRDefault="00672659" w:rsidP="009B1330">
      <w:pPr>
        <w:widowControl w:val="0"/>
        <w:spacing w:before="240" w:after="240" w:line="336" w:lineRule="auto"/>
        <w:jc w:val="both"/>
        <w:rPr>
          <w:rFonts w:cs="Arial"/>
          <w:bCs/>
          <w:color w:val="000000" w:themeColor="text1"/>
          <w:sz w:val="24"/>
          <w:szCs w:val="24"/>
          <w:lang w:val="es-ES"/>
        </w:rPr>
      </w:pPr>
      <w:r w:rsidRPr="00982313">
        <w:rPr>
          <w:rFonts w:cs="Arial"/>
          <w:bCs/>
          <w:color w:val="000000" w:themeColor="text1"/>
          <w:sz w:val="24"/>
          <w:szCs w:val="24"/>
          <w:lang w:val="es-ES"/>
        </w:rPr>
        <w:t xml:space="preserve">Entre las medidas asumidas por este órgano jurisdiccional está la </w:t>
      </w:r>
      <w:r w:rsidR="005252F5" w:rsidRPr="00982313">
        <w:rPr>
          <w:rFonts w:cs="Arial"/>
          <w:bCs/>
          <w:color w:val="000000" w:themeColor="text1"/>
          <w:sz w:val="24"/>
          <w:szCs w:val="24"/>
          <w:lang w:val="es-ES"/>
        </w:rPr>
        <w:t>posibilidad de que se practiquen notificaciones en direcciones de correo no certificadas</w:t>
      </w:r>
      <w:r w:rsidRPr="00982313">
        <w:rPr>
          <w:rFonts w:cs="Arial"/>
          <w:bCs/>
          <w:color w:val="000000" w:themeColor="text1"/>
          <w:sz w:val="24"/>
          <w:szCs w:val="24"/>
          <w:lang w:val="es-ES"/>
        </w:rPr>
        <w:t>,</w:t>
      </w:r>
      <w:r w:rsidRPr="00982313">
        <w:rPr>
          <w:rStyle w:val="Refdenotaalpie"/>
          <w:rFonts w:cs="Arial"/>
          <w:bCs/>
          <w:color w:val="000000" w:themeColor="text1"/>
          <w:sz w:val="24"/>
          <w:szCs w:val="24"/>
          <w:lang w:val="es-ES"/>
        </w:rPr>
        <w:footnoteReference w:id="9"/>
      </w:r>
      <w:r w:rsidRPr="00982313">
        <w:rPr>
          <w:rFonts w:cs="Arial"/>
          <w:bCs/>
          <w:color w:val="000000" w:themeColor="text1"/>
          <w:sz w:val="24"/>
          <w:szCs w:val="24"/>
          <w:lang w:val="es-ES"/>
        </w:rPr>
        <w:t xml:space="preserve">o bien, </w:t>
      </w:r>
      <w:r w:rsidR="005252F5" w:rsidRPr="00982313">
        <w:rPr>
          <w:rFonts w:cs="Arial"/>
          <w:bCs/>
          <w:color w:val="000000" w:themeColor="text1"/>
          <w:sz w:val="24"/>
          <w:szCs w:val="24"/>
          <w:lang w:val="es-ES"/>
        </w:rPr>
        <w:t>el juicio en línea, a través del cual se posibilita que, de manera remota, se presenten demandas de determinados recursos y se consulten las constancias respectivas.</w:t>
      </w:r>
      <w:r w:rsidRPr="00982313">
        <w:rPr>
          <w:rStyle w:val="Refdenotaalpie"/>
          <w:rFonts w:cs="Arial"/>
          <w:bCs/>
          <w:color w:val="000000" w:themeColor="text1"/>
          <w:sz w:val="24"/>
          <w:szCs w:val="24"/>
          <w:lang w:val="es-ES"/>
        </w:rPr>
        <w:footnoteReference w:id="10"/>
      </w:r>
    </w:p>
    <w:p w14:paraId="01E9027D" w14:textId="46DB730A" w:rsidR="005252F5" w:rsidRPr="00982313" w:rsidRDefault="005252F5" w:rsidP="009B1330">
      <w:pPr>
        <w:widowControl w:val="0"/>
        <w:spacing w:before="240" w:after="240" w:line="336" w:lineRule="auto"/>
        <w:jc w:val="both"/>
        <w:rPr>
          <w:rFonts w:cs="Arial"/>
          <w:bCs/>
          <w:color w:val="000000" w:themeColor="text1"/>
          <w:sz w:val="24"/>
          <w:szCs w:val="24"/>
          <w:lang w:val="es-ES"/>
        </w:rPr>
      </w:pPr>
      <w:r w:rsidRPr="00982313">
        <w:rPr>
          <w:rFonts w:cs="Arial"/>
          <w:bCs/>
          <w:color w:val="000000" w:themeColor="text1"/>
          <w:sz w:val="24"/>
          <w:szCs w:val="24"/>
          <w:lang w:val="es-ES"/>
        </w:rPr>
        <w:t xml:space="preserve">Sin embargo, </w:t>
      </w:r>
      <w:r w:rsidR="00672659" w:rsidRPr="00982313">
        <w:rPr>
          <w:rFonts w:cs="Arial"/>
          <w:bCs/>
          <w:color w:val="000000" w:themeColor="text1"/>
          <w:sz w:val="24"/>
          <w:szCs w:val="24"/>
          <w:lang w:val="es-ES"/>
        </w:rPr>
        <w:t>esas</w:t>
      </w:r>
      <w:r w:rsidRPr="00982313">
        <w:rPr>
          <w:rFonts w:cs="Arial"/>
          <w:bCs/>
          <w:color w:val="000000" w:themeColor="text1"/>
          <w:sz w:val="24"/>
          <w:szCs w:val="24"/>
          <w:lang w:val="es-ES"/>
        </w:rPr>
        <w:t xml:space="preserve"> </w:t>
      </w:r>
      <w:r w:rsidR="00672659" w:rsidRPr="00982313">
        <w:rPr>
          <w:rFonts w:cs="Arial"/>
          <w:bCs/>
          <w:color w:val="000000" w:themeColor="text1"/>
          <w:sz w:val="24"/>
          <w:szCs w:val="24"/>
          <w:lang w:val="es-ES"/>
        </w:rPr>
        <w:t xml:space="preserve">acciones </w:t>
      </w:r>
      <w:r w:rsidRPr="00982313">
        <w:rPr>
          <w:rFonts w:cs="Arial"/>
          <w:bCs/>
          <w:color w:val="000000" w:themeColor="text1"/>
          <w:sz w:val="24"/>
          <w:szCs w:val="24"/>
          <w:lang w:val="es-ES"/>
        </w:rPr>
        <w:t>ha</w:t>
      </w:r>
      <w:r w:rsidR="00672659" w:rsidRPr="00982313">
        <w:rPr>
          <w:rFonts w:cs="Arial"/>
          <w:bCs/>
          <w:color w:val="000000" w:themeColor="text1"/>
          <w:sz w:val="24"/>
          <w:szCs w:val="24"/>
          <w:lang w:val="es-ES"/>
        </w:rPr>
        <w:t>n</w:t>
      </w:r>
      <w:r w:rsidRPr="00982313">
        <w:rPr>
          <w:rFonts w:cs="Arial"/>
          <w:bCs/>
          <w:color w:val="000000" w:themeColor="text1"/>
          <w:sz w:val="24"/>
          <w:szCs w:val="24"/>
          <w:lang w:val="es-ES"/>
        </w:rPr>
        <w:t xml:space="preserve"> exigido el eventual desarrollo de herramientas confiables que, a la par de posibilitar el acceso al sistema de </w:t>
      </w:r>
      <w:r w:rsidRPr="00982313">
        <w:rPr>
          <w:rFonts w:cs="Arial"/>
          <w:bCs/>
          <w:color w:val="000000" w:themeColor="text1"/>
          <w:sz w:val="24"/>
          <w:szCs w:val="24"/>
          <w:lang w:val="es-ES"/>
        </w:rPr>
        <w:lastRenderedPageBreak/>
        <w:t>medios de impugnación a través de medios alternativos a los dispuestos en el marco normativo</w:t>
      </w:r>
      <w:r w:rsidR="005906D2" w:rsidRPr="00982313">
        <w:rPr>
          <w:rFonts w:cs="Arial"/>
          <w:bCs/>
          <w:color w:val="000000" w:themeColor="text1"/>
          <w:sz w:val="24"/>
          <w:szCs w:val="24"/>
          <w:lang w:val="es-ES"/>
        </w:rPr>
        <w:t xml:space="preserve">, </w:t>
      </w:r>
      <w:r w:rsidRPr="00982313">
        <w:rPr>
          <w:rFonts w:cs="Arial"/>
          <w:bCs/>
          <w:color w:val="000000" w:themeColor="text1"/>
          <w:sz w:val="24"/>
          <w:szCs w:val="24"/>
          <w:lang w:val="es-ES"/>
        </w:rPr>
        <w:t>garantice</w:t>
      </w:r>
      <w:r w:rsidR="00672659" w:rsidRPr="00982313">
        <w:rPr>
          <w:rFonts w:cs="Arial"/>
          <w:bCs/>
          <w:color w:val="000000" w:themeColor="text1"/>
          <w:sz w:val="24"/>
          <w:szCs w:val="24"/>
          <w:lang w:val="es-ES"/>
        </w:rPr>
        <w:t>n</w:t>
      </w:r>
      <w:r w:rsidRPr="00982313">
        <w:rPr>
          <w:rFonts w:cs="Arial"/>
          <w:bCs/>
          <w:color w:val="000000" w:themeColor="text1"/>
          <w:sz w:val="24"/>
          <w:szCs w:val="24"/>
          <w:lang w:val="es-ES"/>
        </w:rPr>
        <w:t xml:space="preserve"> la certeza en la identidad de las partes y la autenticidad de las actuaciones procesales.</w:t>
      </w:r>
    </w:p>
    <w:p w14:paraId="63111D7F" w14:textId="6308964D" w:rsidR="005252F5" w:rsidRPr="00982313" w:rsidRDefault="00606597" w:rsidP="009B1330">
      <w:pPr>
        <w:widowControl w:val="0"/>
        <w:spacing w:before="240" w:after="240" w:line="336" w:lineRule="auto"/>
        <w:jc w:val="both"/>
        <w:rPr>
          <w:rFonts w:cs="Arial"/>
          <w:bCs/>
          <w:color w:val="000000" w:themeColor="text1"/>
          <w:sz w:val="24"/>
          <w:szCs w:val="24"/>
          <w:lang w:val="es-ES"/>
        </w:rPr>
      </w:pPr>
      <w:r w:rsidRPr="00982313">
        <w:rPr>
          <w:rFonts w:cs="Arial"/>
          <w:bCs/>
          <w:color w:val="000000" w:themeColor="text1"/>
          <w:sz w:val="24"/>
          <w:szCs w:val="24"/>
          <w:lang w:val="es-ES"/>
        </w:rPr>
        <w:t xml:space="preserve">En este contexto, </w:t>
      </w:r>
      <w:r w:rsidR="005252F5" w:rsidRPr="00982313">
        <w:rPr>
          <w:rFonts w:cs="Arial"/>
          <w:bCs/>
          <w:color w:val="000000" w:themeColor="text1"/>
          <w:sz w:val="24"/>
          <w:szCs w:val="24"/>
          <w:lang w:val="es-ES"/>
        </w:rPr>
        <w:t xml:space="preserve">previo al establecimiento de dichas medidas y a su entrada en funcionamiento, aun en el caso de juicios no </w:t>
      </w:r>
      <w:r w:rsidRPr="00982313">
        <w:rPr>
          <w:rFonts w:cs="Arial"/>
          <w:bCs/>
          <w:color w:val="000000" w:themeColor="text1"/>
          <w:sz w:val="24"/>
          <w:szCs w:val="24"/>
          <w:lang w:val="es-ES"/>
        </w:rPr>
        <w:t>previstos</w:t>
      </w:r>
      <w:r w:rsidR="005252F5" w:rsidRPr="00982313">
        <w:rPr>
          <w:rFonts w:cs="Arial"/>
          <w:bCs/>
          <w:color w:val="000000" w:themeColor="text1"/>
          <w:sz w:val="24"/>
          <w:szCs w:val="24"/>
          <w:lang w:val="es-ES"/>
        </w:rPr>
        <w:t xml:space="preserve"> para la presentación en línea, o que se opte por la presentación ordinaria; la interposición de los medios de impugnación </w:t>
      </w:r>
      <w:r w:rsidR="005906D2" w:rsidRPr="00982313">
        <w:rPr>
          <w:rFonts w:cs="Arial"/>
          <w:bCs/>
          <w:color w:val="000000" w:themeColor="text1"/>
          <w:sz w:val="24"/>
          <w:szCs w:val="24"/>
          <w:lang w:val="es-ES"/>
        </w:rPr>
        <w:t xml:space="preserve">se </w:t>
      </w:r>
      <w:r w:rsidR="005252F5" w:rsidRPr="00982313">
        <w:rPr>
          <w:rFonts w:cs="Arial"/>
          <w:bCs/>
          <w:color w:val="000000" w:themeColor="text1"/>
          <w:sz w:val="24"/>
          <w:szCs w:val="24"/>
          <w:lang w:val="es-ES"/>
        </w:rPr>
        <w:t xml:space="preserve">debe ajustar a las reglas procedimentales </w:t>
      </w:r>
      <w:r w:rsidR="005906D2" w:rsidRPr="00982313">
        <w:rPr>
          <w:rFonts w:cs="Arial"/>
          <w:bCs/>
          <w:color w:val="000000" w:themeColor="text1"/>
          <w:sz w:val="24"/>
          <w:szCs w:val="24"/>
          <w:lang w:val="es-ES"/>
        </w:rPr>
        <w:t>previstas en la ley</w:t>
      </w:r>
      <w:r w:rsidR="005252F5" w:rsidRPr="00982313">
        <w:rPr>
          <w:rFonts w:cs="Arial"/>
          <w:bCs/>
          <w:color w:val="000000" w:themeColor="text1"/>
          <w:sz w:val="24"/>
          <w:szCs w:val="24"/>
          <w:lang w:val="es-ES"/>
        </w:rPr>
        <w:t>, las cuales permiten presumir, entre otras cosas, la auténtica voluntad de las partes para comparecer en juicio.</w:t>
      </w:r>
    </w:p>
    <w:p w14:paraId="22A571CC" w14:textId="77777777" w:rsidR="005252F5" w:rsidRPr="00982313" w:rsidRDefault="005252F5" w:rsidP="009B1330">
      <w:pPr>
        <w:widowControl w:val="0"/>
        <w:spacing w:before="240" w:after="240" w:line="336" w:lineRule="auto"/>
        <w:jc w:val="both"/>
        <w:rPr>
          <w:rFonts w:cs="Arial"/>
          <w:b/>
          <w:bCs/>
          <w:color w:val="000000" w:themeColor="text1"/>
          <w:sz w:val="24"/>
          <w:szCs w:val="24"/>
          <w:lang w:val="es-ES"/>
        </w:rPr>
      </w:pPr>
      <w:r w:rsidRPr="00982313">
        <w:rPr>
          <w:rFonts w:cs="Arial"/>
          <w:b/>
          <w:bCs/>
          <w:color w:val="000000" w:themeColor="text1"/>
          <w:sz w:val="24"/>
          <w:szCs w:val="24"/>
          <w:lang w:val="es-ES"/>
        </w:rPr>
        <w:t>Caso concreto</w:t>
      </w:r>
    </w:p>
    <w:p w14:paraId="2BCAF1D3" w14:textId="74071585" w:rsidR="00350C15" w:rsidRPr="00982313" w:rsidRDefault="005252F5" w:rsidP="009B1330">
      <w:pPr>
        <w:widowControl w:val="0"/>
        <w:spacing w:before="240" w:after="240" w:line="336" w:lineRule="auto"/>
        <w:jc w:val="both"/>
        <w:rPr>
          <w:rFonts w:cs="Arial"/>
          <w:bCs/>
          <w:color w:val="000000" w:themeColor="text1"/>
          <w:sz w:val="24"/>
          <w:szCs w:val="24"/>
        </w:rPr>
      </w:pPr>
      <w:r w:rsidRPr="00982313">
        <w:rPr>
          <w:rFonts w:cs="Arial"/>
          <w:bCs/>
          <w:color w:val="000000" w:themeColor="text1"/>
          <w:sz w:val="24"/>
          <w:szCs w:val="24"/>
          <w:lang w:val="es-ES"/>
        </w:rPr>
        <w:t xml:space="preserve">En el caso, el </w:t>
      </w:r>
      <w:r w:rsidR="00350C15" w:rsidRPr="00982313">
        <w:rPr>
          <w:rFonts w:cs="Arial"/>
          <w:bCs/>
          <w:color w:val="000000" w:themeColor="text1"/>
          <w:sz w:val="24"/>
          <w:szCs w:val="24"/>
          <w:lang w:val="es-ES"/>
        </w:rPr>
        <w:t>veintiocho de julio</w:t>
      </w:r>
      <w:r w:rsidRPr="00982313">
        <w:rPr>
          <w:rFonts w:cs="Arial"/>
          <w:bCs/>
          <w:color w:val="000000" w:themeColor="text1"/>
          <w:sz w:val="24"/>
          <w:szCs w:val="24"/>
          <w:lang w:val="es-ES"/>
        </w:rPr>
        <w:t xml:space="preserve">, la Sala </w:t>
      </w:r>
      <w:r w:rsidR="00350C15" w:rsidRPr="00982313">
        <w:rPr>
          <w:rFonts w:cs="Arial"/>
          <w:bCs/>
          <w:color w:val="000000" w:themeColor="text1"/>
          <w:sz w:val="24"/>
          <w:szCs w:val="24"/>
          <w:lang w:val="es-ES"/>
        </w:rPr>
        <w:t>Xalapa</w:t>
      </w:r>
      <w:r w:rsidRPr="00982313">
        <w:rPr>
          <w:rFonts w:cs="Arial"/>
          <w:bCs/>
          <w:color w:val="000000" w:themeColor="text1"/>
          <w:sz w:val="24"/>
          <w:szCs w:val="24"/>
          <w:lang w:val="es-ES"/>
        </w:rPr>
        <w:t xml:space="preserve"> recibi</w:t>
      </w:r>
      <w:r w:rsidR="00350C15" w:rsidRPr="00982313">
        <w:rPr>
          <w:rFonts w:cs="Arial"/>
          <w:bCs/>
          <w:color w:val="000000" w:themeColor="text1"/>
          <w:sz w:val="24"/>
          <w:szCs w:val="24"/>
          <w:lang w:val="es-ES"/>
        </w:rPr>
        <w:t>ó,</w:t>
      </w:r>
      <w:r w:rsidRPr="00982313">
        <w:rPr>
          <w:rFonts w:cs="Arial"/>
          <w:bCs/>
          <w:color w:val="000000" w:themeColor="text1"/>
          <w:sz w:val="24"/>
          <w:szCs w:val="24"/>
          <w:lang w:val="es-ES"/>
        </w:rPr>
        <w:t xml:space="preserve"> por correo electrónico</w:t>
      </w:r>
      <w:r w:rsidR="00350C15" w:rsidRPr="00982313">
        <w:rPr>
          <w:rFonts w:cs="Arial"/>
          <w:bCs/>
          <w:color w:val="000000" w:themeColor="text1"/>
          <w:sz w:val="24"/>
          <w:szCs w:val="24"/>
          <w:lang w:val="es-ES"/>
        </w:rPr>
        <w:t>,</w:t>
      </w:r>
      <w:r w:rsidRPr="00982313">
        <w:rPr>
          <w:rFonts w:cs="Arial"/>
          <w:bCs/>
          <w:color w:val="000000" w:themeColor="text1"/>
          <w:sz w:val="24"/>
          <w:szCs w:val="24"/>
          <w:lang w:val="es-ES"/>
        </w:rPr>
        <w:t xml:space="preserve"> un archivo que contenía </w:t>
      </w:r>
      <w:r w:rsidR="00DF6D57" w:rsidRPr="00982313">
        <w:rPr>
          <w:rFonts w:cs="Arial"/>
          <w:bCs/>
          <w:color w:val="000000" w:themeColor="text1"/>
          <w:sz w:val="24"/>
          <w:szCs w:val="24"/>
          <w:lang w:val="es-ES"/>
        </w:rPr>
        <w:t>un</w:t>
      </w:r>
      <w:r w:rsidRPr="00982313">
        <w:rPr>
          <w:rFonts w:cs="Arial"/>
          <w:bCs/>
          <w:color w:val="000000" w:themeColor="text1"/>
          <w:sz w:val="24"/>
          <w:szCs w:val="24"/>
          <w:lang w:val="es-ES"/>
        </w:rPr>
        <w:t xml:space="preserve"> escrito de demanda, así como distintos anexos digitalizados (escaneados), </w:t>
      </w:r>
      <w:r w:rsidR="00350C15" w:rsidRPr="00982313">
        <w:rPr>
          <w:rFonts w:cs="Arial"/>
          <w:bCs/>
          <w:color w:val="000000" w:themeColor="text1"/>
          <w:sz w:val="24"/>
          <w:szCs w:val="24"/>
          <w:lang w:val="es-ES"/>
        </w:rPr>
        <w:t xml:space="preserve">mediante </w:t>
      </w:r>
      <w:r w:rsidRPr="00982313">
        <w:rPr>
          <w:rFonts w:cs="Arial"/>
          <w:bCs/>
          <w:color w:val="000000" w:themeColor="text1"/>
          <w:sz w:val="24"/>
          <w:szCs w:val="24"/>
          <w:lang w:val="es-ES"/>
        </w:rPr>
        <w:t xml:space="preserve">el cual, presuntamente </w:t>
      </w:r>
      <w:proofErr w:type="spellStart"/>
      <w:r w:rsidR="00350C15" w:rsidRPr="00982313">
        <w:rPr>
          <w:rFonts w:cs="Arial"/>
          <w:bCs/>
          <w:color w:val="000000" w:themeColor="text1"/>
          <w:sz w:val="24"/>
          <w:szCs w:val="24"/>
        </w:rPr>
        <w:t>Kyri</w:t>
      </w:r>
      <w:proofErr w:type="spellEnd"/>
      <w:r w:rsidR="00350C15" w:rsidRPr="00982313">
        <w:rPr>
          <w:rFonts w:cs="Arial"/>
          <w:bCs/>
          <w:color w:val="000000" w:themeColor="text1"/>
          <w:sz w:val="24"/>
          <w:szCs w:val="24"/>
        </w:rPr>
        <w:t xml:space="preserve"> Rebeca Vences Solís promovió el juicio ciudadano.</w:t>
      </w:r>
    </w:p>
    <w:p w14:paraId="400B75BA" w14:textId="69DC68E4" w:rsidR="005252F5" w:rsidRPr="00982313" w:rsidRDefault="00350C15" w:rsidP="009B1330">
      <w:pPr>
        <w:widowControl w:val="0"/>
        <w:spacing w:before="240" w:after="240" w:line="336" w:lineRule="auto"/>
        <w:jc w:val="both"/>
        <w:rPr>
          <w:rFonts w:cs="Arial"/>
          <w:bCs/>
          <w:color w:val="000000" w:themeColor="text1"/>
          <w:sz w:val="24"/>
          <w:szCs w:val="24"/>
          <w:lang w:val="es-ES"/>
        </w:rPr>
      </w:pPr>
      <w:r w:rsidRPr="00982313">
        <w:rPr>
          <w:rFonts w:cs="Arial"/>
          <w:bCs/>
          <w:color w:val="000000" w:themeColor="text1"/>
          <w:sz w:val="24"/>
          <w:szCs w:val="24"/>
        </w:rPr>
        <w:t xml:space="preserve">Lo anterior, a fin de controvertir el listado con los folios de los aspirantes que no acceden a la siguiente etapa del proceso de designación de consejerías electorales del OPLE en Yucatán emitido por la </w:t>
      </w:r>
      <w:r w:rsidRPr="00982313">
        <w:rPr>
          <w:rFonts w:cs="Arial"/>
          <w:color w:val="000000" w:themeColor="text1"/>
          <w:sz w:val="24"/>
          <w:szCs w:val="24"/>
        </w:rPr>
        <w:t>CVOPL</w:t>
      </w:r>
      <w:r w:rsidRPr="00982313">
        <w:rPr>
          <w:rFonts w:cs="Arial"/>
          <w:bCs/>
          <w:color w:val="000000" w:themeColor="text1"/>
          <w:sz w:val="24"/>
          <w:szCs w:val="24"/>
        </w:rPr>
        <w:t>.</w:t>
      </w:r>
    </w:p>
    <w:p w14:paraId="12B03983" w14:textId="02BCF627" w:rsidR="005252F5" w:rsidRPr="00982313" w:rsidRDefault="00350C15" w:rsidP="009B1330">
      <w:pPr>
        <w:widowControl w:val="0"/>
        <w:spacing w:before="240" w:after="240" w:line="336" w:lineRule="auto"/>
        <w:jc w:val="both"/>
        <w:rPr>
          <w:rFonts w:cs="Arial"/>
          <w:bCs/>
          <w:color w:val="000000" w:themeColor="text1"/>
          <w:sz w:val="24"/>
          <w:szCs w:val="24"/>
          <w:lang w:val="es-ES"/>
        </w:rPr>
      </w:pPr>
      <w:r w:rsidRPr="00982313">
        <w:rPr>
          <w:rFonts w:cs="Arial"/>
          <w:bCs/>
          <w:color w:val="000000" w:themeColor="text1"/>
          <w:sz w:val="24"/>
          <w:szCs w:val="24"/>
          <w:lang w:val="es-ES"/>
        </w:rPr>
        <w:t xml:space="preserve">En este sentido, </w:t>
      </w:r>
      <w:r w:rsidR="005252F5" w:rsidRPr="00982313">
        <w:rPr>
          <w:rFonts w:cs="Arial"/>
          <w:bCs/>
          <w:color w:val="000000" w:themeColor="text1"/>
          <w:sz w:val="24"/>
          <w:szCs w:val="24"/>
          <w:lang w:val="es-ES"/>
        </w:rPr>
        <w:t xml:space="preserve">el expediente </w:t>
      </w:r>
      <w:r w:rsidRPr="00982313">
        <w:rPr>
          <w:rFonts w:cs="Arial"/>
          <w:bCs/>
          <w:color w:val="000000" w:themeColor="text1"/>
          <w:sz w:val="24"/>
          <w:szCs w:val="24"/>
          <w:lang w:val="es-ES"/>
        </w:rPr>
        <w:t xml:space="preserve">respectivo </w:t>
      </w:r>
      <w:r w:rsidR="005252F5" w:rsidRPr="00982313">
        <w:rPr>
          <w:rFonts w:cs="Arial"/>
          <w:bCs/>
          <w:color w:val="000000" w:themeColor="text1"/>
          <w:sz w:val="24"/>
          <w:szCs w:val="24"/>
          <w:lang w:val="es-ES"/>
        </w:rPr>
        <w:t xml:space="preserve">se integró con una impresión del escrito digitalizado y de los anexos a este, recibidos por correo electrónico, así como con la documentación remitida en su momento por la Sala </w:t>
      </w:r>
      <w:r w:rsidRPr="00982313">
        <w:rPr>
          <w:rFonts w:cs="Arial"/>
          <w:bCs/>
          <w:color w:val="000000" w:themeColor="text1"/>
          <w:sz w:val="24"/>
          <w:szCs w:val="24"/>
          <w:lang w:val="es-ES"/>
        </w:rPr>
        <w:t>Xalapa</w:t>
      </w:r>
      <w:r w:rsidR="005252F5" w:rsidRPr="00982313">
        <w:rPr>
          <w:rFonts w:cs="Arial"/>
          <w:bCs/>
          <w:color w:val="000000" w:themeColor="text1"/>
          <w:sz w:val="24"/>
          <w:szCs w:val="24"/>
          <w:lang w:val="es-ES"/>
        </w:rPr>
        <w:t>.</w:t>
      </w:r>
    </w:p>
    <w:p w14:paraId="430A61BC" w14:textId="14FA015D" w:rsidR="00DF6D57" w:rsidRPr="00982313" w:rsidRDefault="00DF6D57" w:rsidP="009B1330">
      <w:pPr>
        <w:widowControl w:val="0"/>
        <w:spacing w:before="240" w:after="240" w:line="336" w:lineRule="auto"/>
        <w:jc w:val="both"/>
        <w:rPr>
          <w:rFonts w:cs="Arial"/>
          <w:bCs/>
          <w:color w:val="000000" w:themeColor="text1"/>
          <w:sz w:val="24"/>
          <w:szCs w:val="24"/>
          <w:lang w:val="es-ES"/>
        </w:rPr>
      </w:pPr>
      <w:r w:rsidRPr="00982313">
        <w:rPr>
          <w:rFonts w:cs="Arial"/>
          <w:bCs/>
          <w:color w:val="000000" w:themeColor="text1"/>
          <w:sz w:val="24"/>
          <w:szCs w:val="24"/>
          <w:lang w:val="es-ES"/>
        </w:rPr>
        <w:t xml:space="preserve">Sin embargo, </w:t>
      </w:r>
      <w:r w:rsidR="00350C15" w:rsidRPr="00982313">
        <w:rPr>
          <w:rFonts w:cs="Arial"/>
          <w:bCs/>
          <w:color w:val="000000" w:themeColor="text1"/>
          <w:sz w:val="24"/>
          <w:szCs w:val="24"/>
          <w:lang w:val="es-ES"/>
        </w:rPr>
        <w:t xml:space="preserve">ante </w:t>
      </w:r>
      <w:r w:rsidR="005252F5" w:rsidRPr="00982313">
        <w:rPr>
          <w:rFonts w:cs="Arial"/>
          <w:bCs/>
          <w:color w:val="000000" w:themeColor="text1"/>
          <w:sz w:val="24"/>
          <w:szCs w:val="24"/>
          <w:lang w:val="es-ES"/>
        </w:rPr>
        <w:t xml:space="preserve">la ausencia de </w:t>
      </w:r>
      <w:r w:rsidR="00350C15" w:rsidRPr="00982313">
        <w:rPr>
          <w:rFonts w:cs="Arial"/>
          <w:bCs/>
          <w:color w:val="000000" w:themeColor="text1"/>
          <w:sz w:val="24"/>
          <w:szCs w:val="24"/>
          <w:lang w:val="es-ES"/>
        </w:rPr>
        <w:t xml:space="preserve">la </w:t>
      </w:r>
      <w:r w:rsidR="005252F5" w:rsidRPr="00982313">
        <w:rPr>
          <w:rFonts w:cs="Arial"/>
          <w:bCs/>
          <w:color w:val="000000" w:themeColor="text1"/>
          <w:sz w:val="24"/>
          <w:szCs w:val="24"/>
          <w:lang w:val="es-ES"/>
        </w:rPr>
        <w:t xml:space="preserve">firma </w:t>
      </w:r>
      <w:r w:rsidR="00350C15" w:rsidRPr="00982313">
        <w:rPr>
          <w:rFonts w:cs="Arial"/>
          <w:bCs/>
          <w:color w:val="000000" w:themeColor="text1"/>
          <w:sz w:val="24"/>
          <w:szCs w:val="24"/>
          <w:lang w:val="es-ES"/>
        </w:rPr>
        <w:t xml:space="preserve">autógrafa en la demanda, esta Sala Superior concluye que no existen elementos que permitan verificar que los archivos recibidos por correo electrónico efectivamente correspondan a un medio de impugnación </w:t>
      </w:r>
      <w:r w:rsidRPr="00982313">
        <w:rPr>
          <w:rFonts w:cs="Arial"/>
          <w:bCs/>
          <w:color w:val="000000" w:themeColor="text1"/>
          <w:sz w:val="24"/>
          <w:szCs w:val="24"/>
          <w:lang w:val="es-ES"/>
        </w:rPr>
        <w:t>promovido</w:t>
      </w:r>
      <w:r w:rsidR="00350C15" w:rsidRPr="00982313">
        <w:rPr>
          <w:rFonts w:cs="Arial"/>
          <w:bCs/>
          <w:color w:val="000000" w:themeColor="text1"/>
          <w:sz w:val="24"/>
          <w:szCs w:val="24"/>
          <w:lang w:val="es-ES"/>
        </w:rPr>
        <w:t xml:space="preserve"> por </w:t>
      </w:r>
      <w:proofErr w:type="spellStart"/>
      <w:r w:rsidRPr="00982313">
        <w:rPr>
          <w:rFonts w:cs="Arial"/>
          <w:bCs/>
          <w:color w:val="000000" w:themeColor="text1"/>
          <w:sz w:val="24"/>
          <w:szCs w:val="24"/>
        </w:rPr>
        <w:t>Kyri</w:t>
      </w:r>
      <w:proofErr w:type="spellEnd"/>
      <w:r w:rsidRPr="00982313">
        <w:rPr>
          <w:rFonts w:cs="Arial"/>
          <w:bCs/>
          <w:color w:val="000000" w:themeColor="text1"/>
          <w:sz w:val="24"/>
          <w:szCs w:val="24"/>
        </w:rPr>
        <w:t xml:space="preserve"> Rebeca Vences Solís</w:t>
      </w:r>
      <w:r w:rsidR="00CC2133" w:rsidRPr="00982313">
        <w:rPr>
          <w:rFonts w:cs="Arial"/>
          <w:bCs/>
          <w:color w:val="000000" w:themeColor="text1"/>
          <w:sz w:val="24"/>
          <w:szCs w:val="24"/>
        </w:rPr>
        <w:t>.</w:t>
      </w:r>
    </w:p>
    <w:p w14:paraId="135BF7A1" w14:textId="290D71AE" w:rsidR="005252F5" w:rsidRPr="00982313" w:rsidRDefault="00DF6D57" w:rsidP="009B1330">
      <w:pPr>
        <w:widowControl w:val="0"/>
        <w:spacing w:before="240" w:after="240" w:line="336" w:lineRule="auto"/>
        <w:jc w:val="both"/>
        <w:rPr>
          <w:rFonts w:cs="Arial"/>
          <w:bCs/>
          <w:color w:val="000000" w:themeColor="text1"/>
          <w:sz w:val="24"/>
          <w:szCs w:val="24"/>
          <w:lang w:val="es-ES"/>
        </w:rPr>
      </w:pPr>
      <w:r w:rsidRPr="00982313">
        <w:rPr>
          <w:rFonts w:cs="Arial"/>
          <w:bCs/>
          <w:color w:val="000000" w:themeColor="text1"/>
          <w:sz w:val="24"/>
          <w:szCs w:val="24"/>
          <w:lang w:val="es-ES"/>
        </w:rPr>
        <w:t xml:space="preserve">Asimismo, es menester </w:t>
      </w:r>
      <w:r w:rsidR="005252F5" w:rsidRPr="00982313">
        <w:rPr>
          <w:rFonts w:cs="Arial"/>
          <w:bCs/>
          <w:color w:val="000000" w:themeColor="text1"/>
          <w:sz w:val="24"/>
          <w:szCs w:val="24"/>
          <w:lang w:val="es-ES"/>
        </w:rPr>
        <w:t xml:space="preserve">precisar que en el documento que fue remitido por correo electrónico, que es la supuesta demanda del </w:t>
      </w:r>
      <w:r w:rsidR="00A773A0" w:rsidRPr="00982313">
        <w:rPr>
          <w:rFonts w:cs="Arial"/>
          <w:bCs/>
          <w:color w:val="000000" w:themeColor="text1"/>
          <w:sz w:val="24"/>
          <w:szCs w:val="24"/>
          <w:lang w:val="es-ES"/>
        </w:rPr>
        <w:t>juicio al rubro indicado</w:t>
      </w:r>
      <w:r w:rsidR="005252F5" w:rsidRPr="00982313">
        <w:rPr>
          <w:rFonts w:cs="Arial"/>
          <w:bCs/>
          <w:color w:val="000000" w:themeColor="text1"/>
          <w:sz w:val="24"/>
          <w:szCs w:val="24"/>
          <w:lang w:val="es-ES"/>
        </w:rPr>
        <w:t>, no se expone alguna cuestión que hubiese dificultado o imposibilitado a</w:t>
      </w:r>
      <w:r w:rsidRPr="00982313">
        <w:rPr>
          <w:rFonts w:cs="Arial"/>
          <w:bCs/>
          <w:color w:val="000000" w:themeColor="text1"/>
          <w:sz w:val="24"/>
          <w:szCs w:val="24"/>
          <w:lang w:val="es-ES"/>
        </w:rPr>
        <w:t xml:space="preserve"> </w:t>
      </w:r>
      <w:r w:rsidR="005252F5" w:rsidRPr="00982313">
        <w:rPr>
          <w:rFonts w:cs="Arial"/>
          <w:bCs/>
          <w:color w:val="000000" w:themeColor="text1"/>
          <w:sz w:val="24"/>
          <w:szCs w:val="24"/>
          <w:lang w:val="es-ES"/>
        </w:rPr>
        <w:t>l</w:t>
      </w:r>
      <w:r w:rsidRPr="00982313">
        <w:rPr>
          <w:rFonts w:cs="Arial"/>
          <w:bCs/>
          <w:color w:val="000000" w:themeColor="text1"/>
          <w:sz w:val="24"/>
          <w:szCs w:val="24"/>
          <w:lang w:val="es-ES"/>
        </w:rPr>
        <w:t>a</w:t>
      </w:r>
      <w:r w:rsidR="005252F5" w:rsidRPr="00982313">
        <w:rPr>
          <w:rFonts w:cs="Arial"/>
          <w:bCs/>
          <w:color w:val="000000" w:themeColor="text1"/>
          <w:sz w:val="24"/>
          <w:szCs w:val="24"/>
          <w:lang w:val="es-ES"/>
        </w:rPr>
        <w:t xml:space="preserve"> promovente, la </w:t>
      </w:r>
      <w:r w:rsidRPr="00982313">
        <w:rPr>
          <w:rFonts w:cs="Arial"/>
          <w:bCs/>
          <w:color w:val="000000" w:themeColor="text1"/>
          <w:sz w:val="24"/>
          <w:szCs w:val="24"/>
          <w:lang w:val="es-ES"/>
        </w:rPr>
        <w:t xml:space="preserve">promoción del </w:t>
      </w:r>
      <w:r w:rsidR="00A773A0" w:rsidRPr="00982313">
        <w:rPr>
          <w:rFonts w:cs="Arial"/>
          <w:bCs/>
          <w:color w:val="000000" w:themeColor="text1"/>
          <w:sz w:val="24"/>
          <w:szCs w:val="24"/>
          <w:lang w:val="es-ES"/>
        </w:rPr>
        <w:t>medio de impugnación</w:t>
      </w:r>
      <w:r w:rsidRPr="00982313">
        <w:rPr>
          <w:rFonts w:cs="Arial"/>
          <w:bCs/>
          <w:color w:val="000000" w:themeColor="text1"/>
          <w:sz w:val="24"/>
          <w:szCs w:val="24"/>
          <w:lang w:val="es-ES"/>
        </w:rPr>
        <w:t xml:space="preserve"> </w:t>
      </w:r>
      <w:r w:rsidR="005252F5" w:rsidRPr="00982313">
        <w:rPr>
          <w:rFonts w:cs="Arial"/>
          <w:bCs/>
          <w:color w:val="000000" w:themeColor="text1"/>
          <w:sz w:val="24"/>
          <w:szCs w:val="24"/>
          <w:lang w:val="es-ES"/>
        </w:rPr>
        <w:t>en los términos que exige la Ley de Medios.</w:t>
      </w:r>
    </w:p>
    <w:p w14:paraId="7E43ABBC" w14:textId="77777777" w:rsidR="00932F98" w:rsidRPr="00982313" w:rsidRDefault="002845CE" w:rsidP="009B1330">
      <w:pPr>
        <w:widowControl w:val="0"/>
        <w:spacing w:before="240" w:after="240" w:line="336" w:lineRule="auto"/>
        <w:jc w:val="both"/>
        <w:rPr>
          <w:rFonts w:cs="Arial"/>
          <w:bCs/>
          <w:color w:val="000000" w:themeColor="text1"/>
          <w:sz w:val="24"/>
          <w:szCs w:val="24"/>
          <w:lang w:val="es-ES"/>
        </w:rPr>
      </w:pPr>
      <w:r w:rsidRPr="00982313">
        <w:rPr>
          <w:rFonts w:cs="Arial"/>
          <w:bCs/>
          <w:color w:val="000000" w:themeColor="text1"/>
          <w:sz w:val="24"/>
          <w:szCs w:val="24"/>
          <w:lang w:val="es-ES"/>
        </w:rPr>
        <w:t xml:space="preserve">De igual forma, </w:t>
      </w:r>
      <w:r w:rsidR="00932F98" w:rsidRPr="00982313">
        <w:rPr>
          <w:rFonts w:cs="Arial"/>
          <w:bCs/>
          <w:color w:val="000000" w:themeColor="text1"/>
          <w:sz w:val="24"/>
          <w:szCs w:val="24"/>
          <w:lang w:val="es-ES"/>
        </w:rPr>
        <w:t xml:space="preserve">de las constancias de autos, no se advierte </w:t>
      </w:r>
      <w:r w:rsidR="005252F5" w:rsidRPr="00982313">
        <w:rPr>
          <w:rFonts w:cs="Arial"/>
          <w:bCs/>
          <w:color w:val="000000" w:themeColor="text1"/>
          <w:sz w:val="24"/>
          <w:szCs w:val="24"/>
          <w:lang w:val="es-ES"/>
        </w:rPr>
        <w:t>que l</w:t>
      </w:r>
      <w:r w:rsidR="00932F98" w:rsidRPr="00982313">
        <w:rPr>
          <w:rFonts w:cs="Arial"/>
          <w:bCs/>
          <w:color w:val="000000" w:themeColor="text1"/>
          <w:sz w:val="24"/>
          <w:szCs w:val="24"/>
          <w:lang w:val="es-ES"/>
        </w:rPr>
        <w:t>a</w:t>
      </w:r>
      <w:r w:rsidR="005252F5" w:rsidRPr="00982313">
        <w:rPr>
          <w:rFonts w:cs="Arial"/>
          <w:bCs/>
          <w:color w:val="000000" w:themeColor="text1"/>
          <w:sz w:val="24"/>
          <w:szCs w:val="24"/>
          <w:lang w:val="es-ES"/>
        </w:rPr>
        <w:t xml:space="preserve"> promovente estuv</w:t>
      </w:r>
      <w:r w:rsidR="00932F98" w:rsidRPr="00982313">
        <w:rPr>
          <w:rFonts w:cs="Arial"/>
          <w:bCs/>
          <w:color w:val="000000" w:themeColor="text1"/>
          <w:sz w:val="24"/>
          <w:szCs w:val="24"/>
          <w:lang w:val="es-ES"/>
        </w:rPr>
        <w:t>iera</w:t>
      </w:r>
      <w:r w:rsidR="005252F5" w:rsidRPr="00982313">
        <w:rPr>
          <w:rFonts w:cs="Arial"/>
          <w:bCs/>
          <w:color w:val="000000" w:themeColor="text1"/>
          <w:sz w:val="24"/>
          <w:szCs w:val="24"/>
          <w:lang w:val="es-ES"/>
        </w:rPr>
        <w:t xml:space="preserve"> imposibilitad</w:t>
      </w:r>
      <w:r w:rsidR="00932F98" w:rsidRPr="00982313">
        <w:rPr>
          <w:rFonts w:cs="Arial"/>
          <w:bCs/>
          <w:color w:val="000000" w:themeColor="text1"/>
          <w:sz w:val="24"/>
          <w:szCs w:val="24"/>
          <w:lang w:val="es-ES"/>
        </w:rPr>
        <w:t>a</w:t>
      </w:r>
      <w:r w:rsidR="005252F5" w:rsidRPr="00982313">
        <w:rPr>
          <w:rFonts w:cs="Arial"/>
          <w:bCs/>
          <w:color w:val="000000" w:themeColor="text1"/>
          <w:sz w:val="24"/>
          <w:szCs w:val="24"/>
          <w:lang w:val="es-ES"/>
        </w:rPr>
        <w:t xml:space="preserve"> </w:t>
      </w:r>
      <w:r w:rsidR="00932F98" w:rsidRPr="00982313">
        <w:rPr>
          <w:rFonts w:cs="Arial"/>
          <w:bCs/>
          <w:color w:val="000000" w:themeColor="text1"/>
          <w:sz w:val="24"/>
          <w:szCs w:val="24"/>
          <w:lang w:val="es-ES"/>
        </w:rPr>
        <w:t xml:space="preserve">para </w:t>
      </w:r>
      <w:r w:rsidR="005252F5" w:rsidRPr="00982313">
        <w:rPr>
          <w:rFonts w:cs="Arial"/>
          <w:bCs/>
          <w:color w:val="000000" w:themeColor="text1"/>
          <w:sz w:val="24"/>
          <w:szCs w:val="24"/>
          <w:lang w:val="es-ES"/>
        </w:rPr>
        <w:t>satisfacer los requisitos que son exigidos por el marco normativo, como sí ha sucedido en otros casos</w:t>
      </w:r>
      <w:r w:rsidR="00932F98" w:rsidRPr="00982313">
        <w:rPr>
          <w:rFonts w:cs="Arial"/>
          <w:bCs/>
          <w:color w:val="000000" w:themeColor="text1"/>
          <w:sz w:val="24"/>
          <w:szCs w:val="24"/>
          <w:lang w:val="es-ES"/>
        </w:rPr>
        <w:t>.</w:t>
      </w:r>
    </w:p>
    <w:p w14:paraId="0F984211" w14:textId="0164D5BD" w:rsidR="00CC2133" w:rsidRPr="00982313" w:rsidRDefault="00932F98" w:rsidP="009B1330">
      <w:pPr>
        <w:widowControl w:val="0"/>
        <w:spacing w:before="240" w:after="240" w:line="336" w:lineRule="auto"/>
        <w:jc w:val="both"/>
        <w:rPr>
          <w:rFonts w:cs="Arial"/>
          <w:bCs/>
          <w:color w:val="000000" w:themeColor="text1"/>
          <w:sz w:val="24"/>
          <w:szCs w:val="24"/>
        </w:rPr>
      </w:pPr>
      <w:r w:rsidRPr="00982313">
        <w:rPr>
          <w:rFonts w:cs="Arial"/>
          <w:bCs/>
          <w:color w:val="000000" w:themeColor="text1"/>
          <w:sz w:val="24"/>
          <w:szCs w:val="24"/>
          <w:lang w:val="es-ES"/>
        </w:rPr>
        <w:lastRenderedPageBreak/>
        <w:t xml:space="preserve">En efecto, en el recurso de reconsideración </w:t>
      </w:r>
      <w:r w:rsidR="005252F5" w:rsidRPr="00982313">
        <w:rPr>
          <w:rFonts w:cs="Arial"/>
          <w:b/>
          <w:color w:val="000000" w:themeColor="text1"/>
          <w:sz w:val="24"/>
          <w:szCs w:val="24"/>
          <w:lang w:val="es-ES"/>
        </w:rPr>
        <w:t>SUP-REC-74/2020</w:t>
      </w:r>
      <w:r w:rsidR="005252F5" w:rsidRPr="00982313">
        <w:rPr>
          <w:rFonts w:cs="Arial"/>
          <w:bCs/>
          <w:color w:val="000000" w:themeColor="text1"/>
          <w:sz w:val="24"/>
          <w:szCs w:val="24"/>
          <w:lang w:val="es-ES"/>
        </w:rPr>
        <w:t xml:space="preserve">, </w:t>
      </w:r>
      <w:r w:rsidR="00CC2133" w:rsidRPr="00982313">
        <w:rPr>
          <w:rFonts w:cs="Arial"/>
          <w:bCs/>
          <w:color w:val="000000" w:themeColor="text1"/>
          <w:sz w:val="24"/>
          <w:szCs w:val="24"/>
        </w:rPr>
        <w:t>se determinó que era válido que la demanda se presentara mediante correo electrónico, pues se trataba de la solicitud de medidas cautelare</w:t>
      </w:r>
      <w:r w:rsidR="005A17A6" w:rsidRPr="00982313">
        <w:rPr>
          <w:rFonts w:cs="Arial"/>
          <w:bCs/>
          <w:color w:val="000000" w:themeColor="text1"/>
          <w:sz w:val="24"/>
          <w:szCs w:val="24"/>
        </w:rPr>
        <w:t xml:space="preserve"> y se advirtieron circunstancias que justificaban esa forma de presentación, a saber, la existencia de </w:t>
      </w:r>
      <w:r w:rsidR="005A17A6" w:rsidRPr="00982313">
        <w:rPr>
          <w:rFonts w:cs="Arial"/>
          <w:bCs/>
          <w:color w:val="000000" w:themeColor="text1"/>
          <w:sz w:val="24"/>
          <w:szCs w:val="24"/>
          <w:lang w:val="es-ES"/>
        </w:rPr>
        <w:t>contingencia sanitaria, el ámbito geográfico y la pertenencia a una comunidad indígena</w:t>
      </w:r>
      <w:r w:rsidR="005A17A6" w:rsidRPr="00982313" w:rsidDel="005A17A6">
        <w:rPr>
          <w:rFonts w:cs="Arial"/>
          <w:bCs/>
          <w:color w:val="000000" w:themeColor="text1"/>
          <w:sz w:val="24"/>
          <w:szCs w:val="24"/>
        </w:rPr>
        <w:t xml:space="preserve"> </w:t>
      </w:r>
      <w:r w:rsidR="005A17A6" w:rsidRPr="00982313">
        <w:rPr>
          <w:rFonts w:cs="Arial"/>
          <w:bCs/>
          <w:color w:val="000000" w:themeColor="text1"/>
          <w:sz w:val="24"/>
          <w:szCs w:val="24"/>
        </w:rPr>
        <w:t>del recurrente.</w:t>
      </w:r>
    </w:p>
    <w:p w14:paraId="452F43F1" w14:textId="2440DE09" w:rsidR="005252F5" w:rsidRPr="00982313" w:rsidRDefault="00CC2133" w:rsidP="009B1330">
      <w:pPr>
        <w:widowControl w:val="0"/>
        <w:spacing w:before="240" w:after="240" w:line="336" w:lineRule="auto"/>
        <w:jc w:val="both"/>
        <w:rPr>
          <w:rFonts w:cs="Arial"/>
          <w:bCs/>
          <w:color w:val="000000" w:themeColor="text1"/>
          <w:sz w:val="24"/>
          <w:szCs w:val="24"/>
          <w:lang w:val="es-ES"/>
        </w:rPr>
      </w:pPr>
      <w:r w:rsidRPr="00982313">
        <w:rPr>
          <w:rFonts w:cs="Arial"/>
          <w:bCs/>
          <w:color w:val="000000" w:themeColor="text1"/>
          <w:sz w:val="24"/>
          <w:szCs w:val="24"/>
          <w:lang w:val="es-ES"/>
        </w:rPr>
        <w:t>En ese asunto</w:t>
      </w:r>
      <w:r w:rsidR="00932F98" w:rsidRPr="00982313">
        <w:rPr>
          <w:rFonts w:cs="Arial"/>
          <w:bCs/>
          <w:color w:val="000000" w:themeColor="text1"/>
          <w:sz w:val="24"/>
          <w:szCs w:val="24"/>
          <w:lang w:val="es-ES"/>
        </w:rPr>
        <w:t xml:space="preserve">, </w:t>
      </w:r>
      <w:r w:rsidR="005A17A6" w:rsidRPr="00982313">
        <w:rPr>
          <w:rFonts w:cs="Arial"/>
          <w:bCs/>
          <w:color w:val="000000" w:themeColor="text1"/>
          <w:sz w:val="24"/>
          <w:szCs w:val="24"/>
          <w:lang w:val="es-ES"/>
        </w:rPr>
        <w:t xml:space="preserve">a diferencia del caso que se analiza, </w:t>
      </w:r>
      <w:r w:rsidR="005252F5" w:rsidRPr="00982313">
        <w:rPr>
          <w:rFonts w:cs="Arial"/>
          <w:bCs/>
          <w:color w:val="000000" w:themeColor="text1"/>
          <w:sz w:val="24"/>
          <w:szCs w:val="24"/>
          <w:lang w:val="es-ES"/>
        </w:rPr>
        <w:t xml:space="preserve">se realizó un ejercicio de valoración de las circunstancias e imposibilidades específicas señaladas por los promoventes, como son la calidad y/o situaciones evidentes de desventaja de los accionantes, y otros elementos, como la dificultad de traslado frente a circunstancias extraordinarias </w:t>
      </w:r>
      <w:r w:rsidRPr="00982313">
        <w:rPr>
          <w:rFonts w:cs="Arial"/>
          <w:bCs/>
          <w:color w:val="000000" w:themeColor="text1"/>
          <w:sz w:val="24"/>
          <w:szCs w:val="24"/>
          <w:lang w:val="es-ES"/>
        </w:rPr>
        <w:t>motivadas por</w:t>
      </w:r>
      <w:r w:rsidR="005252F5" w:rsidRPr="00982313">
        <w:rPr>
          <w:rFonts w:cs="Arial"/>
          <w:bCs/>
          <w:color w:val="000000" w:themeColor="text1"/>
          <w:sz w:val="24"/>
          <w:szCs w:val="24"/>
          <w:lang w:val="es-ES"/>
        </w:rPr>
        <w:t xml:space="preserve"> </w:t>
      </w:r>
      <w:r w:rsidRPr="00982313">
        <w:rPr>
          <w:rFonts w:cs="Arial"/>
          <w:bCs/>
          <w:color w:val="000000" w:themeColor="text1"/>
          <w:sz w:val="24"/>
          <w:szCs w:val="24"/>
          <w:lang w:val="es-ES"/>
        </w:rPr>
        <w:t>emergencia sanitaria</w:t>
      </w:r>
      <w:r w:rsidR="005252F5" w:rsidRPr="00982313">
        <w:rPr>
          <w:rFonts w:cs="Arial"/>
          <w:bCs/>
          <w:color w:val="000000" w:themeColor="text1"/>
          <w:sz w:val="24"/>
          <w:szCs w:val="24"/>
          <w:lang w:val="es-ES"/>
        </w:rPr>
        <w:t>.</w:t>
      </w:r>
    </w:p>
    <w:p w14:paraId="0E830BF8" w14:textId="04C30E58" w:rsidR="00932F98" w:rsidRPr="00982313" w:rsidRDefault="00932F98" w:rsidP="009B1330">
      <w:pPr>
        <w:widowControl w:val="0"/>
        <w:spacing w:before="240" w:after="240" w:line="336" w:lineRule="auto"/>
        <w:jc w:val="both"/>
        <w:rPr>
          <w:rFonts w:cs="Arial"/>
          <w:bCs/>
          <w:color w:val="000000" w:themeColor="text1"/>
          <w:sz w:val="24"/>
          <w:szCs w:val="24"/>
        </w:rPr>
      </w:pPr>
      <w:r w:rsidRPr="00982313">
        <w:rPr>
          <w:rFonts w:cs="Arial"/>
          <w:bCs/>
          <w:color w:val="000000" w:themeColor="text1"/>
          <w:sz w:val="24"/>
          <w:szCs w:val="24"/>
          <w:lang w:val="es-ES"/>
        </w:rPr>
        <w:t xml:space="preserve">Por otra parte, </w:t>
      </w:r>
      <w:r w:rsidR="005252F5" w:rsidRPr="00982313">
        <w:rPr>
          <w:rFonts w:cs="Arial"/>
          <w:bCs/>
          <w:color w:val="000000" w:themeColor="text1"/>
          <w:sz w:val="24"/>
          <w:szCs w:val="24"/>
          <w:lang w:val="es-ES"/>
        </w:rPr>
        <w:t xml:space="preserve">en el juicio </w:t>
      </w:r>
      <w:r w:rsidR="005252F5" w:rsidRPr="00982313">
        <w:rPr>
          <w:rFonts w:cs="Arial"/>
          <w:b/>
          <w:color w:val="000000" w:themeColor="text1"/>
          <w:sz w:val="24"/>
          <w:szCs w:val="24"/>
          <w:lang w:val="es-ES"/>
        </w:rPr>
        <w:t>SUP-JRC-7/2020</w:t>
      </w:r>
      <w:r w:rsidR="005252F5" w:rsidRPr="00982313">
        <w:rPr>
          <w:rFonts w:cs="Arial"/>
          <w:bCs/>
          <w:color w:val="000000" w:themeColor="text1"/>
          <w:sz w:val="24"/>
          <w:szCs w:val="24"/>
          <w:lang w:val="es-ES"/>
        </w:rPr>
        <w:t xml:space="preserve">, </w:t>
      </w:r>
      <w:r w:rsidRPr="00982313">
        <w:rPr>
          <w:rFonts w:cs="Arial"/>
          <w:bCs/>
          <w:color w:val="000000" w:themeColor="text1"/>
          <w:sz w:val="24"/>
          <w:szCs w:val="24"/>
          <w:lang w:val="es-ES"/>
        </w:rPr>
        <w:t xml:space="preserve">se </w:t>
      </w:r>
      <w:r w:rsidRPr="00982313">
        <w:rPr>
          <w:rFonts w:cs="Arial"/>
          <w:bCs/>
          <w:color w:val="000000" w:themeColor="text1"/>
          <w:sz w:val="24"/>
          <w:szCs w:val="24"/>
        </w:rPr>
        <w:t xml:space="preserve">determinó que la demanda presentada por correo electrónico ante el Instituto Electoral y de Participación de Durango era válida, porque las actuaciones de ese instituto </w:t>
      </w:r>
      <w:r w:rsidRPr="00982313">
        <w:rPr>
          <w:rFonts w:cs="Arial"/>
          <w:bCs/>
          <w:color w:val="000000" w:themeColor="text1"/>
          <w:sz w:val="24"/>
          <w:szCs w:val="24"/>
          <w:lang w:val="es-ES"/>
        </w:rPr>
        <w:t>motivaron una situación excepcional para no presentar la demanda por escrito.</w:t>
      </w:r>
    </w:p>
    <w:p w14:paraId="414E52E3" w14:textId="64257AA9" w:rsidR="005252F5" w:rsidRPr="00982313" w:rsidRDefault="00932F98" w:rsidP="009B1330">
      <w:pPr>
        <w:widowControl w:val="0"/>
        <w:spacing w:before="240" w:after="240" w:line="336" w:lineRule="auto"/>
        <w:jc w:val="both"/>
        <w:rPr>
          <w:rFonts w:cs="Arial"/>
          <w:bCs/>
          <w:color w:val="000000" w:themeColor="text1"/>
          <w:sz w:val="24"/>
          <w:szCs w:val="24"/>
          <w:lang w:val="es-ES"/>
        </w:rPr>
      </w:pPr>
      <w:r w:rsidRPr="00982313">
        <w:rPr>
          <w:rFonts w:cs="Arial"/>
          <w:bCs/>
          <w:color w:val="000000" w:themeColor="text1"/>
          <w:sz w:val="24"/>
          <w:szCs w:val="24"/>
          <w:lang w:val="es-ES"/>
        </w:rPr>
        <w:t xml:space="preserve">Lo anterior, porque </w:t>
      </w:r>
      <w:r w:rsidR="005252F5" w:rsidRPr="00982313">
        <w:rPr>
          <w:rFonts w:cs="Arial"/>
          <w:bCs/>
          <w:color w:val="000000" w:themeColor="text1"/>
          <w:sz w:val="24"/>
          <w:szCs w:val="24"/>
          <w:lang w:val="es-ES"/>
        </w:rPr>
        <w:t xml:space="preserve">al recibir el escrito </w:t>
      </w:r>
      <w:r w:rsidRPr="00982313">
        <w:rPr>
          <w:rFonts w:cs="Arial"/>
          <w:bCs/>
          <w:color w:val="000000" w:themeColor="text1"/>
          <w:sz w:val="24"/>
          <w:szCs w:val="24"/>
          <w:lang w:val="es-ES"/>
        </w:rPr>
        <w:t xml:space="preserve">de demanda </w:t>
      </w:r>
      <w:r w:rsidR="005252F5" w:rsidRPr="00982313">
        <w:rPr>
          <w:rFonts w:cs="Arial"/>
          <w:bCs/>
          <w:color w:val="000000" w:themeColor="text1"/>
          <w:sz w:val="24"/>
          <w:szCs w:val="24"/>
          <w:lang w:val="es-ES"/>
        </w:rPr>
        <w:t>del partido político actor en la cuenta del correo institucional de dicho Instituto, procedió a su recepción y a dar el trámite que establece la legislación adjetiva local, por lo que el proceder de la autoridad administrativa no podía obrar en perjuicio del promovente, cuestión que no sucede en el presente asunto.</w:t>
      </w:r>
    </w:p>
    <w:p w14:paraId="74CE9C3D" w14:textId="03CEDEDB" w:rsidR="005252F5" w:rsidRPr="00982313" w:rsidRDefault="00CC2133" w:rsidP="009B1330">
      <w:pPr>
        <w:widowControl w:val="0"/>
        <w:spacing w:before="240" w:after="240" w:line="336" w:lineRule="auto"/>
        <w:jc w:val="both"/>
        <w:rPr>
          <w:rFonts w:cs="Arial"/>
          <w:bCs/>
          <w:color w:val="000000" w:themeColor="text1"/>
          <w:sz w:val="24"/>
          <w:szCs w:val="24"/>
          <w:lang w:val="es-ES"/>
        </w:rPr>
      </w:pPr>
      <w:r w:rsidRPr="00982313">
        <w:rPr>
          <w:rFonts w:cs="Arial"/>
          <w:bCs/>
          <w:color w:val="000000" w:themeColor="text1"/>
          <w:sz w:val="24"/>
          <w:szCs w:val="24"/>
          <w:lang w:val="es-ES"/>
        </w:rPr>
        <w:t xml:space="preserve">Por lo expuesto, dado que la demanda del juicio al rubro indicado </w:t>
      </w:r>
      <w:r w:rsidR="005252F5" w:rsidRPr="00982313">
        <w:rPr>
          <w:rFonts w:cs="Arial"/>
          <w:bCs/>
          <w:color w:val="000000" w:themeColor="text1"/>
          <w:sz w:val="24"/>
          <w:szCs w:val="24"/>
          <w:lang w:val="es-ES"/>
        </w:rPr>
        <w:t>consiste en una impresión</w:t>
      </w:r>
      <w:r w:rsidRPr="00982313">
        <w:rPr>
          <w:rFonts w:cs="Arial"/>
          <w:bCs/>
          <w:color w:val="000000" w:themeColor="text1"/>
          <w:sz w:val="24"/>
          <w:szCs w:val="24"/>
          <w:lang w:val="es-ES"/>
        </w:rPr>
        <w:t xml:space="preserve">, es inconcuso que </w:t>
      </w:r>
      <w:r w:rsidR="005252F5" w:rsidRPr="00982313">
        <w:rPr>
          <w:rFonts w:cs="Arial"/>
          <w:bCs/>
          <w:color w:val="000000" w:themeColor="text1"/>
          <w:sz w:val="24"/>
          <w:szCs w:val="24"/>
          <w:lang w:val="es-ES"/>
        </w:rPr>
        <w:t>carece de firma autógrafa de</w:t>
      </w:r>
      <w:r w:rsidRPr="00982313">
        <w:rPr>
          <w:rFonts w:cs="Arial"/>
          <w:bCs/>
          <w:color w:val="000000" w:themeColor="text1"/>
          <w:sz w:val="24"/>
          <w:szCs w:val="24"/>
          <w:lang w:val="es-ES"/>
        </w:rPr>
        <w:t xml:space="preserve"> </w:t>
      </w:r>
      <w:r w:rsidR="005252F5" w:rsidRPr="00982313">
        <w:rPr>
          <w:rFonts w:cs="Arial"/>
          <w:bCs/>
          <w:color w:val="000000" w:themeColor="text1"/>
          <w:sz w:val="24"/>
          <w:szCs w:val="24"/>
          <w:lang w:val="es-ES"/>
        </w:rPr>
        <w:t>l</w:t>
      </w:r>
      <w:r w:rsidRPr="00982313">
        <w:rPr>
          <w:rFonts w:cs="Arial"/>
          <w:bCs/>
          <w:color w:val="000000" w:themeColor="text1"/>
          <w:sz w:val="24"/>
          <w:szCs w:val="24"/>
          <w:lang w:val="es-ES"/>
        </w:rPr>
        <w:t>a</w:t>
      </w:r>
      <w:r w:rsidR="005252F5" w:rsidRPr="00982313">
        <w:rPr>
          <w:rFonts w:cs="Arial"/>
          <w:bCs/>
          <w:color w:val="000000" w:themeColor="text1"/>
          <w:sz w:val="24"/>
          <w:szCs w:val="24"/>
          <w:lang w:val="es-ES"/>
        </w:rPr>
        <w:t xml:space="preserve"> promovente,</w:t>
      </w:r>
      <w:r w:rsidRPr="00982313">
        <w:rPr>
          <w:rFonts w:cs="Arial"/>
          <w:bCs/>
          <w:color w:val="000000" w:themeColor="text1"/>
          <w:sz w:val="24"/>
          <w:szCs w:val="24"/>
          <w:lang w:val="es-ES"/>
        </w:rPr>
        <w:t xml:space="preserve"> caso en el cual, </w:t>
      </w:r>
      <w:r w:rsidR="005252F5" w:rsidRPr="00982313">
        <w:rPr>
          <w:rFonts w:cs="Arial"/>
          <w:bCs/>
          <w:color w:val="000000" w:themeColor="text1"/>
          <w:sz w:val="24"/>
          <w:szCs w:val="24"/>
          <w:lang w:val="es-ES"/>
        </w:rPr>
        <w:t>se actualiza la causal de improcedencia en estudio.</w:t>
      </w:r>
    </w:p>
    <w:p w14:paraId="32482557" w14:textId="28EAF7A9" w:rsidR="00A773A0" w:rsidRPr="00982313" w:rsidRDefault="00A773A0" w:rsidP="009B1330">
      <w:pPr>
        <w:widowControl w:val="0"/>
        <w:spacing w:before="240" w:after="240" w:line="336" w:lineRule="auto"/>
        <w:jc w:val="both"/>
        <w:rPr>
          <w:rFonts w:cs="Arial"/>
          <w:b/>
          <w:color w:val="000000" w:themeColor="text1"/>
          <w:sz w:val="24"/>
          <w:szCs w:val="24"/>
          <w:lang w:val="es-ES"/>
        </w:rPr>
      </w:pPr>
      <w:proofErr w:type="gramStart"/>
      <w:r w:rsidRPr="00982313">
        <w:rPr>
          <w:rFonts w:cs="Arial"/>
          <w:b/>
          <w:color w:val="000000" w:themeColor="text1"/>
          <w:sz w:val="24"/>
          <w:szCs w:val="24"/>
          <w:lang w:val="es-ES"/>
        </w:rPr>
        <w:t>Similares consideraciones sostuvo</w:t>
      </w:r>
      <w:proofErr w:type="gramEnd"/>
      <w:r w:rsidRPr="00982313">
        <w:rPr>
          <w:rFonts w:cs="Arial"/>
          <w:b/>
          <w:color w:val="000000" w:themeColor="text1"/>
          <w:sz w:val="24"/>
          <w:szCs w:val="24"/>
          <w:lang w:val="es-ES"/>
        </w:rPr>
        <w:t xml:space="preserve"> esta Sala Superior al resolver el recurso de reconsideración SUP-REC-90/2020 y el juicio SUP-JDC-755/2020 y acumulados.</w:t>
      </w:r>
    </w:p>
    <w:p w14:paraId="592BC6D0" w14:textId="4BA51355" w:rsidR="002072C9" w:rsidRPr="00982313" w:rsidRDefault="002072C9" w:rsidP="009B1330">
      <w:pPr>
        <w:widowControl w:val="0"/>
        <w:spacing w:before="240" w:after="240" w:line="336" w:lineRule="auto"/>
        <w:jc w:val="both"/>
        <w:rPr>
          <w:rFonts w:cs="Arial"/>
          <w:b/>
          <w:color w:val="000000" w:themeColor="text1"/>
          <w:sz w:val="24"/>
          <w:szCs w:val="24"/>
          <w:lang w:val="es-ES"/>
        </w:rPr>
      </w:pPr>
      <w:r w:rsidRPr="00982313">
        <w:rPr>
          <w:rFonts w:cs="Arial"/>
          <w:b/>
          <w:color w:val="000000" w:themeColor="text1"/>
          <w:sz w:val="24"/>
          <w:szCs w:val="24"/>
          <w:lang w:val="es-ES"/>
        </w:rPr>
        <w:t>Pruebas supervenientes.</w:t>
      </w:r>
    </w:p>
    <w:p w14:paraId="16E3710F" w14:textId="7AD982B2" w:rsidR="002072C9" w:rsidRPr="00982313" w:rsidRDefault="002072C9" w:rsidP="009B1330">
      <w:pPr>
        <w:widowControl w:val="0"/>
        <w:spacing w:before="240" w:after="240" w:line="336" w:lineRule="auto"/>
        <w:jc w:val="both"/>
        <w:rPr>
          <w:rFonts w:cs="Arial"/>
          <w:bCs/>
          <w:color w:val="000000" w:themeColor="text1"/>
          <w:sz w:val="24"/>
          <w:szCs w:val="24"/>
          <w:lang w:val="es-ES"/>
        </w:rPr>
      </w:pPr>
      <w:r w:rsidRPr="00982313">
        <w:rPr>
          <w:rFonts w:cs="Arial"/>
          <w:bCs/>
          <w:color w:val="000000" w:themeColor="text1"/>
          <w:sz w:val="24"/>
          <w:szCs w:val="24"/>
          <w:lang w:val="es-ES"/>
        </w:rPr>
        <w:t>Finalmente, en cuanto a las pruebas supervenientes que ofrece la actora, consistentes en dos actas de nacimiento</w:t>
      </w:r>
      <w:r w:rsidR="001C29DB" w:rsidRPr="00982313">
        <w:rPr>
          <w:rFonts w:cs="Arial"/>
          <w:bCs/>
          <w:color w:val="000000" w:themeColor="text1"/>
          <w:sz w:val="24"/>
          <w:szCs w:val="24"/>
          <w:lang w:val="es-ES"/>
        </w:rPr>
        <w:t xml:space="preserve">, cuya resolución fue reservada a </w:t>
      </w:r>
      <w:r w:rsidR="001C29DB" w:rsidRPr="00982313">
        <w:rPr>
          <w:rFonts w:cs="Arial"/>
          <w:bCs/>
          <w:color w:val="000000" w:themeColor="text1"/>
          <w:sz w:val="24"/>
          <w:szCs w:val="24"/>
          <w:lang w:val="es-ES"/>
        </w:rPr>
        <w:lastRenderedPageBreak/>
        <w:t>este órgano colegiado por el Magistrado Ponente</w:t>
      </w:r>
      <w:r w:rsidR="00200F1C" w:rsidRPr="00982313">
        <w:rPr>
          <w:rFonts w:cs="Arial"/>
          <w:bCs/>
          <w:color w:val="000000" w:themeColor="text1"/>
          <w:sz w:val="24"/>
          <w:szCs w:val="24"/>
          <w:lang w:val="es-ES"/>
        </w:rPr>
        <w:t xml:space="preserve"> mediante proveído de esta misma fecha</w:t>
      </w:r>
      <w:r w:rsidR="001C29DB" w:rsidRPr="00982313">
        <w:rPr>
          <w:rFonts w:cs="Arial"/>
          <w:bCs/>
          <w:color w:val="000000" w:themeColor="text1"/>
          <w:sz w:val="24"/>
          <w:szCs w:val="24"/>
          <w:lang w:val="es-ES"/>
        </w:rPr>
        <w:t xml:space="preserve">, se considera que no es necesario emitir pronunciamiento sobre la admisión o no de éstas, dado el sentido de </w:t>
      </w:r>
      <w:r w:rsidR="00621CBA" w:rsidRPr="00982313">
        <w:rPr>
          <w:rFonts w:cs="Arial"/>
          <w:bCs/>
          <w:color w:val="000000" w:themeColor="text1"/>
          <w:sz w:val="24"/>
          <w:szCs w:val="24"/>
          <w:lang w:val="es-ES"/>
        </w:rPr>
        <w:t>l</w:t>
      </w:r>
      <w:r w:rsidR="001C29DB" w:rsidRPr="00982313">
        <w:rPr>
          <w:rFonts w:cs="Arial"/>
          <w:bCs/>
          <w:color w:val="000000" w:themeColor="text1"/>
          <w:sz w:val="24"/>
          <w:szCs w:val="24"/>
          <w:lang w:val="es-ES"/>
        </w:rPr>
        <w:t>a sentencia.</w:t>
      </w:r>
    </w:p>
    <w:p w14:paraId="6B769B7F" w14:textId="350DC613" w:rsidR="00FB3A11" w:rsidRPr="00982313" w:rsidRDefault="007F18AD" w:rsidP="009B1330">
      <w:pPr>
        <w:widowControl w:val="0"/>
        <w:spacing w:before="240" w:after="240" w:line="336" w:lineRule="auto"/>
        <w:outlineLvl w:val="0"/>
        <w:rPr>
          <w:rFonts w:eastAsia="Times New Roman" w:cs="Arial"/>
          <w:b/>
          <w:sz w:val="24"/>
          <w:szCs w:val="24"/>
          <w:lang w:val="es-ES_tradnl" w:eastAsia="es-MX"/>
        </w:rPr>
      </w:pPr>
      <w:bookmarkStart w:id="33" w:name="_Toc47391895"/>
      <w:r w:rsidRPr="00982313">
        <w:rPr>
          <w:rFonts w:eastAsia="Times New Roman" w:cs="Arial"/>
          <w:b/>
          <w:sz w:val="24"/>
          <w:szCs w:val="24"/>
          <w:lang w:val="es-ES_tradnl" w:eastAsia="es-MX"/>
        </w:rPr>
        <w:t>3</w:t>
      </w:r>
      <w:r w:rsidR="00FB3A11" w:rsidRPr="00982313">
        <w:rPr>
          <w:rFonts w:eastAsia="Times New Roman" w:cs="Arial"/>
          <w:b/>
          <w:sz w:val="24"/>
          <w:szCs w:val="24"/>
          <w:lang w:val="es-ES_tradnl" w:eastAsia="es-MX"/>
        </w:rPr>
        <w:t>. Conclusión</w:t>
      </w:r>
      <w:bookmarkEnd w:id="29"/>
      <w:bookmarkEnd w:id="30"/>
      <w:bookmarkEnd w:id="31"/>
      <w:bookmarkEnd w:id="33"/>
    </w:p>
    <w:p w14:paraId="0FE58B0F" w14:textId="020F6033" w:rsidR="00CC2133" w:rsidRPr="00982313" w:rsidRDefault="00CC2133" w:rsidP="009B1330">
      <w:pPr>
        <w:widowControl w:val="0"/>
        <w:spacing w:before="240" w:after="240" w:line="336" w:lineRule="auto"/>
        <w:jc w:val="both"/>
        <w:rPr>
          <w:rFonts w:cs="Arial"/>
          <w:bCs/>
          <w:color w:val="000000" w:themeColor="text1"/>
          <w:sz w:val="24"/>
          <w:szCs w:val="24"/>
        </w:rPr>
      </w:pPr>
      <w:r w:rsidRPr="00982313">
        <w:rPr>
          <w:rFonts w:cs="Arial"/>
          <w:bCs/>
          <w:color w:val="000000" w:themeColor="text1"/>
          <w:sz w:val="24"/>
          <w:szCs w:val="24"/>
          <w:lang w:val="es-ES"/>
        </w:rPr>
        <w:t xml:space="preserve">En consecuencia, al no colmarse los requisitos de procedibilidad de los medios de impugnación, particularmente, el relativo a hacer constar la firma autógrafa de la promovente, lo procedente es </w:t>
      </w:r>
      <w:r w:rsidRPr="00982313">
        <w:rPr>
          <w:rFonts w:cs="Arial"/>
          <w:b/>
          <w:bCs/>
          <w:color w:val="000000" w:themeColor="text1"/>
          <w:sz w:val="24"/>
          <w:szCs w:val="24"/>
          <w:lang w:val="es-ES"/>
        </w:rPr>
        <w:t>desechar de plano</w:t>
      </w:r>
      <w:r w:rsidRPr="00982313">
        <w:rPr>
          <w:rFonts w:cs="Arial"/>
          <w:bCs/>
          <w:color w:val="000000" w:themeColor="text1"/>
          <w:sz w:val="24"/>
          <w:szCs w:val="24"/>
          <w:lang w:val="es-ES"/>
        </w:rPr>
        <w:t xml:space="preserve"> la demanda.</w:t>
      </w:r>
    </w:p>
    <w:p w14:paraId="030DEC1A" w14:textId="07543466" w:rsidR="00FB3A11" w:rsidRPr="00982313" w:rsidRDefault="00FB3A11" w:rsidP="009B1330">
      <w:pPr>
        <w:widowControl w:val="0"/>
        <w:spacing w:before="240" w:after="240" w:line="336" w:lineRule="auto"/>
        <w:jc w:val="both"/>
        <w:rPr>
          <w:rFonts w:cs="Arial"/>
          <w:bCs/>
          <w:color w:val="000000" w:themeColor="text1"/>
          <w:sz w:val="24"/>
          <w:szCs w:val="24"/>
        </w:rPr>
      </w:pPr>
      <w:r w:rsidRPr="00982313">
        <w:rPr>
          <w:rFonts w:cs="Arial"/>
          <w:bCs/>
          <w:color w:val="000000" w:themeColor="text1"/>
          <w:sz w:val="24"/>
          <w:szCs w:val="24"/>
        </w:rPr>
        <w:t>Por lo expuesto y fundado se</w:t>
      </w:r>
    </w:p>
    <w:p w14:paraId="72222656" w14:textId="39978B9A" w:rsidR="00CA03AC" w:rsidRPr="00982313" w:rsidRDefault="00AD5A0C" w:rsidP="009B1330">
      <w:pPr>
        <w:pStyle w:val="Ttulo1"/>
        <w:keepNext w:val="0"/>
        <w:keepLines w:val="0"/>
        <w:widowControl w:val="0"/>
        <w:spacing w:after="240" w:line="336" w:lineRule="auto"/>
        <w:jc w:val="center"/>
        <w:rPr>
          <w:rFonts w:ascii="Arial" w:eastAsia="Times New Roman" w:hAnsi="Arial" w:cs="Arial"/>
          <w:b/>
          <w:color w:val="auto"/>
          <w:sz w:val="24"/>
          <w:szCs w:val="24"/>
          <w:lang w:eastAsia="es-MX"/>
        </w:rPr>
      </w:pPr>
      <w:bookmarkStart w:id="34" w:name="_Toc47391896"/>
      <w:r w:rsidRPr="00982313">
        <w:rPr>
          <w:rFonts w:ascii="Arial" w:eastAsia="Times New Roman" w:hAnsi="Arial" w:cs="Arial"/>
          <w:b/>
          <w:color w:val="auto"/>
          <w:sz w:val="24"/>
          <w:szCs w:val="24"/>
          <w:lang w:eastAsia="es-MX"/>
        </w:rPr>
        <w:t>RESUELVE</w:t>
      </w:r>
      <w:bookmarkEnd w:id="34"/>
    </w:p>
    <w:p w14:paraId="789F2DF3" w14:textId="69F23CA9" w:rsidR="00B54F1C" w:rsidRPr="00982313" w:rsidRDefault="00306961" w:rsidP="009B1330">
      <w:pPr>
        <w:widowControl w:val="0"/>
        <w:spacing w:before="240" w:after="240" w:line="336" w:lineRule="auto"/>
        <w:jc w:val="both"/>
        <w:rPr>
          <w:rFonts w:cs="Arial"/>
          <w:sz w:val="24"/>
          <w:szCs w:val="24"/>
          <w:lang w:eastAsia="es-MX"/>
        </w:rPr>
      </w:pPr>
      <w:r w:rsidRPr="00982313">
        <w:rPr>
          <w:rFonts w:cs="Arial"/>
          <w:b/>
          <w:sz w:val="24"/>
          <w:szCs w:val="24"/>
          <w:lang w:eastAsia="es-MX"/>
        </w:rPr>
        <w:t>ÚNICO</w:t>
      </w:r>
      <w:r w:rsidR="00CA03AC" w:rsidRPr="00982313">
        <w:rPr>
          <w:rFonts w:cs="Arial"/>
          <w:b/>
          <w:sz w:val="24"/>
          <w:szCs w:val="24"/>
          <w:lang w:eastAsia="es-MX"/>
        </w:rPr>
        <w:t>.</w:t>
      </w:r>
      <w:r w:rsidR="00D612E5" w:rsidRPr="00982313">
        <w:rPr>
          <w:rFonts w:cs="Arial"/>
          <w:bCs/>
          <w:sz w:val="24"/>
          <w:szCs w:val="24"/>
          <w:lang w:eastAsia="es-MX"/>
        </w:rPr>
        <w:t xml:space="preserve"> </w:t>
      </w:r>
      <w:r w:rsidR="00B54F1C" w:rsidRPr="00982313">
        <w:rPr>
          <w:rFonts w:cs="Arial"/>
          <w:bCs/>
          <w:sz w:val="24"/>
          <w:szCs w:val="24"/>
          <w:lang w:val="es-ES" w:eastAsia="es-ES"/>
        </w:rPr>
        <w:t>Se</w:t>
      </w:r>
      <w:r w:rsidR="00B54F1C" w:rsidRPr="00982313">
        <w:rPr>
          <w:rFonts w:cs="Arial"/>
          <w:b/>
          <w:bCs/>
          <w:sz w:val="24"/>
          <w:szCs w:val="24"/>
          <w:lang w:val="es-ES" w:eastAsia="es-ES"/>
        </w:rPr>
        <w:t xml:space="preserve"> </w:t>
      </w:r>
      <w:r w:rsidRPr="00982313">
        <w:rPr>
          <w:rFonts w:cs="Arial"/>
          <w:b/>
          <w:bCs/>
          <w:sz w:val="24"/>
          <w:szCs w:val="24"/>
          <w:lang w:val="es-ES" w:eastAsia="es-ES"/>
        </w:rPr>
        <w:t xml:space="preserve">desecha </w:t>
      </w:r>
      <w:r w:rsidRPr="00982313">
        <w:rPr>
          <w:rFonts w:cs="Arial"/>
          <w:sz w:val="24"/>
          <w:szCs w:val="24"/>
          <w:lang w:val="es-ES" w:eastAsia="es-ES"/>
        </w:rPr>
        <w:t>de plano la demanda.</w:t>
      </w:r>
    </w:p>
    <w:p w14:paraId="0DB2C402" w14:textId="74F027FC" w:rsidR="001E0628" w:rsidRPr="00181FE5" w:rsidRDefault="001E0628" w:rsidP="009B1330">
      <w:pPr>
        <w:widowControl w:val="0"/>
        <w:spacing w:before="240" w:after="240" w:line="336" w:lineRule="auto"/>
        <w:jc w:val="both"/>
        <w:rPr>
          <w:rFonts w:eastAsia="Times New Roman" w:cs="Arial"/>
          <w:sz w:val="24"/>
          <w:szCs w:val="24"/>
          <w:lang w:eastAsia="es-MX"/>
        </w:rPr>
      </w:pPr>
      <w:bookmarkStart w:id="35" w:name="_Hlk47373938"/>
      <w:r w:rsidRPr="00982313">
        <w:rPr>
          <w:rFonts w:eastAsia="Times New Roman" w:cs="Arial"/>
          <w:b/>
          <w:sz w:val="24"/>
          <w:szCs w:val="24"/>
          <w:lang w:eastAsia="es-MX"/>
        </w:rPr>
        <w:t>Notifíquese</w:t>
      </w:r>
      <w:r w:rsidR="00331787" w:rsidRPr="00982313">
        <w:rPr>
          <w:rFonts w:eastAsia="Times New Roman" w:cs="Arial"/>
          <w:sz w:val="24"/>
          <w:szCs w:val="24"/>
          <w:lang w:eastAsia="es-MX"/>
        </w:rPr>
        <w:t xml:space="preserve"> </w:t>
      </w:r>
      <w:r w:rsidR="00181FE5">
        <w:rPr>
          <w:rFonts w:eastAsia="Times New Roman" w:cs="Arial"/>
          <w:sz w:val="24"/>
          <w:szCs w:val="24"/>
          <w:lang w:eastAsia="es-MX"/>
        </w:rPr>
        <w:t>como en derecho en derecho corresponda</w:t>
      </w:r>
      <w:r w:rsidR="00331787" w:rsidRPr="00181FE5">
        <w:rPr>
          <w:rFonts w:eastAsia="Times New Roman" w:cs="Arial"/>
          <w:sz w:val="24"/>
          <w:szCs w:val="24"/>
          <w:lang w:eastAsia="es-MX"/>
        </w:rPr>
        <w:t>.</w:t>
      </w:r>
    </w:p>
    <w:p w14:paraId="1E16369A" w14:textId="312066BD" w:rsidR="00B11438" w:rsidRPr="00982313" w:rsidRDefault="001E0628" w:rsidP="009B1330">
      <w:pPr>
        <w:widowControl w:val="0"/>
        <w:spacing w:before="240" w:after="240" w:line="336" w:lineRule="auto"/>
        <w:jc w:val="both"/>
        <w:rPr>
          <w:rFonts w:eastAsia="Times New Roman" w:cs="Arial"/>
          <w:sz w:val="24"/>
          <w:szCs w:val="24"/>
          <w:lang w:eastAsia="es-MX"/>
        </w:rPr>
      </w:pPr>
      <w:r w:rsidRPr="00982313">
        <w:rPr>
          <w:rFonts w:eastAsia="Times New Roman" w:cs="Arial"/>
          <w:sz w:val="24"/>
          <w:szCs w:val="24"/>
          <w:lang w:eastAsia="es-MX"/>
        </w:rPr>
        <w:t>En su oportunidad, archíve</w:t>
      </w:r>
      <w:r w:rsidR="0054386D" w:rsidRPr="00982313">
        <w:rPr>
          <w:rFonts w:eastAsia="Times New Roman" w:cs="Arial"/>
          <w:sz w:val="24"/>
          <w:szCs w:val="24"/>
          <w:lang w:eastAsia="es-MX"/>
        </w:rPr>
        <w:t xml:space="preserve">se </w:t>
      </w:r>
      <w:r w:rsidR="00434482">
        <w:rPr>
          <w:rFonts w:eastAsia="Times New Roman" w:cs="Arial"/>
          <w:sz w:val="24"/>
          <w:szCs w:val="24"/>
          <w:lang w:eastAsia="es-MX"/>
        </w:rPr>
        <w:t>e</w:t>
      </w:r>
      <w:r w:rsidR="0054386D" w:rsidRPr="00982313">
        <w:rPr>
          <w:rFonts w:eastAsia="Times New Roman" w:cs="Arial"/>
          <w:sz w:val="24"/>
          <w:szCs w:val="24"/>
          <w:lang w:eastAsia="es-MX"/>
        </w:rPr>
        <w:t>l presente expediente</w:t>
      </w:r>
      <w:r w:rsidRPr="00982313">
        <w:rPr>
          <w:rFonts w:eastAsia="Times New Roman" w:cs="Arial"/>
          <w:sz w:val="24"/>
          <w:szCs w:val="24"/>
          <w:lang w:eastAsia="es-MX"/>
        </w:rPr>
        <w:t xml:space="preserve"> como asunto concluido y, en su caso, hágase la devolución de la documentación exhibida.</w:t>
      </w:r>
    </w:p>
    <w:p w14:paraId="00207EF7" w14:textId="419926D7" w:rsidR="0045263E" w:rsidRPr="00982313" w:rsidRDefault="0045263E" w:rsidP="009B1330">
      <w:pPr>
        <w:widowControl w:val="0"/>
        <w:autoSpaceDE w:val="0"/>
        <w:autoSpaceDN w:val="0"/>
        <w:spacing w:before="240" w:after="240" w:line="336" w:lineRule="auto"/>
        <w:jc w:val="both"/>
        <w:rPr>
          <w:rFonts w:cs="Arial"/>
          <w:bCs/>
          <w:sz w:val="24"/>
          <w:szCs w:val="24"/>
        </w:rPr>
      </w:pPr>
      <w:bookmarkStart w:id="36" w:name="_Hlk37955393"/>
      <w:bookmarkEnd w:id="35"/>
      <w:r w:rsidRPr="00982313">
        <w:rPr>
          <w:rFonts w:eastAsia="Calibri" w:cs="Arial"/>
          <w:sz w:val="24"/>
          <w:szCs w:val="24"/>
        </w:rPr>
        <w:t xml:space="preserve">Así, por </w:t>
      </w:r>
      <w:r w:rsidR="0073457B" w:rsidRPr="00982313">
        <w:rPr>
          <w:rFonts w:eastAsia="Calibri" w:cs="Arial"/>
          <w:b/>
          <w:bCs/>
          <w:sz w:val="24"/>
          <w:szCs w:val="24"/>
        </w:rPr>
        <w:t>mayoría</w:t>
      </w:r>
      <w:r w:rsidRPr="00982313">
        <w:rPr>
          <w:rFonts w:eastAsia="Calibri" w:cs="Arial"/>
          <w:b/>
          <w:bCs/>
          <w:sz w:val="24"/>
          <w:szCs w:val="24"/>
        </w:rPr>
        <w:t xml:space="preserve"> </w:t>
      </w:r>
      <w:r w:rsidRPr="00982313">
        <w:rPr>
          <w:rFonts w:eastAsia="Calibri" w:cs="Arial"/>
          <w:sz w:val="24"/>
          <w:szCs w:val="24"/>
        </w:rPr>
        <w:t xml:space="preserve">de votos, lo </w:t>
      </w:r>
      <w:r w:rsidR="0073457B" w:rsidRPr="00982313">
        <w:rPr>
          <w:rFonts w:eastAsia="Calibri" w:cs="Arial"/>
          <w:sz w:val="24"/>
          <w:szCs w:val="24"/>
        </w:rPr>
        <w:t>resolvieron</w:t>
      </w:r>
      <w:r w:rsidRPr="00982313">
        <w:rPr>
          <w:rFonts w:eastAsia="Calibri" w:cs="Arial"/>
          <w:sz w:val="24"/>
          <w:szCs w:val="24"/>
        </w:rPr>
        <w:t xml:space="preserve"> las Magistradas y los Magistrados que integran la Sala Superior del Tribunal Electoral del Poder Judicial de la Federación, </w:t>
      </w:r>
      <w:r w:rsidR="00FE59EA" w:rsidRPr="00FE59EA">
        <w:rPr>
          <w:rFonts w:eastAsia="Calibri" w:cs="Arial"/>
          <w:sz w:val="24"/>
          <w:szCs w:val="24"/>
        </w:rPr>
        <w:t>ante la ausencia del Magistrado José Luis Vargas Valdez,</w:t>
      </w:r>
      <w:r w:rsidR="00FE59EA">
        <w:rPr>
          <w:rFonts w:eastAsia="Calibri" w:cs="Arial"/>
          <w:sz w:val="24"/>
          <w:szCs w:val="24"/>
        </w:rPr>
        <w:t xml:space="preserve"> </w:t>
      </w:r>
      <w:r w:rsidR="00FE59EA" w:rsidRPr="00FE59EA">
        <w:rPr>
          <w:rFonts w:eastAsia="Calibri" w:cs="Arial"/>
          <w:sz w:val="24"/>
          <w:szCs w:val="24"/>
        </w:rPr>
        <w:t>con los votos en contra</w:t>
      </w:r>
      <w:r w:rsidR="00FE59EA">
        <w:rPr>
          <w:rFonts w:eastAsia="Calibri" w:cs="Arial"/>
          <w:sz w:val="24"/>
          <w:szCs w:val="24"/>
        </w:rPr>
        <w:t xml:space="preserve"> </w:t>
      </w:r>
      <w:r w:rsidR="00FE59EA" w:rsidRPr="00FE59EA">
        <w:rPr>
          <w:rFonts w:eastAsia="Calibri" w:cs="Arial"/>
          <w:sz w:val="24"/>
          <w:szCs w:val="24"/>
        </w:rPr>
        <w:t>de la Magistrada Janine M. Otálora Malassis y el Magistrado Reyes Rodríguez Mondragón quienes emiten voto particular. El</w:t>
      </w:r>
      <w:r w:rsidR="00FE59EA">
        <w:rPr>
          <w:rFonts w:eastAsia="Calibri" w:cs="Arial"/>
          <w:sz w:val="24"/>
          <w:szCs w:val="24"/>
        </w:rPr>
        <w:t xml:space="preserve"> </w:t>
      </w:r>
      <w:r w:rsidR="00FE59EA" w:rsidRPr="00FE59EA">
        <w:rPr>
          <w:rFonts w:eastAsia="Calibri" w:cs="Arial"/>
          <w:sz w:val="24"/>
          <w:szCs w:val="24"/>
        </w:rPr>
        <w:t>Magistrado Indalfer Infante Gonzales emite voto razonado. El Secretario General de Acuerdos autoriza y da fe, así como de que la presente sentencia se firma de manera electrónica.</w:t>
      </w:r>
    </w:p>
    <w:p w14:paraId="19672A35" w14:textId="67BF226F" w:rsidR="009602EB" w:rsidRDefault="0045263E" w:rsidP="009B1330">
      <w:pPr>
        <w:widowControl w:val="0"/>
        <w:autoSpaceDE w:val="0"/>
        <w:autoSpaceDN w:val="0"/>
        <w:spacing w:before="240" w:after="240" w:line="336" w:lineRule="auto"/>
        <w:jc w:val="both"/>
        <w:rPr>
          <w:rFonts w:eastAsia="Calibri" w:cs="Arial"/>
          <w:sz w:val="24"/>
          <w:szCs w:val="24"/>
        </w:rPr>
      </w:pPr>
      <w:r w:rsidRPr="00982313">
        <w:rPr>
          <w:rFonts w:eastAsia="Calibri" w:cs="Arial"/>
          <w:sz w:val="24"/>
          <w:szCs w:val="24"/>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bookmarkEnd w:id="36"/>
    </w:p>
    <w:p w14:paraId="72536715"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419" w:eastAsia="es-419"/>
        </w:rPr>
      </w:pPr>
      <w:r w:rsidRPr="0068493E">
        <w:rPr>
          <w:rFonts w:eastAsia="Times New Roman" w:cs="Arial"/>
          <w:b/>
          <w:bCs/>
          <w:sz w:val="24"/>
          <w:szCs w:val="24"/>
          <w:lang w:val="es-419" w:eastAsia="es-419"/>
        </w:rPr>
        <w:lastRenderedPageBreak/>
        <w:t xml:space="preserve">VOTO PARTICULAR QUE FORMULAN </w:t>
      </w:r>
      <w:r w:rsidRPr="0068493E">
        <w:rPr>
          <w:rFonts w:eastAsia="Times New Roman" w:cs="Arial"/>
          <w:b/>
          <w:bCs/>
          <w:sz w:val="24"/>
          <w:szCs w:val="24"/>
          <w:lang w:eastAsia="es-419"/>
        </w:rPr>
        <w:t xml:space="preserve">DE MANERA CONJUNTA LA MAGISTRADA JANINE M. OTÁLORA MALASSIS Y </w:t>
      </w:r>
      <w:r w:rsidRPr="0068493E">
        <w:rPr>
          <w:rFonts w:eastAsia="Times New Roman" w:cs="Arial"/>
          <w:b/>
          <w:bCs/>
          <w:sz w:val="24"/>
          <w:szCs w:val="24"/>
          <w:lang w:val="es-419" w:eastAsia="es-419"/>
        </w:rPr>
        <w:t xml:space="preserve">EL MAGISTRADO REYES RODRÍGUEZ MONDRAGÓN EN RELACIÓN CON LA SENTENCIA APROBADA EN EL JUICIO PARA LA PROTECCIÓN DE LOS DERECHOS POLÍTICO-ELECTORALES DEL CIUDADANO </w:t>
      </w:r>
      <w:r w:rsidRPr="0068493E">
        <w:rPr>
          <w:rFonts w:eastAsia="Times New Roman" w:cs="Arial"/>
          <w:b/>
          <w:bCs/>
          <w:sz w:val="24"/>
          <w:szCs w:val="24"/>
          <w:lang w:val="es-419" w:eastAsia="es-419"/>
        </w:rPr>
        <w:br/>
        <w:t>SUP-JDC-1660/2020</w:t>
      </w:r>
      <w:r w:rsidRPr="0068493E">
        <w:rPr>
          <w:rFonts w:eastAsia="Times New Roman" w:cs="Arial"/>
          <w:b/>
          <w:bCs/>
          <w:sz w:val="24"/>
          <w:szCs w:val="24"/>
          <w:vertAlign w:val="superscript"/>
          <w:lang w:val="es-419" w:eastAsia="es-419"/>
        </w:rPr>
        <w:footnoteReference w:id="11"/>
      </w:r>
    </w:p>
    <w:p w14:paraId="04A6849F"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419" w:eastAsia="es-419"/>
        </w:rPr>
      </w:pPr>
      <w:r w:rsidRPr="0068493E">
        <w:rPr>
          <w:rFonts w:eastAsia="Times New Roman" w:cs="Arial"/>
          <w:sz w:val="24"/>
          <w:szCs w:val="24"/>
          <w:lang w:val="es-419" w:eastAsia="es-419"/>
        </w:rPr>
        <w:t>De manera respetuosa, emitimos este voto particular, ya que consideramos que, en el caso que ahora se resuelve, el requisito de forma relativo a la existencia de firma autógrafa debió tenerse por satisfecho con la versión escaneada de la demanda que la actora remitió digitalmente a la Sala Xalapa, en la que se aprecia su firma.</w:t>
      </w:r>
    </w:p>
    <w:p w14:paraId="033A8223"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419" w:eastAsia="es-419"/>
        </w:rPr>
      </w:pPr>
      <w:r w:rsidRPr="0068493E">
        <w:rPr>
          <w:rFonts w:eastAsia="Times New Roman" w:cs="Arial"/>
          <w:sz w:val="24"/>
          <w:szCs w:val="24"/>
          <w:lang w:val="es-419" w:eastAsia="es-419"/>
        </w:rPr>
        <w:t xml:space="preserve">En nuestra opinión, la exigencia de la firma autógrafa en la demanda del medio de impugnación en materia electoral –conforme a lo previsto en la Ley de Medios y los precedentes de esta Sala Superior–es inexcusable en un contexto ordinario. </w:t>
      </w:r>
    </w:p>
    <w:p w14:paraId="769F18EE"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419" w:eastAsia="es-419"/>
        </w:rPr>
      </w:pPr>
      <w:r w:rsidRPr="0068493E">
        <w:rPr>
          <w:rFonts w:eastAsia="Times New Roman" w:cs="Arial"/>
          <w:sz w:val="24"/>
          <w:szCs w:val="24"/>
          <w:lang w:val="es-419" w:eastAsia="es-419"/>
        </w:rPr>
        <w:t xml:space="preserve">Sin embargo, el contexto particular de la pandemia derivada del virus </w:t>
      </w:r>
      <w:r w:rsidRPr="0068493E">
        <w:rPr>
          <w:rFonts w:eastAsia="Times New Roman" w:cs="Arial"/>
          <w:sz w:val="24"/>
          <w:szCs w:val="24"/>
          <w:lang w:val="es-419" w:eastAsia="es-419"/>
        </w:rPr>
        <w:br/>
        <w:t>SARS-CoV-2, representa un impedimento material para su cumplimiento, que, de exigirse de manera estricta, pone en riesgo la salud de las y los justiciables y, por ende, equivale a un obstáculo injustificable para el acceso efectivo a la justicia.</w:t>
      </w:r>
    </w:p>
    <w:p w14:paraId="508C66B6"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419" w:eastAsia="es-419"/>
        </w:rPr>
      </w:pPr>
      <w:r w:rsidRPr="0068493E">
        <w:rPr>
          <w:rFonts w:eastAsia="Times New Roman" w:cs="Arial"/>
          <w:sz w:val="24"/>
          <w:szCs w:val="24"/>
          <w:lang w:val="es-419" w:eastAsia="es-419"/>
        </w:rPr>
        <w:t xml:space="preserve">Si bien es cierto que recientemente se estableció por la mayoría de quienes integramos el Pleno de esta Sala Superior el llamado </w:t>
      </w:r>
      <w:r w:rsidRPr="0068493E">
        <w:rPr>
          <w:rFonts w:eastAsia="Times New Roman" w:cs="Arial"/>
          <w:i/>
          <w:iCs/>
          <w:sz w:val="24"/>
          <w:szCs w:val="24"/>
          <w:lang w:val="es-419" w:eastAsia="es-419"/>
        </w:rPr>
        <w:t>juicio en línea</w:t>
      </w:r>
      <w:r w:rsidRPr="0068493E">
        <w:rPr>
          <w:rFonts w:eastAsia="Times New Roman" w:cs="Arial"/>
          <w:sz w:val="24"/>
          <w:szCs w:val="24"/>
          <w:lang w:val="es-419" w:eastAsia="es-419"/>
        </w:rPr>
        <w:t xml:space="preserve">, dada la forma en la que dicha herramienta se implementó y por sus reglas de operación, actualmente y en principio constituye un instrumento poco eficaz para favorecer el derecho de acceso a la justicia de las personas en un contexto de pandemia. </w:t>
      </w:r>
    </w:p>
    <w:p w14:paraId="354D3573"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419" w:eastAsia="es-419"/>
        </w:rPr>
      </w:pPr>
      <w:r w:rsidRPr="0068493E">
        <w:rPr>
          <w:rFonts w:eastAsia="Times New Roman" w:cs="Arial"/>
          <w:sz w:val="24"/>
          <w:szCs w:val="24"/>
          <w:lang w:val="es-419" w:eastAsia="es-419"/>
        </w:rPr>
        <w:t xml:space="preserve">La falta de eficacia formal del juicio en línea, en nuestro concepto, deriva del hecho de que, por criterio mayoritario, se determinó que en este </w:t>
      </w:r>
      <w:r w:rsidRPr="0068493E">
        <w:rPr>
          <w:rFonts w:eastAsia="Times New Roman" w:cs="Arial"/>
          <w:sz w:val="24"/>
          <w:szCs w:val="24"/>
          <w:lang w:val="es-419" w:eastAsia="es-419"/>
        </w:rPr>
        <w:lastRenderedPageBreak/>
        <w:t xml:space="preserve">momento es una herramienta que solo debe ser usada para la </w:t>
      </w:r>
      <w:r w:rsidRPr="0068493E">
        <w:rPr>
          <w:rFonts w:eastAsia="Times New Roman" w:cs="Arial"/>
          <w:b/>
          <w:bCs/>
          <w:sz w:val="24"/>
          <w:szCs w:val="24"/>
          <w:lang w:val="es-419" w:eastAsia="es-419"/>
        </w:rPr>
        <w:t>promoción de dos de los medios de defensa</w:t>
      </w:r>
      <w:r w:rsidRPr="0068493E">
        <w:rPr>
          <w:rFonts w:eastAsia="Times New Roman" w:cs="Arial"/>
          <w:sz w:val="24"/>
          <w:szCs w:val="24"/>
          <w:lang w:val="es-419" w:eastAsia="es-419"/>
        </w:rPr>
        <w:t xml:space="preserve"> de los que conoce la Sala Superior, dejando fuera del alcance de la ciudadanía la promoción remota del resto de los juicios y recursos, como el juicio ciudadano federal que originó el presente expediente.</w:t>
      </w:r>
    </w:p>
    <w:p w14:paraId="6E0854BE"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419" w:eastAsia="es-419"/>
        </w:rPr>
      </w:pPr>
      <w:r w:rsidRPr="0068493E">
        <w:rPr>
          <w:rFonts w:eastAsia="Times New Roman" w:cs="Arial"/>
          <w:sz w:val="24"/>
          <w:szCs w:val="24"/>
          <w:lang w:val="es-419" w:eastAsia="es-419"/>
        </w:rPr>
        <w:t>A nuestro juicio, la decisión en este caso pierde de vista la lógica constitucional del acceso efectivo a la justicia, lo que evidencia que las acciones del Tribunal, sobre todo frente a la pandemia, han resultado insuficientes para garantizar ese derecho, además de que no hay congruencia con los precedentes recientes</w:t>
      </w:r>
      <w:r w:rsidRPr="0068493E">
        <w:rPr>
          <w:rFonts w:eastAsia="Times New Roman" w:cs="Arial"/>
          <w:sz w:val="24"/>
          <w:szCs w:val="24"/>
          <w:vertAlign w:val="superscript"/>
          <w:lang w:val="es-419" w:eastAsia="es-419"/>
        </w:rPr>
        <w:footnoteReference w:id="12"/>
      </w:r>
      <w:r w:rsidRPr="0068493E">
        <w:rPr>
          <w:rFonts w:eastAsia="Times New Roman" w:cs="Arial"/>
          <w:sz w:val="24"/>
          <w:szCs w:val="24"/>
          <w:lang w:val="es-419" w:eastAsia="es-419"/>
        </w:rPr>
        <w:t xml:space="preserve">. </w:t>
      </w:r>
    </w:p>
    <w:p w14:paraId="50A7E04E"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419" w:eastAsia="es-419"/>
        </w:rPr>
      </w:pPr>
      <w:r w:rsidRPr="0068493E">
        <w:rPr>
          <w:rFonts w:eastAsia="Times New Roman" w:cs="Arial"/>
          <w:sz w:val="24"/>
          <w:szCs w:val="24"/>
          <w:lang w:val="es-419" w:eastAsia="es-419"/>
        </w:rPr>
        <w:t xml:space="preserve">En todo caso, en atención a lo siguiente: </w:t>
      </w:r>
      <w:r w:rsidRPr="0068493E">
        <w:rPr>
          <w:rFonts w:eastAsia="Times New Roman" w:cs="Arial"/>
          <w:b/>
          <w:bCs/>
          <w:i/>
          <w:iCs/>
          <w:sz w:val="24"/>
          <w:szCs w:val="24"/>
          <w:lang w:val="es-419" w:eastAsia="es-419"/>
        </w:rPr>
        <w:t>i)</w:t>
      </w:r>
      <w:r w:rsidRPr="0068493E">
        <w:rPr>
          <w:rFonts w:eastAsia="Times New Roman" w:cs="Arial"/>
          <w:sz w:val="24"/>
          <w:szCs w:val="24"/>
          <w:lang w:val="es-419" w:eastAsia="es-419"/>
        </w:rPr>
        <w:t xml:space="preserve"> la situación de emergencia sanitaria; </w:t>
      </w:r>
      <w:proofErr w:type="spellStart"/>
      <w:r w:rsidRPr="0068493E">
        <w:rPr>
          <w:rFonts w:eastAsia="Times New Roman" w:cs="Arial"/>
          <w:b/>
          <w:bCs/>
          <w:i/>
          <w:iCs/>
          <w:sz w:val="24"/>
          <w:szCs w:val="24"/>
          <w:lang w:val="es-419" w:eastAsia="es-419"/>
        </w:rPr>
        <w:t>ii</w:t>
      </w:r>
      <w:proofErr w:type="spellEnd"/>
      <w:r w:rsidRPr="0068493E">
        <w:rPr>
          <w:rFonts w:eastAsia="Times New Roman" w:cs="Arial"/>
          <w:b/>
          <w:bCs/>
          <w:i/>
          <w:iCs/>
          <w:sz w:val="24"/>
          <w:szCs w:val="24"/>
          <w:lang w:val="es-419" w:eastAsia="es-419"/>
        </w:rPr>
        <w:t>)</w:t>
      </w:r>
      <w:r w:rsidRPr="0068493E">
        <w:rPr>
          <w:rFonts w:eastAsia="Times New Roman" w:cs="Arial"/>
          <w:sz w:val="24"/>
          <w:szCs w:val="24"/>
          <w:lang w:val="es-419" w:eastAsia="es-419"/>
        </w:rPr>
        <w:t xml:space="preserve"> que la actora es funcionaria del Instituto de Elecciones y Participación Ciudadana del estado de Chiapas y se encuentra participando en el proceso de designación de consejerías electorales que integrarán el Instituto Electoral y de Participación Ciudadana de Yucatán organizado por el Instituto Nacional Electoral, situación que no fue controvertida por la responsable en el informe circunstanciado; y </w:t>
      </w:r>
      <w:proofErr w:type="spellStart"/>
      <w:r w:rsidRPr="0068493E">
        <w:rPr>
          <w:rFonts w:eastAsia="Times New Roman" w:cs="Arial"/>
          <w:b/>
          <w:bCs/>
          <w:i/>
          <w:iCs/>
          <w:sz w:val="24"/>
          <w:szCs w:val="24"/>
          <w:lang w:val="es-419" w:eastAsia="es-419"/>
        </w:rPr>
        <w:t>iii</w:t>
      </w:r>
      <w:proofErr w:type="spellEnd"/>
      <w:r w:rsidRPr="0068493E">
        <w:rPr>
          <w:rFonts w:eastAsia="Times New Roman" w:cs="Arial"/>
          <w:b/>
          <w:bCs/>
          <w:i/>
          <w:iCs/>
          <w:sz w:val="24"/>
          <w:szCs w:val="24"/>
          <w:lang w:val="es-419" w:eastAsia="es-419"/>
        </w:rPr>
        <w:t>)</w:t>
      </w:r>
      <w:r w:rsidRPr="0068493E">
        <w:rPr>
          <w:rFonts w:eastAsia="Times New Roman" w:cs="Arial"/>
          <w:sz w:val="24"/>
          <w:szCs w:val="24"/>
          <w:lang w:val="es-419" w:eastAsia="es-419"/>
        </w:rPr>
        <w:t xml:space="preserve"> que la actora presentó ante esta Sala Superior un escrito de demanda el treinta de julio, con firma autógrafa, en similares términos al presentado de forma digital vía correo electrónico, es suficiente para verificar su identidad y reconocer que su voluntad fue promover el juicio ciudadano que presentó electrónicamente dentro del plazo de interposición del medio de impugnación. </w:t>
      </w:r>
    </w:p>
    <w:p w14:paraId="5354DDBC"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419" w:eastAsia="es-419"/>
        </w:rPr>
      </w:pPr>
      <w:r w:rsidRPr="0068493E">
        <w:rPr>
          <w:rFonts w:eastAsia="Times New Roman" w:cs="Arial"/>
          <w:sz w:val="24"/>
          <w:szCs w:val="24"/>
          <w:lang w:val="es-419" w:eastAsia="es-419"/>
        </w:rPr>
        <w:t>A continuación, exponemos los motivos que explican nuestra postura.</w:t>
      </w:r>
    </w:p>
    <w:p w14:paraId="79CB677C"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419" w:eastAsia="es-419"/>
        </w:rPr>
      </w:pPr>
      <w:r w:rsidRPr="0068493E">
        <w:rPr>
          <w:rFonts w:eastAsia="Times New Roman" w:cs="Arial"/>
          <w:sz w:val="24"/>
          <w:szCs w:val="24"/>
          <w:lang w:val="es-419" w:eastAsia="es-419"/>
        </w:rPr>
        <w:t xml:space="preserve">En un primer momento, haremos referencia al contexto en que se presentó </w:t>
      </w:r>
      <w:r w:rsidRPr="0068493E">
        <w:rPr>
          <w:rFonts w:eastAsia="Times New Roman" w:cs="Arial"/>
          <w:sz w:val="24"/>
          <w:szCs w:val="24"/>
          <w:lang w:val="es-419" w:eastAsia="es-419"/>
        </w:rPr>
        <w:lastRenderedPageBreak/>
        <w:t>el juicio ciudadano. Posteriormente, expondremos las razones de la mayoría en la sentencia y, finalmente, señalaremos las razones de nuestro disenso.</w:t>
      </w:r>
    </w:p>
    <w:p w14:paraId="0B4DF95C" w14:textId="77777777" w:rsidR="0068493E" w:rsidRPr="0068493E" w:rsidRDefault="0068493E" w:rsidP="0068493E">
      <w:pPr>
        <w:widowControl w:val="0"/>
        <w:spacing w:before="100" w:beforeAutospacing="1" w:after="100" w:afterAutospacing="1" w:line="360" w:lineRule="auto"/>
        <w:jc w:val="both"/>
        <w:rPr>
          <w:rFonts w:eastAsia="Times New Roman" w:cs="Arial"/>
          <w:b/>
          <w:bCs/>
          <w:i/>
          <w:iCs/>
          <w:sz w:val="24"/>
          <w:szCs w:val="24"/>
          <w:lang w:val="es-419" w:eastAsia="es-419"/>
        </w:rPr>
      </w:pPr>
      <w:r w:rsidRPr="0068493E">
        <w:rPr>
          <w:rFonts w:eastAsia="Times New Roman" w:cs="Arial"/>
          <w:b/>
          <w:bCs/>
          <w:i/>
          <w:iCs/>
          <w:sz w:val="24"/>
          <w:szCs w:val="24"/>
          <w:lang w:val="es-419" w:eastAsia="es-419"/>
        </w:rPr>
        <w:t xml:space="preserve">1. Hechos relevantes </w:t>
      </w:r>
    </w:p>
    <w:p w14:paraId="4963F4E5"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419" w:eastAsia="es-419"/>
        </w:rPr>
      </w:pPr>
      <w:r w:rsidRPr="0068493E">
        <w:rPr>
          <w:rFonts w:eastAsia="Times New Roman" w:cs="Arial"/>
          <w:sz w:val="24"/>
          <w:szCs w:val="24"/>
          <w:lang w:val="es-419" w:eastAsia="es-419"/>
        </w:rPr>
        <w:t xml:space="preserve">El veintiocho de julio, </w:t>
      </w:r>
      <w:proofErr w:type="spellStart"/>
      <w:r w:rsidRPr="0068493E">
        <w:rPr>
          <w:rFonts w:eastAsia="Times New Roman" w:cs="Arial"/>
          <w:sz w:val="24"/>
          <w:szCs w:val="24"/>
          <w:lang w:val="es-419" w:eastAsia="es-419"/>
        </w:rPr>
        <w:t>Kyri</w:t>
      </w:r>
      <w:proofErr w:type="spellEnd"/>
      <w:r w:rsidRPr="0068493E">
        <w:rPr>
          <w:rFonts w:eastAsia="Times New Roman" w:cs="Arial"/>
          <w:sz w:val="24"/>
          <w:szCs w:val="24"/>
          <w:lang w:val="es-419" w:eastAsia="es-419"/>
        </w:rPr>
        <w:t xml:space="preserve"> Rebeca Vences Solís, promovió ante la Sala Xalapa un juicio para la protección de los derechos político-electorales del ciudadano a fin de controvertir el acuerdo de veintitrés de julio, emitido por la Comisión de Vinculación con Organismos Públicos Locales del Instituto Nacional Electoral, por el cual se aprobaron los folios de las y los aspirantes que no accederían a la siguiente etapa del procedimiento de designación de selección y designación de las consejerías electorales del Instituto Electoral y de Participación Ciudadana de Yucatán, específicamente por lo que hace al requisito de residencia efectiva.</w:t>
      </w:r>
    </w:p>
    <w:p w14:paraId="1AB6D10E"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419" w:eastAsia="es-419"/>
        </w:rPr>
      </w:pPr>
      <w:r w:rsidRPr="0068493E">
        <w:rPr>
          <w:rFonts w:eastAsia="Times New Roman" w:cs="Arial"/>
          <w:sz w:val="24"/>
          <w:szCs w:val="24"/>
          <w:lang w:val="es-419" w:eastAsia="es-419"/>
        </w:rPr>
        <w:t xml:space="preserve">La actora presentó la demanda del juicio ciudadano y anexos vía correo electrónico a través de la cuenta </w:t>
      </w:r>
      <w:hyperlink r:id="rId18" w:history="1">
        <w:r w:rsidRPr="0068493E">
          <w:rPr>
            <w:rStyle w:val="Hipervnculo"/>
            <w:rFonts w:eastAsia="Times New Roman" w:cs="Arial"/>
            <w:i/>
            <w:iCs/>
            <w:sz w:val="24"/>
            <w:szCs w:val="24"/>
            <w:lang w:val="es-419" w:eastAsia="es-419"/>
          </w:rPr>
          <w:t>rebeca.vences@gmail.com</w:t>
        </w:r>
      </w:hyperlink>
      <w:r w:rsidRPr="0068493E">
        <w:rPr>
          <w:rFonts w:eastAsia="Times New Roman" w:cs="Arial"/>
          <w:i/>
          <w:iCs/>
          <w:sz w:val="24"/>
          <w:szCs w:val="24"/>
          <w:lang w:val="es-419" w:eastAsia="es-419"/>
        </w:rPr>
        <w:t xml:space="preserve">. </w:t>
      </w:r>
      <w:r w:rsidRPr="0068493E">
        <w:rPr>
          <w:rFonts w:eastAsia="Times New Roman" w:cs="Arial"/>
          <w:sz w:val="24"/>
          <w:szCs w:val="24"/>
          <w:lang w:val="es-419" w:eastAsia="es-419"/>
        </w:rPr>
        <w:t xml:space="preserve">En su correo señaló que presentaba el medio de impugnación bajo protesta de decir verdad y en dos formatos PDF, uno sin firmas y otro con firmas, para fácil lectura. De la imagen escaneada en el archivo PDF se desprende que el medio de impugnación está firmado.     </w:t>
      </w:r>
    </w:p>
    <w:p w14:paraId="727ED415" w14:textId="77777777" w:rsidR="0068493E" w:rsidRPr="0068493E" w:rsidRDefault="0068493E" w:rsidP="0068493E">
      <w:pPr>
        <w:widowControl w:val="0"/>
        <w:spacing w:before="100" w:beforeAutospacing="1" w:after="100" w:afterAutospacing="1" w:line="360" w:lineRule="auto"/>
        <w:jc w:val="both"/>
        <w:rPr>
          <w:rFonts w:eastAsia="Times New Roman" w:cs="Arial"/>
          <w:b/>
          <w:bCs/>
          <w:i/>
          <w:iCs/>
          <w:sz w:val="24"/>
          <w:szCs w:val="24"/>
          <w:lang w:val="es-419" w:eastAsia="es-419"/>
        </w:rPr>
      </w:pPr>
      <w:r w:rsidRPr="0068493E">
        <w:rPr>
          <w:rFonts w:eastAsia="Times New Roman" w:cs="Arial"/>
          <w:b/>
          <w:bCs/>
          <w:i/>
          <w:iCs/>
          <w:sz w:val="24"/>
          <w:szCs w:val="24"/>
          <w:lang w:val="es-419" w:eastAsia="es-419"/>
        </w:rPr>
        <w:t>2. Criterio de la mayoría</w:t>
      </w:r>
    </w:p>
    <w:p w14:paraId="069B2D35"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419" w:eastAsia="es-419"/>
        </w:rPr>
      </w:pPr>
      <w:r w:rsidRPr="0068493E">
        <w:rPr>
          <w:rFonts w:eastAsia="Times New Roman" w:cs="Arial"/>
          <w:sz w:val="24"/>
          <w:szCs w:val="24"/>
          <w:lang w:val="es-419" w:eastAsia="es-419"/>
        </w:rPr>
        <w:t>La sentencia determina desechar el juicio ciudadano porque la demanda no contiene la firma autógrafa de la actora. El desechamiento se sustenta en los artículos 9, párrafo 1, inciso g), y párrafo 3, de la Ley de Medios y atendiendo a que la Sala Superior ha desechado las demandas que no contengan firma autógrafa, incluso si se remiten escaneadas por medios digitales.</w:t>
      </w:r>
    </w:p>
    <w:p w14:paraId="0A21FC3C"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419" w:eastAsia="es-419"/>
        </w:rPr>
      </w:pPr>
      <w:r w:rsidRPr="0068493E">
        <w:rPr>
          <w:rFonts w:eastAsia="Times New Roman" w:cs="Arial"/>
          <w:sz w:val="24"/>
          <w:szCs w:val="24"/>
          <w:lang w:val="es-419" w:eastAsia="es-419"/>
        </w:rPr>
        <w:t xml:space="preserve">Además, se sostiene que la Sala Superior ha implementado instrumentos que posibilitan el acceso a la ciudadanía de medios de impugnación extraordinarios que son competencia del Tribunal Electoral a través de métodos alternos a la presentación y comparecencia directa exigida para </w:t>
      </w:r>
      <w:r w:rsidRPr="0068493E">
        <w:rPr>
          <w:rFonts w:eastAsia="Times New Roman" w:cs="Arial"/>
          <w:sz w:val="24"/>
          <w:szCs w:val="24"/>
          <w:lang w:val="es-419" w:eastAsia="es-419"/>
        </w:rPr>
        <w:lastRenderedPageBreak/>
        <w:t xml:space="preserve">las actuaciones en atención a las circunstancias atípicas que actualmente se presentan por la emergencia sanitaria. </w:t>
      </w:r>
    </w:p>
    <w:p w14:paraId="54D64331"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419" w:eastAsia="es-419"/>
        </w:rPr>
      </w:pPr>
      <w:r w:rsidRPr="0068493E">
        <w:rPr>
          <w:rFonts w:eastAsia="Times New Roman" w:cs="Arial"/>
          <w:sz w:val="24"/>
          <w:szCs w:val="24"/>
          <w:lang w:val="es-419" w:eastAsia="es-419"/>
        </w:rPr>
        <w:t>De entre estas medidas, se señala que está la posibilidad de que se practiquen notificaciones en direcciones de correo no certificadas, o bien, el juicio en línea, a través del cual se posibilita que, de manera remota, se presenten demandas de determinados recursos y se consulten las constancias respectivas.</w:t>
      </w:r>
    </w:p>
    <w:p w14:paraId="3ADC8DE3" w14:textId="77777777" w:rsidR="0068493E" w:rsidRPr="0068493E" w:rsidRDefault="0068493E" w:rsidP="0068493E">
      <w:pPr>
        <w:widowControl w:val="0"/>
        <w:spacing w:before="100" w:beforeAutospacing="1" w:after="100" w:afterAutospacing="1" w:line="360" w:lineRule="auto"/>
        <w:jc w:val="both"/>
        <w:rPr>
          <w:rFonts w:eastAsia="Arial" w:cs="Arial"/>
          <w:sz w:val="24"/>
          <w:szCs w:val="24"/>
          <w:lang w:val="es-419" w:eastAsia="es-ES"/>
        </w:rPr>
      </w:pPr>
      <w:r w:rsidRPr="0068493E">
        <w:rPr>
          <w:rFonts w:eastAsia="Arial" w:cs="Arial"/>
          <w:sz w:val="24"/>
          <w:szCs w:val="24"/>
          <w:lang w:val="es-419" w:eastAsia="es-ES"/>
        </w:rPr>
        <w:t>Además, se argumenta que, con motivo de la pandemia, la Sala Superior ha implementado instrumentos y métodos alternos a los tradicionales para posibilitar el acceso de las y los justiciables a los medios de impugnación. De entre ellos, las notificaciones a través de direcciones de correo electrónico no certificadas y la implementación del juicio en línea con el uso de la firma electrónica, los cuales dan certeza sobre la identidad de las partes y la autenticidad de sus actuaciones.</w:t>
      </w:r>
    </w:p>
    <w:p w14:paraId="3A3C0433" w14:textId="77777777" w:rsidR="0068493E" w:rsidRPr="0068493E" w:rsidRDefault="0068493E" w:rsidP="0068493E">
      <w:pPr>
        <w:widowControl w:val="0"/>
        <w:spacing w:before="100" w:beforeAutospacing="1" w:after="100" w:afterAutospacing="1" w:line="360" w:lineRule="auto"/>
        <w:jc w:val="both"/>
        <w:rPr>
          <w:rFonts w:eastAsia="Arial" w:cs="Arial"/>
          <w:sz w:val="24"/>
          <w:szCs w:val="24"/>
          <w:lang w:val="es-419" w:eastAsia="es-ES"/>
        </w:rPr>
      </w:pPr>
      <w:r w:rsidRPr="0068493E">
        <w:rPr>
          <w:rFonts w:eastAsia="Arial" w:cs="Arial"/>
          <w:sz w:val="24"/>
          <w:szCs w:val="24"/>
          <w:lang w:val="es-419" w:eastAsia="es-ES"/>
        </w:rPr>
        <w:t xml:space="preserve">Sin embargo, estas acciones han exigido el eventual desarrollo de herramientas confiables que garanticen la certeza de la identidad de las partes y la autenticidad de las actuaciones procesales. </w:t>
      </w:r>
    </w:p>
    <w:p w14:paraId="2B79DDFD" w14:textId="77777777" w:rsidR="0068493E" w:rsidRPr="0068493E" w:rsidRDefault="0068493E" w:rsidP="0068493E">
      <w:pPr>
        <w:widowControl w:val="0"/>
        <w:spacing w:before="100" w:beforeAutospacing="1" w:after="100" w:afterAutospacing="1" w:line="360" w:lineRule="auto"/>
        <w:jc w:val="both"/>
        <w:rPr>
          <w:rFonts w:eastAsia="Arial" w:cs="Arial"/>
          <w:sz w:val="24"/>
          <w:szCs w:val="24"/>
          <w:lang w:val="es-419" w:eastAsia="es-ES"/>
        </w:rPr>
      </w:pPr>
      <w:r w:rsidRPr="0068493E">
        <w:rPr>
          <w:rFonts w:eastAsia="Arial" w:cs="Arial"/>
          <w:sz w:val="24"/>
          <w:szCs w:val="24"/>
          <w:lang w:val="es-419" w:eastAsia="es-ES"/>
        </w:rPr>
        <w:t>Es por esta razón que antes de que se establecieran dichas medidas y de su entrada en funcionamiento –aun incluyendo los juicios no previstos para la presentación en línea o, que se opte por la presentación ordinaria– se deben ajustar a las reglas procedimentales previstas en la ley para la interposición de los medios de impugnación, es decir aquellas reglas que permiten presumir, de entre otras cosas, la auténtica voluntad de las partes para comparecer en juicio.</w:t>
      </w:r>
    </w:p>
    <w:p w14:paraId="7D45F4FE" w14:textId="77777777" w:rsidR="0068493E" w:rsidRPr="0068493E" w:rsidRDefault="0068493E" w:rsidP="0068493E">
      <w:pPr>
        <w:widowControl w:val="0"/>
        <w:spacing w:before="100" w:beforeAutospacing="1" w:after="100" w:afterAutospacing="1" w:line="360" w:lineRule="auto"/>
        <w:jc w:val="both"/>
        <w:rPr>
          <w:rFonts w:eastAsia="Arial" w:cs="Arial"/>
          <w:sz w:val="24"/>
          <w:szCs w:val="24"/>
          <w:lang w:val="es-419" w:eastAsia="es-ES"/>
        </w:rPr>
      </w:pPr>
      <w:r w:rsidRPr="0068493E">
        <w:rPr>
          <w:rFonts w:eastAsia="Arial" w:cs="Arial"/>
          <w:sz w:val="24"/>
          <w:szCs w:val="24"/>
          <w:lang w:val="es-419" w:eastAsia="es-ES"/>
        </w:rPr>
        <w:t xml:space="preserve">También se señala en la sentencia que de las constancias de autos no se advierte que la actora estuviera imposibilitada para satisfacer el requisito exigido. </w:t>
      </w:r>
    </w:p>
    <w:p w14:paraId="7FD4BC6A" w14:textId="77777777" w:rsidR="0068493E" w:rsidRPr="0068493E" w:rsidRDefault="0068493E" w:rsidP="0068493E">
      <w:pPr>
        <w:widowControl w:val="0"/>
        <w:spacing w:before="100" w:beforeAutospacing="1" w:after="100" w:afterAutospacing="1" w:line="360" w:lineRule="auto"/>
        <w:jc w:val="both"/>
        <w:rPr>
          <w:rFonts w:eastAsia="Arial" w:cs="Arial"/>
          <w:sz w:val="24"/>
          <w:szCs w:val="24"/>
          <w:lang w:val="es-419" w:eastAsia="es-ES"/>
        </w:rPr>
      </w:pPr>
      <w:r w:rsidRPr="0068493E">
        <w:rPr>
          <w:rFonts w:eastAsia="Arial" w:cs="Arial"/>
          <w:sz w:val="24"/>
          <w:szCs w:val="24"/>
          <w:lang w:val="es-419" w:eastAsia="es-ES"/>
        </w:rPr>
        <w:t>Finalmente, la mayoría pretendió justificar la decisión de desechamiento, al señalar que esta Sala Superior determinó en el</w:t>
      </w:r>
      <w:r w:rsidRPr="0068493E">
        <w:rPr>
          <w:rFonts w:eastAsia="Arial" w:cs="Arial"/>
          <w:b/>
          <w:bCs/>
          <w:sz w:val="24"/>
          <w:szCs w:val="24"/>
          <w:lang w:val="es-419" w:eastAsia="es-ES"/>
        </w:rPr>
        <w:t xml:space="preserve"> SUP-REC-74/2020</w:t>
      </w:r>
      <w:r w:rsidRPr="0068493E">
        <w:rPr>
          <w:rFonts w:eastAsia="Arial" w:cs="Arial"/>
          <w:sz w:val="24"/>
          <w:szCs w:val="24"/>
          <w:lang w:val="es-419" w:eastAsia="es-ES"/>
        </w:rPr>
        <w:t xml:space="preserve"> que era válido que la demanda se presentara mediante correo electrónico, pues se </w:t>
      </w:r>
      <w:r w:rsidRPr="0068493E">
        <w:rPr>
          <w:rFonts w:eastAsia="Arial" w:cs="Arial"/>
          <w:sz w:val="24"/>
          <w:szCs w:val="24"/>
          <w:lang w:val="es-419" w:eastAsia="es-ES"/>
        </w:rPr>
        <w:lastRenderedPageBreak/>
        <w:t xml:space="preserve">trataba de la solicitud de medidas cautelares, además de que se advirtieron circunstancias que justificaban esa forma de presentación. </w:t>
      </w:r>
    </w:p>
    <w:p w14:paraId="1F4D305C" w14:textId="77777777" w:rsidR="0068493E" w:rsidRPr="0068493E" w:rsidRDefault="0068493E" w:rsidP="0068493E">
      <w:pPr>
        <w:widowControl w:val="0"/>
        <w:spacing w:before="100" w:beforeAutospacing="1" w:after="100" w:afterAutospacing="1" w:line="360" w:lineRule="auto"/>
        <w:jc w:val="both"/>
        <w:rPr>
          <w:rFonts w:eastAsia="Arial" w:cs="Arial"/>
          <w:sz w:val="24"/>
          <w:szCs w:val="24"/>
          <w:lang w:val="es-419" w:eastAsia="es-ES"/>
        </w:rPr>
      </w:pPr>
      <w:r w:rsidRPr="0068493E">
        <w:rPr>
          <w:rFonts w:eastAsia="Arial" w:cs="Arial"/>
          <w:sz w:val="24"/>
          <w:szCs w:val="24"/>
          <w:lang w:val="es-419" w:eastAsia="es-ES"/>
        </w:rPr>
        <w:t xml:space="preserve">Esas circunstancias se identificaron como la existencia de la contingencia sanitaria, el ámbito geográfico y la pertenencia a una comunidad indígena del recurrente, por lo que en el </w:t>
      </w:r>
      <w:r w:rsidRPr="0068493E">
        <w:rPr>
          <w:rFonts w:eastAsia="Arial" w:cs="Arial"/>
          <w:b/>
          <w:bCs/>
          <w:sz w:val="24"/>
          <w:szCs w:val="24"/>
          <w:lang w:val="es-419" w:eastAsia="es-ES"/>
        </w:rPr>
        <w:t>SUP-JRC-7/2020</w:t>
      </w:r>
      <w:r w:rsidRPr="0068493E">
        <w:rPr>
          <w:rFonts w:eastAsia="Arial" w:cs="Arial"/>
          <w:sz w:val="24"/>
          <w:szCs w:val="24"/>
          <w:lang w:val="es-419" w:eastAsia="es-ES"/>
        </w:rPr>
        <w:t>, se determinó que la demanda presentada por correo electrónico ante el Instituto Electoral y de Participación de Durango era válida, porque las actuaciones de ese Instituto motivaron una situación excepcional para no presentar la demanda por escrito.</w:t>
      </w:r>
    </w:p>
    <w:p w14:paraId="6F450B04" w14:textId="77777777" w:rsidR="0068493E" w:rsidRPr="0068493E" w:rsidRDefault="0068493E" w:rsidP="0068493E">
      <w:pPr>
        <w:widowControl w:val="0"/>
        <w:spacing w:before="100" w:beforeAutospacing="1" w:after="100" w:afterAutospacing="1" w:line="360" w:lineRule="auto"/>
        <w:jc w:val="both"/>
        <w:rPr>
          <w:rFonts w:eastAsia="Times New Roman" w:cs="Arial"/>
          <w:b/>
          <w:bCs/>
          <w:i/>
          <w:iCs/>
          <w:sz w:val="24"/>
          <w:szCs w:val="24"/>
          <w:lang w:val="es-419" w:eastAsia="es-419"/>
        </w:rPr>
      </w:pPr>
      <w:r w:rsidRPr="0068493E">
        <w:rPr>
          <w:rFonts w:eastAsia="Times New Roman" w:cs="Arial"/>
          <w:b/>
          <w:bCs/>
          <w:i/>
          <w:iCs/>
          <w:sz w:val="24"/>
          <w:szCs w:val="24"/>
          <w:lang w:val="es-419" w:eastAsia="es-419"/>
        </w:rPr>
        <w:t>3. Razones del disenso</w:t>
      </w:r>
    </w:p>
    <w:p w14:paraId="46C4913D" w14:textId="77777777" w:rsidR="0068493E" w:rsidRPr="0068493E" w:rsidRDefault="0068493E" w:rsidP="0068493E">
      <w:pPr>
        <w:widowControl w:val="0"/>
        <w:spacing w:before="100" w:beforeAutospacing="1" w:after="100" w:afterAutospacing="1" w:line="360" w:lineRule="auto"/>
        <w:jc w:val="both"/>
        <w:rPr>
          <w:rFonts w:eastAsia="Times New Roman" w:cs="Arial"/>
          <w:b/>
          <w:bCs/>
          <w:i/>
          <w:iCs/>
          <w:sz w:val="24"/>
          <w:szCs w:val="24"/>
          <w:lang w:val="es-419" w:eastAsia="es-419"/>
        </w:rPr>
      </w:pPr>
      <w:r w:rsidRPr="0068493E">
        <w:rPr>
          <w:rFonts w:eastAsia="Times New Roman" w:cs="Arial"/>
          <w:b/>
          <w:bCs/>
          <w:i/>
          <w:iCs/>
          <w:sz w:val="24"/>
          <w:szCs w:val="24"/>
          <w:lang w:val="es-419" w:eastAsia="es-419"/>
        </w:rPr>
        <w:t xml:space="preserve">3.1. La demanda debió considerarse presentada en forma  </w:t>
      </w:r>
    </w:p>
    <w:p w14:paraId="7E04A381"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419" w:eastAsia="es-419"/>
        </w:rPr>
      </w:pPr>
      <w:r w:rsidRPr="0068493E">
        <w:rPr>
          <w:rFonts w:eastAsia="Times New Roman" w:cs="Arial"/>
          <w:sz w:val="24"/>
          <w:szCs w:val="24"/>
          <w:lang w:val="es-419" w:eastAsia="es-419"/>
        </w:rPr>
        <w:t xml:space="preserve">Como lo anticipamos, diferimos de la decisión mayoritaria, pues no garantiza el derecho de acceso a la justicia de la actora atendiendo al contexto actual de la emergencia sanitaria originada por la pandemia de la enfermedad COVID-19. </w:t>
      </w:r>
    </w:p>
    <w:p w14:paraId="13017D9C"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419" w:eastAsia="es-419"/>
        </w:rPr>
      </w:pPr>
      <w:r w:rsidRPr="0068493E">
        <w:rPr>
          <w:rFonts w:eastAsia="Times New Roman" w:cs="Arial"/>
          <w:sz w:val="24"/>
          <w:szCs w:val="24"/>
          <w:lang w:val="es-419" w:eastAsia="es-419"/>
        </w:rPr>
        <w:t>Nuestra postura se sustenta en los argumentos siguientes:</w:t>
      </w:r>
    </w:p>
    <w:p w14:paraId="3B3C72F5" w14:textId="77777777" w:rsidR="0068493E" w:rsidRPr="00B20415" w:rsidRDefault="0068493E" w:rsidP="00182E2E">
      <w:pPr>
        <w:pStyle w:val="Prrafodelista"/>
        <w:numPr>
          <w:ilvl w:val="0"/>
          <w:numId w:val="22"/>
        </w:numPr>
        <w:spacing w:before="240" w:after="240" w:line="360" w:lineRule="auto"/>
        <w:ind w:left="568" w:hanging="284"/>
        <w:jc w:val="both"/>
        <w:rPr>
          <w:rFonts w:eastAsia="Times New Roman" w:cs="Arial"/>
          <w:sz w:val="24"/>
          <w:szCs w:val="24"/>
          <w:lang w:val="es-419" w:eastAsia="es-419"/>
        </w:rPr>
      </w:pPr>
      <w:r w:rsidRPr="00B20415">
        <w:rPr>
          <w:rFonts w:eastAsia="Times New Roman" w:cs="Arial"/>
          <w:sz w:val="24"/>
          <w:szCs w:val="24"/>
          <w:lang w:val="es-419" w:eastAsia="es-419"/>
        </w:rPr>
        <w:t>La firma autógrafa, como formalidad esencial en la presentación de los medios de impugnación, así como el criterio de la Sala Superior respecto a su cumplimiento, se aplican de manera estricta en circunstancias ordinarias. Sin embargo, el contexto actual exige un análisis desde otra perspectiva.</w:t>
      </w:r>
    </w:p>
    <w:p w14:paraId="1912FE11" w14:textId="77777777" w:rsidR="0068493E" w:rsidRPr="00B20415" w:rsidRDefault="0068493E" w:rsidP="00182E2E">
      <w:pPr>
        <w:pStyle w:val="Prrafodelista"/>
        <w:numPr>
          <w:ilvl w:val="0"/>
          <w:numId w:val="22"/>
        </w:numPr>
        <w:spacing w:before="240" w:after="240" w:line="360" w:lineRule="auto"/>
        <w:ind w:left="568" w:hanging="284"/>
        <w:jc w:val="both"/>
        <w:rPr>
          <w:rFonts w:eastAsia="Times New Roman" w:cs="Arial"/>
          <w:sz w:val="24"/>
          <w:szCs w:val="24"/>
          <w:lang w:val="es-419" w:eastAsia="es-419"/>
        </w:rPr>
      </w:pPr>
      <w:r w:rsidRPr="00B20415">
        <w:rPr>
          <w:rFonts w:eastAsia="Times New Roman" w:cs="Arial"/>
          <w:sz w:val="24"/>
          <w:szCs w:val="24"/>
          <w:lang w:val="es-419" w:eastAsia="es-419"/>
        </w:rPr>
        <w:t>La situación sanitaria de la pandemia es un hecho notorio, tan es así que esta Sala Superior y otras autoridades jurisdiccionales han tenido que implementar medidas extraordinarias y excepcionales a las formalidades previstas en la ley. Por lo tanto, esa situación debió considerarse al momento de analizar el escrito de demanda.</w:t>
      </w:r>
    </w:p>
    <w:p w14:paraId="08A99C95" w14:textId="77777777" w:rsidR="0068493E" w:rsidRPr="00B20415" w:rsidRDefault="0068493E" w:rsidP="00182E2E">
      <w:pPr>
        <w:pStyle w:val="Prrafodelista"/>
        <w:numPr>
          <w:ilvl w:val="0"/>
          <w:numId w:val="22"/>
        </w:numPr>
        <w:spacing w:before="240" w:after="240" w:line="360" w:lineRule="auto"/>
        <w:ind w:left="568" w:hanging="284"/>
        <w:jc w:val="both"/>
        <w:rPr>
          <w:rFonts w:eastAsia="Times New Roman" w:cs="Arial"/>
          <w:sz w:val="24"/>
          <w:szCs w:val="24"/>
          <w:lang w:val="es-419" w:eastAsia="es-419"/>
        </w:rPr>
      </w:pPr>
      <w:r w:rsidRPr="00B20415">
        <w:rPr>
          <w:rFonts w:eastAsia="Times New Roman" w:cs="Arial"/>
          <w:sz w:val="24"/>
          <w:szCs w:val="24"/>
          <w:lang w:val="es-419" w:eastAsia="es-419"/>
        </w:rPr>
        <w:t>Las medidas implementadas por la Sala Superior son insuficientes para garantizar el acceso a la justicia en cuanto a la presentación de los medios de impugnación</w:t>
      </w:r>
      <w:r>
        <w:rPr>
          <w:rFonts w:eastAsia="Times New Roman" w:cs="Arial"/>
          <w:sz w:val="24"/>
          <w:szCs w:val="24"/>
          <w:lang w:val="es-419" w:eastAsia="es-419"/>
        </w:rPr>
        <w:t xml:space="preserve"> como el juicio en el que se actúa</w:t>
      </w:r>
      <w:r w:rsidRPr="00B20415">
        <w:rPr>
          <w:rFonts w:eastAsia="Times New Roman" w:cs="Arial"/>
          <w:sz w:val="24"/>
          <w:szCs w:val="24"/>
          <w:lang w:val="es-419" w:eastAsia="es-419"/>
        </w:rPr>
        <w:t xml:space="preserve">. Esta falta </w:t>
      </w:r>
      <w:r w:rsidRPr="00B20415">
        <w:rPr>
          <w:rFonts w:eastAsia="Times New Roman" w:cs="Arial"/>
          <w:sz w:val="24"/>
          <w:szCs w:val="24"/>
          <w:lang w:val="es-419" w:eastAsia="es-419"/>
        </w:rPr>
        <w:lastRenderedPageBreak/>
        <w:t xml:space="preserve">de medidas oportunas y eficaces no pueden </w:t>
      </w:r>
      <w:r>
        <w:rPr>
          <w:rFonts w:eastAsia="Times New Roman" w:cs="Arial"/>
          <w:sz w:val="24"/>
          <w:szCs w:val="24"/>
          <w:lang w:val="es-419" w:eastAsia="es-419"/>
        </w:rPr>
        <w:t>operar</w:t>
      </w:r>
      <w:r w:rsidRPr="00B20415">
        <w:rPr>
          <w:rFonts w:eastAsia="Times New Roman" w:cs="Arial"/>
          <w:sz w:val="24"/>
          <w:szCs w:val="24"/>
          <w:lang w:val="es-419" w:eastAsia="es-419"/>
        </w:rPr>
        <w:t xml:space="preserve"> en perjuicio de </w:t>
      </w:r>
      <w:r>
        <w:rPr>
          <w:rFonts w:eastAsia="Times New Roman" w:cs="Arial"/>
          <w:sz w:val="24"/>
          <w:szCs w:val="24"/>
          <w:lang w:val="es-419" w:eastAsia="es-419"/>
        </w:rPr>
        <w:t xml:space="preserve">las y </w:t>
      </w:r>
      <w:r w:rsidRPr="00B20415">
        <w:rPr>
          <w:rFonts w:eastAsia="Times New Roman" w:cs="Arial"/>
          <w:sz w:val="24"/>
          <w:szCs w:val="24"/>
          <w:lang w:val="es-419" w:eastAsia="es-419"/>
        </w:rPr>
        <w:t xml:space="preserve">los justiciables y de las medidas de salubridad que se han implementado para salvaguardar la salud de la ciudadanía y </w:t>
      </w:r>
      <w:r>
        <w:rPr>
          <w:rFonts w:eastAsia="Times New Roman" w:cs="Arial"/>
          <w:sz w:val="24"/>
          <w:szCs w:val="24"/>
          <w:lang w:val="es-419" w:eastAsia="es-419"/>
        </w:rPr>
        <w:t xml:space="preserve">del funcionariado </w:t>
      </w:r>
      <w:r w:rsidRPr="00B20415">
        <w:rPr>
          <w:rFonts w:eastAsia="Times New Roman" w:cs="Arial"/>
          <w:sz w:val="24"/>
          <w:szCs w:val="24"/>
          <w:lang w:val="es-419" w:eastAsia="es-419"/>
        </w:rPr>
        <w:t>judicial.</w:t>
      </w:r>
    </w:p>
    <w:p w14:paraId="6DE8C1C3" w14:textId="77777777" w:rsidR="0068493E" w:rsidRDefault="0068493E" w:rsidP="00182E2E">
      <w:pPr>
        <w:pStyle w:val="Prrafodelista"/>
        <w:numPr>
          <w:ilvl w:val="0"/>
          <w:numId w:val="22"/>
        </w:numPr>
        <w:spacing w:before="240" w:after="240" w:line="360" w:lineRule="auto"/>
        <w:ind w:left="568" w:hanging="284"/>
        <w:jc w:val="both"/>
        <w:rPr>
          <w:rFonts w:eastAsia="Times New Roman" w:cs="Arial"/>
          <w:sz w:val="24"/>
          <w:szCs w:val="24"/>
          <w:lang w:val="es-419" w:eastAsia="es-419"/>
        </w:rPr>
      </w:pPr>
      <w:r w:rsidRPr="00B20415">
        <w:rPr>
          <w:rFonts w:eastAsia="Times New Roman" w:cs="Arial"/>
          <w:sz w:val="24"/>
          <w:szCs w:val="24"/>
          <w:lang w:val="es-419" w:eastAsia="es-419"/>
        </w:rPr>
        <w:t>En el contexto de la pandemia era posible que la Sala Superior implementara otro tipo de medidas que le permitieran autenticar la voluntad de</w:t>
      </w:r>
      <w:r>
        <w:rPr>
          <w:rFonts w:eastAsia="Times New Roman" w:cs="Arial"/>
          <w:sz w:val="24"/>
          <w:szCs w:val="24"/>
          <w:lang w:val="es-419" w:eastAsia="es-419"/>
        </w:rPr>
        <w:t xml:space="preserve"> </w:t>
      </w:r>
      <w:r w:rsidRPr="00B20415">
        <w:rPr>
          <w:rFonts w:eastAsia="Times New Roman" w:cs="Arial"/>
          <w:sz w:val="24"/>
          <w:szCs w:val="24"/>
          <w:lang w:val="es-419" w:eastAsia="es-419"/>
        </w:rPr>
        <w:t>l</w:t>
      </w:r>
      <w:r>
        <w:rPr>
          <w:rFonts w:eastAsia="Times New Roman" w:cs="Arial"/>
          <w:sz w:val="24"/>
          <w:szCs w:val="24"/>
          <w:lang w:val="es-419" w:eastAsia="es-419"/>
        </w:rPr>
        <w:t>a</w:t>
      </w:r>
      <w:r w:rsidRPr="00B20415">
        <w:rPr>
          <w:rFonts w:eastAsia="Times New Roman" w:cs="Arial"/>
          <w:sz w:val="24"/>
          <w:szCs w:val="24"/>
          <w:lang w:val="es-419" w:eastAsia="es-419"/>
        </w:rPr>
        <w:t xml:space="preserve"> actor</w:t>
      </w:r>
      <w:r>
        <w:rPr>
          <w:rFonts w:eastAsia="Times New Roman" w:cs="Arial"/>
          <w:sz w:val="24"/>
          <w:szCs w:val="24"/>
          <w:lang w:val="es-419" w:eastAsia="es-419"/>
        </w:rPr>
        <w:t>a</w:t>
      </w:r>
      <w:r w:rsidRPr="00B20415">
        <w:rPr>
          <w:rFonts w:eastAsia="Times New Roman" w:cs="Arial"/>
          <w:sz w:val="24"/>
          <w:szCs w:val="24"/>
          <w:lang w:val="es-419" w:eastAsia="es-419"/>
        </w:rPr>
        <w:t xml:space="preserve"> para presentar su medio de impugnación, sin desatender las medidas sanitarias ni poner en riesgo su salud.</w:t>
      </w:r>
    </w:p>
    <w:p w14:paraId="155E5A8A" w14:textId="77777777" w:rsidR="0068493E" w:rsidRPr="005C038F" w:rsidRDefault="0068493E" w:rsidP="00182E2E">
      <w:pPr>
        <w:pStyle w:val="Prrafodelista"/>
        <w:numPr>
          <w:ilvl w:val="0"/>
          <w:numId w:val="22"/>
        </w:numPr>
        <w:spacing w:before="240" w:after="240" w:line="360" w:lineRule="auto"/>
        <w:ind w:left="568" w:hanging="284"/>
        <w:jc w:val="both"/>
        <w:rPr>
          <w:rFonts w:eastAsia="Times New Roman" w:cs="Arial"/>
          <w:sz w:val="24"/>
          <w:szCs w:val="24"/>
          <w:lang w:val="es-419" w:eastAsia="es-419"/>
        </w:rPr>
      </w:pPr>
      <w:r>
        <w:rPr>
          <w:rFonts w:eastAsia="Times New Roman" w:cs="Arial"/>
          <w:sz w:val="24"/>
          <w:szCs w:val="24"/>
          <w:lang w:val="es-419" w:eastAsia="es-419"/>
        </w:rPr>
        <w:t>Aunado a que se cuenta con elementos suficientes para identificar a la actora, porque</w:t>
      </w:r>
      <w:r w:rsidRPr="005C038F">
        <w:rPr>
          <w:rFonts w:eastAsia="Times New Roman" w:cs="Arial"/>
          <w:sz w:val="24"/>
          <w:szCs w:val="24"/>
          <w:lang w:val="es-419" w:eastAsia="es-419"/>
        </w:rPr>
        <w:t xml:space="preserve"> es funcionar</w:t>
      </w:r>
      <w:r>
        <w:rPr>
          <w:rFonts w:eastAsia="Times New Roman" w:cs="Arial"/>
          <w:sz w:val="24"/>
          <w:szCs w:val="24"/>
          <w:lang w:val="es-419" w:eastAsia="es-419"/>
        </w:rPr>
        <w:t>i</w:t>
      </w:r>
      <w:r w:rsidRPr="005C038F">
        <w:rPr>
          <w:rFonts w:eastAsia="Times New Roman" w:cs="Arial"/>
          <w:sz w:val="24"/>
          <w:szCs w:val="24"/>
          <w:lang w:val="es-419" w:eastAsia="es-419"/>
        </w:rPr>
        <w:t>a del Instituto de Elecciones y Participación Ciudadana del estado de Chiapas</w:t>
      </w:r>
      <w:r>
        <w:rPr>
          <w:rFonts w:eastAsia="Times New Roman" w:cs="Arial"/>
          <w:sz w:val="24"/>
          <w:szCs w:val="24"/>
          <w:lang w:val="es-419" w:eastAsia="es-419"/>
        </w:rPr>
        <w:t xml:space="preserve"> y,</w:t>
      </w:r>
      <w:r w:rsidRPr="005C038F">
        <w:rPr>
          <w:rFonts w:eastAsia="Times New Roman" w:cs="Arial"/>
          <w:sz w:val="24"/>
          <w:szCs w:val="24"/>
          <w:lang w:val="es-419" w:eastAsia="es-419"/>
        </w:rPr>
        <w:t xml:space="preserve"> </w:t>
      </w:r>
      <w:r>
        <w:rPr>
          <w:rFonts w:eastAsia="Times New Roman" w:cs="Arial"/>
          <w:sz w:val="24"/>
          <w:szCs w:val="24"/>
          <w:lang w:val="es-419" w:eastAsia="es-419"/>
        </w:rPr>
        <w:t>además,</w:t>
      </w:r>
      <w:r w:rsidRPr="005C038F">
        <w:rPr>
          <w:rFonts w:eastAsia="Times New Roman" w:cs="Arial"/>
          <w:sz w:val="24"/>
          <w:szCs w:val="24"/>
          <w:lang w:val="es-419" w:eastAsia="es-419"/>
        </w:rPr>
        <w:t xml:space="preserve"> se encuentra participando en el proceso de designación de las y los </w:t>
      </w:r>
      <w:r>
        <w:rPr>
          <w:rFonts w:eastAsia="Times New Roman" w:cs="Arial"/>
          <w:sz w:val="24"/>
          <w:szCs w:val="24"/>
          <w:lang w:val="es-419" w:eastAsia="es-419"/>
        </w:rPr>
        <w:t>c</w:t>
      </w:r>
      <w:r w:rsidRPr="005C038F">
        <w:rPr>
          <w:rFonts w:eastAsia="Times New Roman" w:cs="Arial"/>
          <w:sz w:val="24"/>
          <w:szCs w:val="24"/>
          <w:lang w:val="es-419" w:eastAsia="es-419"/>
        </w:rPr>
        <w:t xml:space="preserve">onsejeros </w:t>
      </w:r>
      <w:r>
        <w:rPr>
          <w:rFonts w:eastAsia="Times New Roman" w:cs="Arial"/>
          <w:sz w:val="24"/>
          <w:szCs w:val="24"/>
          <w:lang w:val="es-419" w:eastAsia="es-419"/>
        </w:rPr>
        <w:t>e</w:t>
      </w:r>
      <w:r w:rsidRPr="005C038F">
        <w:rPr>
          <w:rFonts w:eastAsia="Times New Roman" w:cs="Arial"/>
          <w:sz w:val="24"/>
          <w:szCs w:val="24"/>
          <w:lang w:val="es-419" w:eastAsia="es-419"/>
        </w:rPr>
        <w:t>lectorales que integrarán el Instituto Electoral y de Participación Ciudadana de Yucatán organizado por el Instituto Nacional Electoral</w:t>
      </w:r>
      <w:r>
        <w:rPr>
          <w:rFonts w:eastAsia="Times New Roman" w:cs="Arial"/>
          <w:sz w:val="24"/>
          <w:szCs w:val="24"/>
          <w:lang w:val="es-419" w:eastAsia="es-419"/>
        </w:rPr>
        <w:t>.</w:t>
      </w:r>
    </w:p>
    <w:p w14:paraId="5FC42DFB"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419" w:eastAsia="es-419"/>
        </w:rPr>
      </w:pPr>
      <w:r w:rsidRPr="0068493E">
        <w:rPr>
          <w:rFonts w:eastAsia="Times New Roman" w:cs="Arial"/>
          <w:sz w:val="24"/>
          <w:szCs w:val="24"/>
          <w:lang w:val="es-419" w:eastAsia="es-419"/>
        </w:rPr>
        <w:t xml:space="preserve">A nuestro juicio, a partir de estos argumentos es posible concluir que en el actual contexto no se debe exigir la presentación física y con firma autógrafa de la demanda de la actora. </w:t>
      </w:r>
    </w:p>
    <w:p w14:paraId="0424EBD3"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419" w:eastAsia="es-419"/>
        </w:rPr>
      </w:pPr>
      <w:r w:rsidRPr="0068493E">
        <w:rPr>
          <w:rFonts w:eastAsia="Times New Roman" w:cs="Arial"/>
          <w:sz w:val="24"/>
          <w:szCs w:val="24"/>
          <w:lang w:val="es-419" w:eastAsia="es-419"/>
        </w:rPr>
        <w:t>En todo caso, la Sala Superior puede aprovechar otras herramientas tecnológicas para autenticar la voluntad de la parte actora o valorar otros elementos, como es el contexto de presentación del medio de impugnación, garantizando así a la ciudadanía su acceso a la justicia.</w:t>
      </w:r>
    </w:p>
    <w:p w14:paraId="66D5C505" w14:textId="77777777" w:rsidR="0068493E" w:rsidRPr="0068493E" w:rsidRDefault="0068493E" w:rsidP="0068493E">
      <w:pPr>
        <w:widowControl w:val="0"/>
        <w:spacing w:before="100" w:beforeAutospacing="1" w:after="100" w:afterAutospacing="1" w:line="360" w:lineRule="auto"/>
        <w:jc w:val="both"/>
        <w:rPr>
          <w:rFonts w:eastAsia="Times New Roman" w:cs="Arial"/>
          <w:b/>
          <w:i/>
          <w:iCs/>
          <w:sz w:val="24"/>
          <w:szCs w:val="24"/>
          <w:lang w:val="es-419" w:eastAsia="es-419"/>
        </w:rPr>
      </w:pPr>
      <w:r w:rsidRPr="0068493E">
        <w:rPr>
          <w:rFonts w:eastAsia="Times New Roman" w:cs="Arial"/>
          <w:b/>
          <w:i/>
          <w:iCs/>
          <w:sz w:val="24"/>
          <w:szCs w:val="24"/>
          <w:lang w:val="es-419" w:eastAsia="es-419"/>
        </w:rPr>
        <w:t>3.1.1. Los requisitos legales para la presentación de los medios de impugnación dispuestos para situaciones ordinarias no se pueden exigir con el mismo rigor en casos extraordinarios</w:t>
      </w:r>
    </w:p>
    <w:p w14:paraId="31F436F2"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419" w:eastAsia="es-419"/>
        </w:rPr>
      </w:pPr>
      <w:r w:rsidRPr="0068493E">
        <w:rPr>
          <w:rFonts w:eastAsia="Times New Roman" w:cs="Arial"/>
          <w:sz w:val="24"/>
          <w:szCs w:val="24"/>
          <w:lang w:val="es-419" w:eastAsia="es-419"/>
        </w:rPr>
        <w:t xml:space="preserve"> Coincidimos plenamente con la sentencia en cuanto a que el requisito de la firma autógrafa es indispensable en un contexto ordinario de presentación de los medios de impugnación. </w:t>
      </w:r>
    </w:p>
    <w:p w14:paraId="00ECAB7F"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419" w:eastAsia="es-419"/>
        </w:rPr>
      </w:pPr>
      <w:r w:rsidRPr="0068493E">
        <w:rPr>
          <w:rFonts w:eastAsia="Times New Roman" w:cs="Arial"/>
          <w:sz w:val="24"/>
          <w:szCs w:val="24"/>
          <w:lang w:val="es-419" w:eastAsia="es-419"/>
        </w:rPr>
        <w:t xml:space="preserve">Al respecto, incluso hemos sostenido que dicho requisito, bajo el vigente marco legal, ni siquiera puede reemplazarse a través de una firma </w:t>
      </w:r>
      <w:r w:rsidRPr="0068493E">
        <w:rPr>
          <w:rFonts w:eastAsia="Times New Roman" w:cs="Arial"/>
          <w:sz w:val="24"/>
          <w:szCs w:val="24"/>
          <w:lang w:val="es-419" w:eastAsia="es-419"/>
        </w:rPr>
        <w:lastRenderedPageBreak/>
        <w:t>electrónica, como se acordó por la mayoría de la Sala Superior para el llamado juicio en línea, pues se trata de un requisito legal cuya modificación escapa de las facultades del Tribunal Electoral</w:t>
      </w:r>
      <w:r w:rsidRPr="0068493E">
        <w:rPr>
          <w:rFonts w:eastAsia="Times New Roman" w:cs="Arial"/>
          <w:sz w:val="24"/>
          <w:szCs w:val="24"/>
          <w:vertAlign w:val="superscript"/>
          <w:lang w:val="es-419" w:eastAsia="es-419"/>
        </w:rPr>
        <w:footnoteReference w:id="13"/>
      </w:r>
      <w:r w:rsidRPr="0068493E">
        <w:rPr>
          <w:rFonts w:eastAsia="Times New Roman" w:cs="Arial"/>
          <w:sz w:val="24"/>
          <w:szCs w:val="24"/>
          <w:lang w:val="es-419" w:eastAsia="es-419"/>
        </w:rPr>
        <w:t>.</w:t>
      </w:r>
    </w:p>
    <w:p w14:paraId="127BE8DA"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419" w:eastAsia="es-419"/>
        </w:rPr>
      </w:pPr>
      <w:r w:rsidRPr="0068493E">
        <w:rPr>
          <w:rFonts w:eastAsia="Times New Roman" w:cs="Arial"/>
          <w:sz w:val="24"/>
          <w:szCs w:val="24"/>
          <w:lang w:val="es-419" w:eastAsia="es-419"/>
        </w:rPr>
        <w:t>Así, la legislación electoral establece, de entre los requisitos de procedencia de los medios de impugnación, el relativo al nombre y firma autógrafa de quien promueve, además, sostiene que, ante la falta de esta formalidad, la demanda se deberá desechar</w:t>
      </w:r>
      <w:r w:rsidRPr="0068493E">
        <w:rPr>
          <w:rFonts w:eastAsia="Times New Roman" w:cs="Arial"/>
          <w:sz w:val="24"/>
          <w:szCs w:val="24"/>
          <w:vertAlign w:val="superscript"/>
          <w:lang w:val="es-419" w:eastAsia="es-419"/>
        </w:rPr>
        <w:footnoteReference w:id="14"/>
      </w:r>
      <w:r w:rsidRPr="0068493E">
        <w:rPr>
          <w:rFonts w:eastAsia="Times New Roman" w:cs="Arial"/>
          <w:sz w:val="24"/>
          <w:szCs w:val="24"/>
          <w:lang w:val="es-419" w:eastAsia="es-419"/>
        </w:rPr>
        <w:t xml:space="preserve">. </w:t>
      </w:r>
    </w:p>
    <w:p w14:paraId="36A0B223"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419" w:eastAsia="es-419"/>
        </w:rPr>
      </w:pPr>
      <w:r w:rsidRPr="0068493E">
        <w:rPr>
          <w:rFonts w:eastAsia="Times New Roman" w:cs="Arial"/>
          <w:sz w:val="24"/>
          <w:szCs w:val="24"/>
          <w:lang w:val="es-419" w:eastAsia="es-419"/>
        </w:rPr>
        <w:t xml:space="preserve">Lo anterior, porque dicho requisito se considera necesario para probar la voluntad de quien promueve, así como su intención; es decir, se trata de un mecanismo de autenticidad y certidumbre en la actuación de las y los justiciables. </w:t>
      </w:r>
    </w:p>
    <w:p w14:paraId="4DDEBDDF"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ES" w:eastAsia="es-419"/>
        </w:rPr>
      </w:pPr>
      <w:r w:rsidRPr="0068493E">
        <w:rPr>
          <w:rFonts w:eastAsia="Times New Roman" w:cs="Arial"/>
          <w:sz w:val="24"/>
          <w:szCs w:val="24"/>
          <w:lang w:val="es-ES" w:eastAsia="es-419"/>
        </w:rPr>
        <w:t xml:space="preserve">Además, como se señala en la sentencia, la línea jurisprudencial de este órgano jurisdiccional ha sido consistente en cuanto a lo imprescindible de dicho requisito. </w:t>
      </w:r>
    </w:p>
    <w:p w14:paraId="7526EB60"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ES" w:eastAsia="es-419"/>
        </w:rPr>
      </w:pPr>
      <w:r w:rsidRPr="0068493E">
        <w:rPr>
          <w:rFonts w:eastAsia="Times New Roman" w:cs="Arial"/>
          <w:sz w:val="24"/>
          <w:szCs w:val="24"/>
          <w:lang w:val="es-ES" w:eastAsia="es-419"/>
        </w:rPr>
        <w:t>Incluso, sobre la presentación vía correo electrónico, la jurisprudencia 12/2019 es clara en cuanto a que el correo electrónico, habilitado para los avisos de interposición de las salas regionales, no se implementó para recibir demandas, por lo que su presentación a través de ese medio no exime de la presentación del escrito con firma autógrafa</w:t>
      </w:r>
      <w:r w:rsidRPr="0068493E">
        <w:rPr>
          <w:rFonts w:eastAsia="Times New Roman" w:cs="Arial"/>
          <w:sz w:val="24"/>
          <w:szCs w:val="24"/>
          <w:vertAlign w:val="superscript"/>
          <w:lang w:val="es-ES" w:eastAsia="es-419"/>
        </w:rPr>
        <w:footnoteReference w:id="15"/>
      </w:r>
      <w:r w:rsidRPr="0068493E">
        <w:rPr>
          <w:rFonts w:eastAsia="Times New Roman" w:cs="Arial"/>
          <w:sz w:val="24"/>
          <w:szCs w:val="24"/>
          <w:lang w:val="es-ES" w:eastAsia="es-419"/>
        </w:rPr>
        <w:t xml:space="preserve">. </w:t>
      </w:r>
    </w:p>
    <w:p w14:paraId="7120BA22" w14:textId="77777777" w:rsidR="0068493E" w:rsidRPr="0068493E" w:rsidRDefault="0068493E" w:rsidP="0068493E">
      <w:pPr>
        <w:widowControl w:val="0"/>
        <w:spacing w:before="100" w:beforeAutospacing="1" w:after="100" w:afterAutospacing="1" w:line="360" w:lineRule="auto"/>
        <w:jc w:val="both"/>
        <w:rPr>
          <w:rFonts w:eastAsia="Times New Roman" w:cs="Arial"/>
          <w:b/>
          <w:sz w:val="24"/>
          <w:szCs w:val="24"/>
          <w:lang w:val="es-ES" w:eastAsia="es-419"/>
        </w:rPr>
      </w:pPr>
      <w:r w:rsidRPr="0068493E">
        <w:rPr>
          <w:rFonts w:eastAsia="Times New Roman" w:cs="Arial"/>
          <w:sz w:val="24"/>
          <w:szCs w:val="24"/>
          <w:lang w:val="es-ES" w:eastAsia="es-419"/>
        </w:rPr>
        <w:t xml:space="preserve">En una circunstancia ordinaria, estos argumentos resultarían suficientes para desechar de plano la demanda, como lo hace la mayoría. Sin embargo, no se debe perder de vista que el requisito legal y la línea jurisprudencial se adoptaron para un contexto que </w:t>
      </w:r>
      <w:r w:rsidRPr="0068493E">
        <w:rPr>
          <w:rFonts w:eastAsia="Times New Roman" w:cs="Arial"/>
          <w:b/>
          <w:sz w:val="24"/>
          <w:szCs w:val="24"/>
          <w:lang w:val="es-ES" w:eastAsia="es-419"/>
        </w:rPr>
        <w:t>no corresponde con las circunstancias</w:t>
      </w:r>
      <w:r w:rsidRPr="0068493E">
        <w:rPr>
          <w:rFonts w:eastAsia="Times New Roman" w:cs="Arial"/>
          <w:sz w:val="24"/>
          <w:szCs w:val="24"/>
          <w:lang w:val="es-ES" w:eastAsia="es-419"/>
        </w:rPr>
        <w:t xml:space="preserve"> </w:t>
      </w:r>
      <w:r w:rsidRPr="0068493E">
        <w:rPr>
          <w:rFonts w:eastAsia="Times New Roman" w:cs="Arial"/>
          <w:b/>
          <w:sz w:val="24"/>
          <w:szCs w:val="24"/>
          <w:lang w:val="es-ES" w:eastAsia="es-419"/>
        </w:rPr>
        <w:t xml:space="preserve">extraordinarias actuales. </w:t>
      </w:r>
    </w:p>
    <w:p w14:paraId="0F9198B9" w14:textId="77777777" w:rsidR="0068493E" w:rsidRPr="0068493E" w:rsidRDefault="0068493E" w:rsidP="0068493E">
      <w:pPr>
        <w:widowControl w:val="0"/>
        <w:spacing w:before="100" w:beforeAutospacing="1" w:after="100" w:afterAutospacing="1" w:line="360" w:lineRule="auto"/>
        <w:jc w:val="both"/>
        <w:rPr>
          <w:rFonts w:eastAsiaTheme="majorEastAsia" w:cs="Arial"/>
          <w:b/>
          <w:bCs/>
          <w:i/>
          <w:iCs/>
          <w:sz w:val="24"/>
          <w:szCs w:val="24"/>
          <w:lang w:val="es-ES" w:eastAsia="es-ES"/>
        </w:rPr>
      </w:pPr>
      <w:r w:rsidRPr="0068493E">
        <w:rPr>
          <w:rFonts w:eastAsia="Times New Roman" w:cs="Arial"/>
          <w:b/>
          <w:bCs/>
          <w:i/>
          <w:iCs/>
          <w:sz w:val="24"/>
          <w:szCs w:val="24"/>
          <w:lang w:val="es-ES" w:eastAsia="es-419"/>
        </w:rPr>
        <w:lastRenderedPageBreak/>
        <w:t>3.1.</w:t>
      </w:r>
      <w:r w:rsidRPr="0068493E">
        <w:rPr>
          <w:rFonts w:eastAsiaTheme="majorEastAsia" w:cs="Arial"/>
          <w:b/>
          <w:bCs/>
          <w:i/>
          <w:iCs/>
          <w:sz w:val="24"/>
          <w:szCs w:val="24"/>
          <w:lang w:val="es-ES" w:eastAsia="es-ES"/>
        </w:rPr>
        <w:t>2. La crisis sanitaria es un hecho notorio que debe considerarse para evaluar el cumplimiento de los requisitos de procedencia de los medios de impugnación, aunque las partes no lo soliciten</w:t>
      </w:r>
    </w:p>
    <w:p w14:paraId="5F9CBA1C"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 xml:space="preserve">Diferimos del razonamiento de la mayoría en cuanto a que no se justifica la ausencia de la firma autógrafa, porque la demandante no expresó </w:t>
      </w:r>
      <w:r w:rsidRPr="0068493E">
        <w:rPr>
          <w:rFonts w:eastAsiaTheme="majorEastAsia" w:cs="Arial"/>
          <w:b/>
          <w:sz w:val="24"/>
          <w:szCs w:val="24"/>
          <w:lang w:val="es-ES" w:eastAsia="es-ES"/>
        </w:rPr>
        <w:t xml:space="preserve">razones específicas que le impidieran </w:t>
      </w:r>
      <w:r w:rsidRPr="0068493E">
        <w:rPr>
          <w:rFonts w:eastAsiaTheme="majorEastAsia" w:cs="Arial"/>
          <w:sz w:val="24"/>
          <w:szCs w:val="24"/>
          <w:lang w:val="es-ES" w:eastAsia="es-ES"/>
        </w:rPr>
        <w:t xml:space="preserve">presentar su demanda con las formalidades que exige la ley, además de que </w:t>
      </w:r>
      <w:r w:rsidRPr="0068493E">
        <w:rPr>
          <w:rFonts w:eastAsiaTheme="majorEastAsia" w:cs="Arial"/>
          <w:b/>
          <w:sz w:val="24"/>
          <w:szCs w:val="24"/>
          <w:lang w:val="es-ES" w:eastAsia="es-ES"/>
        </w:rPr>
        <w:t>la Sala Superior tampoco advierte razones que la eximan de presentarla</w:t>
      </w:r>
      <w:r w:rsidRPr="0068493E">
        <w:rPr>
          <w:rFonts w:eastAsiaTheme="majorEastAsia" w:cs="Arial"/>
          <w:sz w:val="24"/>
          <w:szCs w:val="24"/>
          <w:lang w:val="es-ES" w:eastAsia="es-ES"/>
        </w:rPr>
        <w:t>.</w:t>
      </w:r>
    </w:p>
    <w:p w14:paraId="1A9CBA43"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 xml:space="preserve">Si bien es cierto que la actora no manifestó expresamente ningún impedimento, la situación de la pandemia de la COVID-19, así como las medidas sanitarias que se han implementado para contenerla, son hechos notorios que Sala Superior debió tomar en consideración al analizar el cumplimiento del requisito. </w:t>
      </w:r>
    </w:p>
    <w:p w14:paraId="09A25A02"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 xml:space="preserve">En ese sentido, es de conocimiento público que, desde el treinta de marzo, el Consejo de Salubridad General declaró la emergencia sanitaria con motivo de la pandemia y, derivado de ello, las autoridades locales y federales han implementado diversas medidas sanitarias con la finalidad de prevenir contagios y contener su expansión. </w:t>
      </w:r>
    </w:p>
    <w:p w14:paraId="3463C503"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 xml:space="preserve">Entre ellas, las medidas de distanciamiento social, la suspensión de las actividades no esenciales en los sectores público, privado y social, </w:t>
      </w:r>
      <w:r w:rsidRPr="0068493E">
        <w:rPr>
          <w:rFonts w:eastAsiaTheme="majorEastAsia" w:cs="Arial"/>
          <w:b/>
          <w:sz w:val="24"/>
          <w:szCs w:val="24"/>
          <w:lang w:val="es-ES" w:eastAsia="es-ES"/>
        </w:rPr>
        <w:t>restricciones a la movilidad</w:t>
      </w:r>
      <w:r w:rsidRPr="0068493E">
        <w:rPr>
          <w:rFonts w:eastAsiaTheme="majorEastAsia" w:cs="Arial"/>
          <w:sz w:val="24"/>
          <w:szCs w:val="24"/>
          <w:lang w:val="es-ES" w:eastAsia="es-ES"/>
        </w:rPr>
        <w:t xml:space="preserve"> </w:t>
      </w:r>
      <w:r w:rsidRPr="0068493E">
        <w:rPr>
          <w:rFonts w:eastAsiaTheme="majorEastAsia" w:cs="Arial"/>
          <w:b/>
          <w:sz w:val="24"/>
          <w:szCs w:val="24"/>
          <w:lang w:val="es-ES" w:eastAsia="es-ES"/>
        </w:rPr>
        <w:t>e interacción física</w:t>
      </w:r>
      <w:r w:rsidRPr="0068493E">
        <w:rPr>
          <w:rFonts w:eastAsiaTheme="majorEastAsia" w:cs="Arial"/>
          <w:sz w:val="24"/>
          <w:szCs w:val="24"/>
          <w:lang w:val="es-ES" w:eastAsia="es-ES"/>
        </w:rPr>
        <w:t xml:space="preserve"> y el </w:t>
      </w:r>
      <w:r w:rsidRPr="0068493E">
        <w:rPr>
          <w:rFonts w:eastAsiaTheme="majorEastAsia" w:cs="Arial"/>
          <w:b/>
          <w:sz w:val="24"/>
          <w:szCs w:val="24"/>
          <w:lang w:val="es-ES" w:eastAsia="es-ES"/>
        </w:rPr>
        <w:t>resguardo domiciliario corresponsable</w:t>
      </w:r>
      <w:r w:rsidRPr="0068493E">
        <w:rPr>
          <w:rFonts w:eastAsia="Times New Roman" w:cs="Arial"/>
          <w:sz w:val="24"/>
          <w:szCs w:val="24"/>
          <w:vertAlign w:val="superscript"/>
          <w:lang w:val="es-ES" w:eastAsia="es-ES"/>
        </w:rPr>
        <w:footnoteReference w:id="16"/>
      </w:r>
      <w:r w:rsidRPr="0068493E">
        <w:rPr>
          <w:rFonts w:eastAsiaTheme="majorEastAsia" w:cs="Arial"/>
          <w:sz w:val="24"/>
          <w:szCs w:val="24"/>
          <w:lang w:val="es-ES" w:eastAsia="es-ES"/>
        </w:rPr>
        <w:t xml:space="preserve">. </w:t>
      </w:r>
    </w:p>
    <w:p w14:paraId="7289C619"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En este contexto, resultaba innecesario que la actora manifestara de manera expresa un impedimento particular para acudir a presentar el escrito del juicio ciudadano de forma física con firma autógrafa.</w:t>
      </w:r>
    </w:p>
    <w:p w14:paraId="2A81AE43"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 xml:space="preserve">Por el contrario, la Sala Superior debió considerar de manera oficiosa, ya que el medio que se presenta es un juicio ciudadano, las circunstancias </w:t>
      </w:r>
      <w:r w:rsidRPr="0068493E">
        <w:rPr>
          <w:rFonts w:eastAsiaTheme="majorEastAsia" w:cs="Arial"/>
          <w:sz w:val="24"/>
          <w:szCs w:val="24"/>
          <w:lang w:val="es-ES" w:eastAsia="es-ES"/>
        </w:rPr>
        <w:lastRenderedPageBreak/>
        <w:t>subyacentes a la pandemia, los riesgos que puede presentar para las y los justiciables y la manera en que las restricciones sanitarias afectaban la posibilidad de que la demandante se trasladara a una entidad federativa diversa para presentar oportunamente el original de su demanda y así cumplir con las formalidades requeridas.</w:t>
      </w:r>
    </w:p>
    <w:p w14:paraId="4C06F982"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 xml:space="preserve">Más aun, porque la Ciudad de México, en donde se encuentra la responsable -el Instituto Nacional Electoral- es una de las más afectadas en el país, ya que hoy en día existe un número de aproximadamente 9,668 defunciones y 83,683 casos confirmados. </w:t>
      </w:r>
    </w:p>
    <w:p w14:paraId="429EE0C5"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En el estado de Veracruz, sede de la Sala Xalapa, lugar en el que presentó su demanda hasta el momento se registran aproximadamente 3,201 defunciones y 24,924 casos confirmados de contagio; en el estado de Yucatán, entidad en la que reside la actora, el número aproximado de defunciones es de 1,107 y de 12,157 casos confirmados, sin que el día de la presentación de la demanda fuera de menor riesgo</w:t>
      </w:r>
      <w:r w:rsidRPr="0068493E">
        <w:rPr>
          <w:rStyle w:val="Refdenotaalpie"/>
          <w:rFonts w:eastAsiaTheme="majorEastAsia" w:cs="Arial"/>
          <w:sz w:val="24"/>
          <w:szCs w:val="24"/>
          <w:lang w:val="es-ES" w:eastAsia="es-ES"/>
        </w:rPr>
        <w:footnoteReference w:id="17"/>
      </w:r>
      <w:r w:rsidRPr="0068493E">
        <w:rPr>
          <w:rFonts w:eastAsiaTheme="majorEastAsia" w:cs="Arial"/>
          <w:sz w:val="24"/>
          <w:szCs w:val="24"/>
          <w:lang w:val="es-ES" w:eastAsia="es-ES"/>
        </w:rPr>
        <w:t>.</w:t>
      </w:r>
    </w:p>
    <w:p w14:paraId="6421B8A9" w14:textId="77777777" w:rsidR="0068493E" w:rsidRPr="0068493E" w:rsidRDefault="0068493E" w:rsidP="0068493E">
      <w:pPr>
        <w:widowControl w:val="0"/>
        <w:spacing w:before="100" w:beforeAutospacing="1" w:after="100" w:afterAutospacing="1" w:line="360" w:lineRule="auto"/>
        <w:jc w:val="both"/>
        <w:rPr>
          <w:rFonts w:cs="Arial"/>
          <w:bCs/>
          <w:sz w:val="24"/>
          <w:szCs w:val="24"/>
        </w:rPr>
      </w:pPr>
      <w:r w:rsidRPr="0068493E">
        <w:rPr>
          <w:rFonts w:cs="Arial"/>
          <w:sz w:val="24"/>
          <w:szCs w:val="24"/>
          <w:lang w:val="es-ES"/>
        </w:rPr>
        <w:t xml:space="preserve">Asimismo, </w:t>
      </w:r>
      <w:r w:rsidRPr="0068493E">
        <w:rPr>
          <w:rFonts w:cs="Arial"/>
          <w:bCs/>
          <w:sz w:val="24"/>
          <w:szCs w:val="24"/>
        </w:rPr>
        <w:t>el catorce de mayo de dos mil veinte, se publicó en el Diario Oficial de la Federación un acuerdo de la Secretaría de Salud del Gobierno de México “</w:t>
      </w:r>
      <w:r w:rsidRPr="0068493E">
        <w:rPr>
          <w:rFonts w:cs="Arial"/>
          <w:bCs/>
          <w:i/>
          <w:iCs/>
          <w:sz w:val="24"/>
          <w:szCs w:val="24"/>
        </w:rPr>
        <w:t xml:space="preserve">por el que se establece una estrategia para la reapertura de las actividades sociales, educativas y económicas, así como un </w:t>
      </w:r>
      <w:r w:rsidRPr="0068493E">
        <w:rPr>
          <w:rFonts w:cs="Arial"/>
          <w:b/>
          <w:bCs/>
          <w:i/>
          <w:iCs/>
          <w:sz w:val="24"/>
          <w:szCs w:val="24"/>
        </w:rPr>
        <w:t>sistema de semáforo</w:t>
      </w:r>
      <w:r w:rsidRPr="0068493E">
        <w:rPr>
          <w:rFonts w:cs="Arial"/>
          <w:bCs/>
          <w:i/>
          <w:iCs/>
          <w:sz w:val="24"/>
          <w:szCs w:val="24"/>
        </w:rPr>
        <w:t xml:space="preserve"> por regiones para evaluar semanalmente el riesgo epidemiológico relacionado con la reapertura de actividades en cada entidad federativa, así como se establecen acciones extraordinarias</w:t>
      </w:r>
      <w:r w:rsidRPr="0068493E">
        <w:rPr>
          <w:rFonts w:cs="Arial"/>
          <w:bCs/>
          <w:sz w:val="24"/>
          <w:szCs w:val="24"/>
        </w:rPr>
        <w:t>”</w:t>
      </w:r>
      <w:r w:rsidRPr="0068493E">
        <w:rPr>
          <w:rFonts w:cs="Arial"/>
          <w:bCs/>
          <w:sz w:val="24"/>
          <w:szCs w:val="24"/>
          <w:vertAlign w:val="superscript"/>
        </w:rPr>
        <w:footnoteReference w:id="18"/>
      </w:r>
      <w:r w:rsidRPr="0068493E">
        <w:rPr>
          <w:rFonts w:cs="Arial"/>
          <w:bCs/>
          <w:sz w:val="24"/>
          <w:szCs w:val="24"/>
        </w:rPr>
        <w:t>.</w:t>
      </w:r>
    </w:p>
    <w:p w14:paraId="7CB61617" w14:textId="77777777" w:rsidR="0068493E" w:rsidRPr="0068493E" w:rsidRDefault="0068493E" w:rsidP="0068493E">
      <w:pPr>
        <w:widowControl w:val="0"/>
        <w:spacing w:before="100" w:beforeAutospacing="1" w:after="100" w:afterAutospacing="1" w:line="360" w:lineRule="auto"/>
        <w:jc w:val="both"/>
        <w:rPr>
          <w:rFonts w:cs="Arial"/>
          <w:bCs/>
          <w:sz w:val="24"/>
          <w:szCs w:val="24"/>
        </w:rPr>
      </w:pPr>
      <w:r w:rsidRPr="0068493E">
        <w:rPr>
          <w:rFonts w:cs="Arial"/>
          <w:bCs/>
          <w:sz w:val="24"/>
          <w:szCs w:val="24"/>
        </w:rPr>
        <w:t>Durante el plazo que transcurrió para presentar su demanda, esto es, entre el veintitrés y el veintinueve de julio, tanto la Ciudad de México como Yucatán, se encontraban en el semáforo naranja de la epidemia, no obstante, Yucatán transitó al semáforo rojo por el número elevado de contagios que sucedieron en las semanas anteriores; en tanto que el estado de Veracruz se ha mantenido en el semáforo rojo.</w:t>
      </w:r>
    </w:p>
    <w:p w14:paraId="707A635E"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lastRenderedPageBreak/>
        <w:t xml:space="preserve">Como se advierte, si bien en el semáforo naranja no se restringe la movilidad de la ciudadanía, existe un riesgo de contagio alto, al grado que la entidad en donde radica la actora ha regresado al semáforo rojo, porque es precisamente esta movilidad la que pone en riesgo de contagio a la ciudadanía.  </w:t>
      </w:r>
    </w:p>
    <w:p w14:paraId="22430676" w14:textId="77777777" w:rsidR="0068493E" w:rsidRPr="0068493E" w:rsidRDefault="0068493E" w:rsidP="0068493E">
      <w:pPr>
        <w:widowControl w:val="0"/>
        <w:spacing w:before="100" w:beforeAutospacing="1" w:after="100" w:afterAutospacing="1" w:line="360" w:lineRule="auto"/>
        <w:jc w:val="both"/>
        <w:rPr>
          <w:rFonts w:cs="Arial"/>
          <w:sz w:val="24"/>
          <w:szCs w:val="24"/>
        </w:rPr>
      </w:pPr>
      <w:r w:rsidRPr="0068493E">
        <w:rPr>
          <w:rFonts w:cs="Arial"/>
          <w:sz w:val="24"/>
          <w:szCs w:val="24"/>
        </w:rPr>
        <w:t>Por otra parte, si bien las oficinas de la Sala Superior se encontraban abiertas, ello no implica que a las y los justiciables se les puedan exigir cargas procesales con la misma intensidad con la que las y los servidores públicos deben cumplir con sus funciones constitucionales y legales; máxime si existen formas menos gravosas para que las partes cumplan sus deberes procesales.</w:t>
      </w:r>
    </w:p>
    <w:p w14:paraId="005B9358"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Conforme a ello, consideramos que exigirle a la actora que presentara físicamente su demanda ante la autoridad responsable, es decir, ante la Sala Xalapa o ante esta Sala Superior, para cumplir con la formalidad de la firma autógrafa, en el contexto actual de pandemia se traduce en una exigencia desproporcionada e insensible que hace nugatorio su derecho de acceso a la justicia y pone innecesariamente en riesgo su salud y la de otras personas.</w:t>
      </w:r>
    </w:p>
    <w:p w14:paraId="54304C77" w14:textId="77777777" w:rsidR="0068493E" w:rsidRPr="0068493E" w:rsidRDefault="0068493E" w:rsidP="0068493E">
      <w:pPr>
        <w:widowControl w:val="0"/>
        <w:spacing w:before="100" w:beforeAutospacing="1" w:after="100" w:afterAutospacing="1" w:line="360" w:lineRule="auto"/>
        <w:jc w:val="both"/>
        <w:rPr>
          <w:rFonts w:eastAsiaTheme="majorEastAsia" w:cs="Arial"/>
          <w:b/>
          <w:i/>
          <w:iCs/>
          <w:sz w:val="24"/>
          <w:szCs w:val="24"/>
          <w:lang w:val="es-ES" w:eastAsia="es-ES"/>
        </w:rPr>
      </w:pPr>
      <w:r w:rsidRPr="0068493E">
        <w:rPr>
          <w:rFonts w:eastAsiaTheme="majorEastAsia" w:cs="Arial"/>
          <w:b/>
          <w:i/>
          <w:iCs/>
          <w:sz w:val="24"/>
          <w:szCs w:val="24"/>
          <w:lang w:val="es-ES" w:eastAsia="es-ES"/>
        </w:rPr>
        <w:t xml:space="preserve">3.1.3. </w:t>
      </w:r>
      <w:r w:rsidRPr="0068493E">
        <w:rPr>
          <w:rFonts w:eastAsiaTheme="majorEastAsia" w:cs="Arial"/>
          <w:b/>
          <w:i/>
          <w:iCs/>
          <w:sz w:val="24"/>
          <w:szCs w:val="24"/>
        </w:rPr>
        <w:t>No se puede exigir el cumplimiento estricto de los requisitos legales, si las medidas vinculadas a esos requisitos que han sido implementadas por la Sala Superior para garantizar el derecho de acceso a la justicia durante la emergencia sanitaria son insuficientes</w:t>
      </w:r>
    </w:p>
    <w:p w14:paraId="5BF26598"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 xml:space="preserve">Nos apartamos del criterio adoptado en este caso toda vez que, a nuestro juicio, las medidas a las que hace referencia la sentencia y que fueron adoptadas por la Sala Superior para afrontar la pandemia son insuficientes para garantizar el acceso a la justicia y, por el contrario, evidencian la falta de mecanismos adecuados para que las y los justiciables puedan hacer valer sus derechos ante el Tribunal Electoral en el contexto de la pandemia. </w:t>
      </w:r>
    </w:p>
    <w:p w14:paraId="7D3063D0"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 xml:space="preserve">Derivado de la emergencia sanitaria, la Sala Superior aprobó diversas medidas para dar continuidad a la impartición de justicia en una modalidad “no presencial”. </w:t>
      </w:r>
    </w:p>
    <w:p w14:paraId="44721C79"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lastRenderedPageBreak/>
        <w:t>La mayor parte de estas medidas se encaminaron hacia la administración y el funcionamiento interno del Tribunal Electoral. En ese rubro se acordó sesionar virtualmente, primero vía correo electrónico y luego mediante videoconferencias públicas y privadas, se autorizó el uso de la firma electrónica por parte de las y los funcionarios judiciales, se habilitaron los expedientes electrónicos para consulta exclusiva del funcionariado judicial y se acordó la resolución exclusiva de asuntos de sesión privada y urgentes</w:t>
      </w:r>
      <w:r w:rsidRPr="0068493E">
        <w:rPr>
          <w:rFonts w:eastAsia="Times New Roman" w:cs="Arial"/>
          <w:sz w:val="24"/>
          <w:szCs w:val="24"/>
          <w:vertAlign w:val="superscript"/>
          <w:lang w:val="es-ES" w:eastAsia="es-ES"/>
        </w:rPr>
        <w:footnoteReference w:id="19"/>
      </w:r>
      <w:r w:rsidRPr="0068493E">
        <w:rPr>
          <w:rFonts w:eastAsiaTheme="majorEastAsia" w:cs="Arial"/>
          <w:sz w:val="24"/>
          <w:szCs w:val="24"/>
          <w:lang w:val="es-ES" w:eastAsia="es-ES"/>
        </w:rPr>
        <w:t xml:space="preserve">. </w:t>
      </w:r>
    </w:p>
    <w:p w14:paraId="68BB15D0"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 xml:space="preserve">Por otra parte, en cuanto al acceso de las y los justiciables a los servicios del Tribunal se aprobaron solo las dos siguientes medidas: 1. la suspensión de los plazos para la sustanciación y resolución de los juicios laborales (JLI) </w:t>
      </w:r>
      <w:r w:rsidRPr="0068493E">
        <w:rPr>
          <w:rFonts w:eastAsiaTheme="majorEastAsia" w:cs="Arial"/>
          <w:sz w:val="24"/>
          <w:szCs w:val="24"/>
          <w:lang w:val="es-ES" w:eastAsia="es-ES"/>
        </w:rPr>
        <w:br/>
        <w:t>–la cual no aplica a este caso–, y 2. el uso de correos electrónicos particulares para recibir notificaciones electrónicas</w:t>
      </w:r>
      <w:r w:rsidRPr="0068493E">
        <w:rPr>
          <w:rFonts w:eastAsia="Times New Roman" w:cs="Arial"/>
          <w:sz w:val="24"/>
          <w:szCs w:val="24"/>
          <w:vertAlign w:val="superscript"/>
          <w:lang w:val="es-ES" w:eastAsia="es-ES"/>
        </w:rPr>
        <w:footnoteReference w:id="20"/>
      </w:r>
      <w:r w:rsidRPr="0068493E">
        <w:rPr>
          <w:rFonts w:eastAsiaTheme="majorEastAsia" w:cs="Arial"/>
          <w:sz w:val="24"/>
          <w:szCs w:val="24"/>
          <w:lang w:val="es-ES" w:eastAsia="es-ES"/>
        </w:rPr>
        <w:t>.</w:t>
      </w:r>
    </w:p>
    <w:p w14:paraId="6C40ADD1"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 xml:space="preserve">Así, resulta evidente que, contrario a lo que sostiene la mayoría, el Tribunal Electoral no ha implementado los instrumentos suficientes para posibilitar, de manera plena, el acceso a los medios de impugnación de su competencia, pues, a la fecha, no hay medidas adecuadas para garantizar la integridad física de quienes pretenden presentar demandas para hacer valer sus derechos político-electorales. </w:t>
      </w:r>
    </w:p>
    <w:p w14:paraId="0859224A"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 xml:space="preserve">En la sentencia se argumenta que las medidas para enfrentar la pandemia deben estar basadas en herramientas confiables que garanticen la certeza en la identidad de las partes y la autenticidad de las actuaciones judiciales, cuestiones que estiman no se corroboran con la presentación de una </w:t>
      </w:r>
      <w:r w:rsidRPr="0068493E">
        <w:rPr>
          <w:rFonts w:eastAsiaTheme="majorEastAsia" w:cs="Arial"/>
          <w:sz w:val="24"/>
          <w:szCs w:val="24"/>
          <w:lang w:val="es-ES" w:eastAsia="es-ES"/>
        </w:rPr>
        <w:lastRenderedPageBreak/>
        <w:t>demanda escaneada y enviada vía correo electrónico.</w:t>
      </w:r>
    </w:p>
    <w:p w14:paraId="5E8531FE"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 xml:space="preserve">En principio, coincidimos con este razonamiento de la mayoría del pleno, sin embargo, conforme a nuestro entendimiento del servicio público de impartición de justicia, son los órganos jurisdiccionales quienes, ante cualquier eventualidad o circunstancia extraordinaria incontrolable por los justiciables, deben buscar las vías e implementar las herramientas necesarias para reducir al mínimo los obstáculos que dicha situación genere en el acceso a la justicia, otorgando certeza a la ciudadanía sobre la posibilidad de hacer valer sus derechos, incluso en contextos de incertidumbre. </w:t>
      </w:r>
    </w:p>
    <w:p w14:paraId="36DBD78F"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En efecto,</w:t>
      </w:r>
      <w:r w:rsidRPr="0068493E">
        <w:rPr>
          <w:rFonts w:eastAsiaTheme="majorEastAsia" w:cs="Arial"/>
          <w:b/>
          <w:sz w:val="24"/>
          <w:szCs w:val="24"/>
          <w:lang w:val="es-ES" w:eastAsia="es-ES"/>
        </w:rPr>
        <w:t xml:space="preserve"> no puede trasladarse a las y los justiciables la carga de sortear esos nuevos obstáculos o, en su caso, de generar las herramientas necesarias para acceder a la justicia</w:t>
      </w:r>
      <w:r w:rsidRPr="0068493E">
        <w:rPr>
          <w:rFonts w:eastAsiaTheme="majorEastAsia" w:cs="Arial"/>
          <w:sz w:val="24"/>
          <w:szCs w:val="24"/>
          <w:lang w:val="es-ES" w:eastAsia="es-ES"/>
        </w:rPr>
        <w:t>, puesto que</w:t>
      </w:r>
      <w:r w:rsidRPr="0068493E">
        <w:rPr>
          <w:rFonts w:eastAsiaTheme="majorEastAsia" w:cs="Arial"/>
          <w:b/>
          <w:sz w:val="24"/>
          <w:szCs w:val="24"/>
          <w:lang w:val="es-ES" w:eastAsia="es-ES"/>
        </w:rPr>
        <w:t xml:space="preserve"> </w:t>
      </w:r>
      <w:r w:rsidRPr="0068493E">
        <w:rPr>
          <w:rFonts w:eastAsiaTheme="majorEastAsia" w:cs="Arial"/>
          <w:sz w:val="24"/>
          <w:szCs w:val="24"/>
          <w:lang w:val="es-ES" w:eastAsia="es-ES"/>
        </w:rPr>
        <w:t>esta responsabilidad les corresponde a los tribunales.</w:t>
      </w:r>
    </w:p>
    <w:p w14:paraId="2AE94D36"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 xml:space="preserve">Por lo tanto, consideramos que la falta de previsión de </w:t>
      </w:r>
      <w:r w:rsidRPr="0068493E">
        <w:rPr>
          <w:rFonts w:eastAsia="Times New Roman" w:cs="Arial"/>
          <w:sz w:val="24"/>
          <w:szCs w:val="24"/>
          <w:lang w:val="es-ES" w:eastAsia="es-ES"/>
        </w:rPr>
        <w:t>un medio eficiente, expedito y accesible para quienes pretenden acceder a la justicia electoral durante la referida pandemia,</w:t>
      </w:r>
      <w:r w:rsidRPr="0068493E">
        <w:rPr>
          <w:rFonts w:eastAsiaTheme="majorEastAsia" w:cs="Arial"/>
          <w:sz w:val="24"/>
          <w:szCs w:val="24"/>
          <w:lang w:val="es-ES" w:eastAsia="es-ES"/>
        </w:rPr>
        <w:t xml:space="preserve"> es un factor que no debe operar en su perjuicio.</w:t>
      </w:r>
    </w:p>
    <w:p w14:paraId="5343D64D" w14:textId="77777777" w:rsidR="0068493E" w:rsidRPr="0068493E" w:rsidRDefault="0068493E" w:rsidP="0068493E">
      <w:pPr>
        <w:widowControl w:val="0"/>
        <w:spacing w:before="100" w:beforeAutospacing="1" w:after="100" w:afterAutospacing="1" w:line="360" w:lineRule="auto"/>
        <w:jc w:val="both"/>
        <w:rPr>
          <w:rFonts w:eastAsiaTheme="majorEastAsia" w:cs="Arial"/>
          <w:b/>
          <w:i/>
          <w:iCs/>
          <w:sz w:val="24"/>
          <w:szCs w:val="24"/>
          <w:lang w:val="es-ES" w:eastAsia="es-ES"/>
        </w:rPr>
      </w:pPr>
      <w:r w:rsidRPr="0068493E">
        <w:rPr>
          <w:rFonts w:eastAsiaTheme="majorEastAsia" w:cs="Arial"/>
          <w:b/>
          <w:i/>
          <w:iCs/>
          <w:sz w:val="24"/>
          <w:szCs w:val="24"/>
          <w:lang w:val="es-ES" w:eastAsia="es-ES"/>
        </w:rPr>
        <w:t>3.1.4. Ineficacia del llamado juicio en línea para el caso concreto y como medida frente a la pandemia</w:t>
      </w:r>
    </w:p>
    <w:p w14:paraId="6C811EF6"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 xml:space="preserve">La sentencia aprobada por la mayoría hace referencia a la implementación del llamado juicio en línea como uno de los instrumentos que posibilitan el acceso a los medios de impugnación en el contexto de la pandemia. </w:t>
      </w:r>
    </w:p>
    <w:p w14:paraId="308DBF26" w14:textId="77777777" w:rsidR="0068493E" w:rsidRPr="0068493E" w:rsidRDefault="0068493E" w:rsidP="0068493E">
      <w:pPr>
        <w:widowControl w:val="0"/>
        <w:spacing w:before="100" w:beforeAutospacing="1" w:after="100" w:afterAutospacing="1" w:line="360" w:lineRule="auto"/>
        <w:jc w:val="both"/>
        <w:rPr>
          <w:rFonts w:cs="Arial"/>
          <w:sz w:val="24"/>
          <w:szCs w:val="24"/>
          <w:lang w:val="es-ES"/>
        </w:rPr>
      </w:pPr>
      <w:r w:rsidRPr="0068493E">
        <w:rPr>
          <w:rFonts w:cs="Arial"/>
          <w:sz w:val="24"/>
          <w:szCs w:val="24"/>
          <w:lang w:val="es-ES"/>
        </w:rPr>
        <w:t>Disentimos de la incorporación de esta consideración, pues, como se advierte del acuerdo general 5/2020</w:t>
      </w:r>
      <w:r w:rsidRPr="0068493E">
        <w:rPr>
          <w:rFonts w:cs="Arial"/>
          <w:b/>
          <w:sz w:val="24"/>
          <w:szCs w:val="24"/>
          <w:vertAlign w:val="superscript"/>
          <w:lang w:val="es-ES"/>
        </w:rPr>
        <w:footnoteReference w:id="21"/>
      </w:r>
      <w:r w:rsidRPr="0068493E">
        <w:rPr>
          <w:rFonts w:cs="Arial"/>
          <w:sz w:val="24"/>
          <w:szCs w:val="24"/>
          <w:lang w:val="es-ES"/>
        </w:rPr>
        <w:t xml:space="preserve">, la implementación del llamado juicio en línea se aprobó únicamente para los recursos de reconsideración y de </w:t>
      </w:r>
      <w:r w:rsidRPr="0068493E">
        <w:rPr>
          <w:rFonts w:cs="Arial"/>
          <w:sz w:val="24"/>
          <w:szCs w:val="24"/>
          <w:lang w:val="es-ES"/>
        </w:rPr>
        <w:lastRenderedPageBreak/>
        <w:t xml:space="preserve">revisión del procedimiento especial sancionador. </w:t>
      </w:r>
    </w:p>
    <w:p w14:paraId="48EAF157" w14:textId="77777777" w:rsidR="0068493E" w:rsidRPr="0068493E" w:rsidRDefault="0068493E" w:rsidP="0068493E">
      <w:pPr>
        <w:widowControl w:val="0"/>
        <w:spacing w:before="100" w:beforeAutospacing="1" w:after="100" w:afterAutospacing="1" w:line="360" w:lineRule="auto"/>
        <w:jc w:val="both"/>
        <w:rPr>
          <w:rFonts w:eastAsiaTheme="majorEastAsia" w:cs="Arial"/>
          <w:b/>
          <w:i/>
          <w:iCs/>
          <w:sz w:val="24"/>
          <w:szCs w:val="24"/>
          <w:lang w:val="es-ES" w:eastAsia="es-ES"/>
        </w:rPr>
      </w:pPr>
      <w:r w:rsidRPr="0068493E">
        <w:rPr>
          <w:rFonts w:eastAsiaTheme="majorEastAsia" w:cs="Arial"/>
          <w:b/>
          <w:i/>
          <w:iCs/>
          <w:sz w:val="24"/>
          <w:szCs w:val="24"/>
          <w:lang w:val="es-ES" w:eastAsia="es-ES"/>
        </w:rPr>
        <w:t xml:space="preserve">3.1.5. </w:t>
      </w:r>
      <w:r w:rsidRPr="0068493E">
        <w:rPr>
          <w:rFonts w:eastAsiaTheme="majorEastAsia" w:cs="Arial"/>
          <w:b/>
          <w:i/>
          <w:iCs/>
          <w:sz w:val="24"/>
          <w:szCs w:val="24"/>
          <w:lang w:val="es-ES"/>
        </w:rPr>
        <w:t>Pudieron implementarse medios alternativos para autenticar la identidad y voluntad de la actora, sin necesidad de requerir un documento con firma autógrafa</w:t>
      </w:r>
    </w:p>
    <w:p w14:paraId="78397CF4"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Finalmente, estimamos que, en el contexto extraordinario de la emergencia sanitaria, la Sala Superior debió favorecer actuaciones que le permitieran corroborar la identidad de la promovente y su voluntad de accionar el aparato jurisdiccional mediante un juicio ciudadano, sin necesidad de hacer exigible el requisito respecto a la firma autógrafa en el escrito de demanda.</w:t>
      </w:r>
    </w:p>
    <w:p w14:paraId="507BA17D"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 xml:space="preserve">Consideramos que en estas circunstancias podría resultar una carga excesiva exigirle a la actora la firma autógrafa en su escrito, coincidimos con la mayoría en que resulta necesario tener certeza sobre su identidad y sus actuaciones procesales. </w:t>
      </w:r>
    </w:p>
    <w:p w14:paraId="31EF1433"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No obstante, esto debe hacerse tomando en cuenta que la crisis sanitaria mundial representa un impedimento real para que las y los promoventes accedan de manera presencial ante los órganos de impartición de justicia y que, hasta el momento, el Tribunal Electoral no ha implementado medidas extraordinarias que, con certeza jurídica, les permitan sortear dicho impedimento.</w:t>
      </w:r>
    </w:p>
    <w:p w14:paraId="3BE6AF8F"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 xml:space="preserve">Al respecto, en escrito presentado por la actora se advierten diversos medios de contacto y documentos a través de los cuales, como mecanismo extraordinario, podría corroborarse su identidad y voluntad. </w:t>
      </w:r>
    </w:p>
    <w:p w14:paraId="1BE9E249"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 xml:space="preserve">Por ejemplo, a través de una videollamada entre algún funcionario o funcionaria judicial y la actora, de la cual se </w:t>
      </w:r>
      <w:proofErr w:type="gramStart"/>
      <w:r w:rsidRPr="0068493E">
        <w:rPr>
          <w:rFonts w:eastAsiaTheme="majorEastAsia" w:cs="Arial"/>
          <w:sz w:val="24"/>
          <w:szCs w:val="24"/>
          <w:lang w:val="es-ES" w:eastAsia="es-ES"/>
        </w:rPr>
        <w:t>dejara</w:t>
      </w:r>
      <w:proofErr w:type="gramEnd"/>
      <w:r w:rsidRPr="0068493E">
        <w:rPr>
          <w:rFonts w:eastAsiaTheme="majorEastAsia" w:cs="Arial"/>
          <w:sz w:val="24"/>
          <w:szCs w:val="24"/>
          <w:lang w:val="es-ES" w:eastAsia="es-ES"/>
        </w:rPr>
        <w:t xml:space="preserve"> constancia en el expediente, la cual permitiera identificarla, comparar la imagen de la firma de su escrito de demanda con la de su credencial para votar, misma que anexó a la demanda y ratificar su intención de promover un juicio ciudadano. </w:t>
      </w:r>
    </w:p>
    <w:p w14:paraId="769ABC1E"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 xml:space="preserve">Además, debe considerarse como un elemento adicional que, en el informe circunstanciado, la autoridad responsable no controvierte los hechos y actos </w:t>
      </w:r>
      <w:r w:rsidRPr="0068493E">
        <w:rPr>
          <w:rFonts w:eastAsiaTheme="majorEastAsia" w:cs="Arial"/>
          <w:sz w:val="24"/>
          <w:szCs w:val="24"/>
          <w:lang w:val="es-ES" w:eastAsia="es-ES"/>
        </w:rPr>
        <w:lastRenderedPageBreak/>
        <w:t xml:space="preserve">denunciados, así como el carácter con que se ostenta la actora.   </w:t>
      </w:r>
    </w:p>
    <w:p w14:paraId="292FD48B" w14:textId="77777777" w:rsidR="0068493E" w:rsidRPr="0068493E" w:rsidRDefault="0068493E" w:rsidP="0068493E">
      <w:pPr>
        <w:widowControl w:val="0"/>
        <w:spacing w:before="100" w:beforeAutospacing="1" w:after="100" w:afterAutospacing="1" w:line="360" w:lineRule="auto"/>
        <w:jc w:val="both"/>
        <w:rPr>
          <w:rFonts w:cs="Arial"/>
          <w:sz w:val="24"/>
          <w:szCs w:val="24"/>
          <w:lang w:val="es-ES"/>
        </w:rPr>
      </w:pPr>
      <w:r w:rsidRPr="0068493E">
        <w:rPr>
          <w:rFonts w:cs="Arial"/>
          <w:sz w:val="24"/>
          <w:szCs w:val="24"/>
          <w:lang w:val="es-ES"/>
        </w:rPr>
        <w:t xml:space="preserve">Cabe señalar que, en el contexto extraordinario de la pandemia, la Sala Superior ha avalado medidas igualmente extraordinarias adoptadas por tribunales locales para verificar la identidad y voluntad de las personas, tal como ocurrió en el </w:t>
      </w:r>
      <w:r w:rsidRPr="0068493E">
        <w:rPr>
          <w:rFonts w:cs="Arial"/>
          <w:b/>
          <w:bCs/>
          <w:sz w:val="24"/>
          <w:szCs w:val="24"/>
          <w:lang w:val="es-ES"/>
        </w:rPr>
        <w:t>SUP-JE-30/2020</w:t>
      </w:r>
      <w:r w:rsidRPr="0068493E">
        <w:rPr>
          <w:rFonts w:cs="Arial"/>
          <w:sz w:val="24"/>
          <w:szCs w:val="24"/>
          <w:lang w:val="es-ES"/>
        </w:rPr>
        <w:t xml:space="preserve">. </w:t>
      </w:r>
    </w:p>
    <w:p w14:paraId="2AF9A5E6" w14:textId="77777777" w:rsidR="0068493E" w:rsidRPr="0068493E" w:rsidRDefault="0068493E" w:rsidP="0068493E">
      <w:pPr>
        <w:widowControl w:val="0"/>
        <w:spacing w:before="100" w:beforeAutospacing="1" w:after="100" w:afterAutospacing="1" w:line="360" w:lineRule="auto"/>
        <w:jc w:val="both"/>
        <w:rPr>
          <w:rFonts w:cs="Arial"/>
          <w:sz w:val="24"/>
          <w:szCs w:val="24"/>
          <w:lang w:val="es-ES"/>
        </w:rPr>
      </w:pPr>
      <w:r w:rsidRPr="0068493E">
        <w:rPr>
          <w:rFonts w:cs="Arial"/>
          <w:sz w:val="24"/>
          <w:szCs w:val="24"/>
          <w:lang w:val="es-ES"/>
        </w:rPr>
        <w:t>En ese asunto, el Tribunal Electoral de Coahuila determinó la posibilidad de presentar demandas por correo electrónico, esto es, sin cumplir el requisito legal relativo a presentar la demanda con firma autógrafa, sujeto a que posteriormente se realizara una diligencia de verificación de la identidad y de voluntad del actor, a través de una video conferencia.</w:t>
      </w:r>
    </w:p>
    <w:p w14:paraId="465E3462"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 xml:space="preserve">Además, tomando como base los propios precedentes que cita la sentencia </w:t>
      </w:r>
      <w:r w:rsidRPr="0068493E">
        <w:rPr>
          <w:rFonts w:eastAsiaTheme="majorEastAsia" w:cs="Arial"/>
          <w:sz w:val="24"/>
          <w:szCs w:val="24"/>
          <w:lang w:val="es-ES" w:eastAsia="es-ES"/>
        </w:rPr>
        <w:br/>
        <w:t>(SUP-REC-74/2020 y SUP-JRC-7/2020), si esta Sala Superior flexibilizó el criterio de la presentación de los medios de impugnación en atención a los contextos particulares de cada asunto, en este asunto debió asumir la misma postura.</w:t>
      </w:r>
    </w:p>
    <w:p w14:paraId="270C668D"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 xml:space="preserve">Así, consideramos que la mayoría debió valorar que la actora controvierte un acto de la autoridad electoral administrativa nacional en un proceso de designación de consejerías para el OPLE de Yucatán en el que participa la ciudadana; el acto que impugna le fue notificado por la autoridad responsable al correo electrónico </w:t>
      </w:r>
      <w:hyperlink r:id="rId19" w:history="1">
        <w:r w:rsidRPr="0068493E">
          <w:rPr>
            <w:rStyle w:val="Hipervnculo"/>
            <w:rFonts w:eastAsiaTheme="majorEastAsia" w:cs="Arial"/>
            <w:i/>
            <w:iCs/>
            <w:sz w:val="24"/>
            <w:szCs w:val="24"/>
            <w:lang w:val="es-ES" w:eastAsia="es-ES"/>
          </w:rPr>
          <w:t>rebeca.vences@gmail.com</w:t>
        </w:r>
      </w:hyperlink>
      <w:r w:rsidRPr="0068493E">
        <w:rPr>
          <w:rFonts w:eastAsiaTheme="majorEastAsia" w:cs="Arial"/>
          <w:sz w:val="24"/>
          <w:szCs w:val="24"/>
          <w:lang w:val="es-ES" w:eastAsia="es-ES"/>
        </w:rPr>
        <w:t>, mismo correo mediante el cual presentó el juicio ciudadano, por lo que –en principio– su identidad se encuentra acreditada, máxime que la actora presentó el treinta de julio (un día después de que concluyera el plazo para la interposición del medio de impugnación), ante la Sala Regional Xalapa, una demanda original de juicio ciudadano</w:t>
      </w:r>
      <w:r w:rsidRPr="0068493E">
        <w:rPr>
          <w:rStyle w:val="Refdenotaalpie"/>
          <w:rFonts w:eastAsiaTheme="majorEastAsia" w:cs="Arial"/>
          <w:sz w:val="24"/>
          <w:szCs w:val="24"/>
          <w:lang w:val="es-ES" w:eastAsia="es-ES"/>
        </w:rPr>
        <w:footnoteReference w:id="22"/>
      </w:r>
      <w:r w:rsidRPr="0068493E">
        <w:rPr>
          <w:rFonts w:eastAsiaTheme="majorEastAsia" w:cs="Arial"/>
          <w:sz w:val="24"/>
          <w:szCs w:val="24"/>
          <w:lang w:val="es-ES" w:eastAsia="es-ES"/>
        </w:rPr>
        <w:t xml:space="preserve"> con firma autógrafa en similares términos al contenido de su correo electrónico, lo cual, con independencia de la extemporaneidad de la presentación de la demanda impresa en papel, no hay duda sobre la voluntad de la actora para ejercer su derecho de </w:t>
      </w:r>
      <w:r w:rsidRPr="0068493E">
        <w:rPr>
          <w:rFonts w:eastAsiaTheme="majorEastAsia" w:cs="Arial"/>
          <w:sz w:val="24"/>
          <w:szCs w:val="24"/>
          <w:lang w:val="es-ES" w:eastAsia="es-ES"/>
        </w:rPr>
        <w:lastRenderedPageBreak/>
        <w:t>acceso a la justicia.</w:t>
      </w:r>
    </w:p>
    <w:p w14:paraId="21C6E59F"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En un caso similar, en la justicia constitucional, por ejemplo, el Segundo Tribunal Colegiado en Materia Administrativa del Segundo Circuito, al resolver la Queja 81/2020</w:t>
      </w:r>
      <w:r w:rsidRPr="0068493E">
        <w:rPr>
          <w:rStyle w:val="Refdenotaalpie"/>
          <w:rFonts w:eastAsiaTheme="majorEastAsia" w:cs="Arial"/>
          <w:sz w:val="24"/>
          <w:szCs w:val="24"/>
          <w:lang w:val="es-ES" w:eastAsia="es-ES"/>
        </w:rPr>
        <w:footnoteReference w:id="23"/>
      </w:r>
      <w:r w:rsidRPr="0068493E">
        <w:rPr>
          <w:rFonts w:eastAsiaTheme="majorEastAsia" w:cs="Arial"/>
          <w:sz w:val="24"/>
          <w:szCs w:val="24"/>
          <w:lang w:val="es-ES" w:eastAsia="es-ES"/>
        </w:rPr>
        <w:t>, señaló que de un análisis al artículo 113 de la Ley de Amparo, para que un motivo de improcedencia sea manifiesto e indudable, es necesario que de manera clara y patente así se desprenda del escrito de demanda, al grado de que se tenga la certeza y plena seguridad de su existencia, por lo que en sentido contrario se privaría a la parte quejosa de su derecho a instar el juicio de amparo en contra de un acto que pudiera causarle un perjuicio en su esfera jurídica de derechos.</w:t>
      </w:r>
    </w:p>
    <w:p w14:paraId="6663D9A7"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 xml:space="preserve">Así, consideramos que, en caso de que existieran dudas sobre la procedencia del juicio, lo correcto era admitir a trámite la demanda, otorgando con ello a la quejosa la oportunidad de desestimar las causas de improcedencia. Sobre todo, ante el contexto de la contingencia sanitaria y epidemiológica en la que nos encontramos, la cual genera una situación extraordinaria e inédita para el servicio de la administración de justicia. </w:t>
      </w:r>
    </w:p>
    <w:p w14:paraId="1FA1D428"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 xml:space="preserve">Interpretar la norma de manera literal y estricta llevaría a excluir situaciones de hecho y de derecho que en la función jurisdiccional pueden presentarse, como fue el asunto de la demanda de amparo presentada por un ciudadano, a través del portal de servicios en línea del Poder Judicial de la federación, con firma electrónica del autorizado y no directamente por el quejoso. </w:t>
      </w:r>
    </w:p>
    <w:p w14:paraId="1E54B902"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t xml:space="preserve">En este caso, la autoridad jurisdiccional decidió que la presentación de la demanda de amparo por un autorizado no podía tener como consecuencia su desechamiento en atención a las circunstancias, tales como: </w:t>
      </w:r>
      <w:r w:rsidRPr="0068493E">
        <w:rPr>
          <w:rFonts w:eastAsiaTheme="majorEastAsia" w:cs="Arial"/>
          <w:b/>
          <w:bCs/>
          <w:i/>
          <w:iCs/>
          <w:sz w:val="24"/>
          <w:szCs w:val="24"/>
          <w:lang w:val="es-ES" w:eastAsia="es-ES"/>
        </w:rPr>
        <w:t xml:space="preserve">i) </w:t>
      </w:r>
      <w:r w:rsidRPr="0068493E">
        <w:rPr>
          <w:rFonts w:eastAsiaTheme="majorEastAsia" w:cs="Arial"/>
          <w:sz w:val="24"/>
          <w:szCs w:val="24"/>
          <w:lang w:val="es-ES" w:eastAsia="es-ES"/>
        </w:rPr>
        <w:t xml:space="preserve">dar cumplimiento a las disposiciones relacionadas con la presentación del escrito con firma electrónica, </w:t>
      </w:r>
      <w:proofErr w:type="spellStart"/>
      <w:r w:rsidRPr="0068493E">
        <w:rPr>
          <w:rFonts w:eastAsiaTheme="majorEastAsia" w:cs="Arial"/>
          <w:b/>
          <w:bCs/>
          <w:i/>
          <w:iCs/>
          <w:sz w:val="24"/>
          <w:szCs w:val="24"/>
          <w:lang w:val="es-ES" w:eastAsia="es-ES"/>
        </w:rPr>
        <w:t>ii</w:t>
      </w:r>
      <w:proofErr w:type="spellEnd"/>
      <w:r w:rsidRPr="0068493E">
        <w:rPr>
          <w:rFonts w:eastAsiaTheme="majorEastAsia" w:cs="Arial"/>
          <w:b/>
          <w:bCs/>
          <w:i/>
          <w:iCs/>
          <w:sz w:val="24"/>
          <w:szCs w:val="24"/>
          <w:lang w:val="es-ES" w:eastAsia="es-ES"/>
        </w:rPr>
        <w:t>)</w:t>
      </w:r>
      <w:r w:rsidRPr="0068493E">
        <w:rPr>
          <w:rFonts w:eastAsiaTheme="majorEastAsia" w:cs="Arial"/>
          <w:sz w:val="24"/>
          <w:szCs w:val="24"/>
          <w:lang w:val="es-ES" w:eastAsia="es-ES"/>
        </w:rPr>
        <w:t xml:space="preserve"> que el quejoso pertenece a un grupo en situación de vulnerabilidad, que no siempre tiene acceso a la tecnología, sin saber antes si está en condiciones de ello y </w:t>
      </w:r>
      <w:proofErr w:type="spellStart"/>
      <w:r w:rsidRPr="0068493E">
        <w:rPr>
          <w:rFonts w:eastAsiaTheme="majorEastAsia" w:cs="Arial"/>
          <w:b/>
          <w:bCs/>
          <w:i/>
          <w:iCs/>
          <w:sz w:val="24"/>
          <w:szCs w:val="24"/>
          <w:lang w:val="es-ES" w:eastAsia="es-ES"/>
        </w:rPr>
        <w:t>iii</w:t>
      </w:r>
      <w:proofErr w:type="spellEnd"/>
      <w:r w:rsidRPr="0068493E">
        <w:rPr>
          <w:rFonts w:eastAsiaTheme="majorEastAsia" w:cs="Arial"/>
          <w:b/>
          <w:bCs/>
          <w:i/>
          <w:iCs/>
          <w:sz w:val="24"/>
          <w:szCs w:val="24"/>
          <w:lang w:val="es-ES" w:eastAsia="es-ES"/>
        </w:rPr>
        <w:t>)</w:t>
      </w:r>
      <w:r w:rsidRPr="0068493E">
        <w:rPr>
          <w:rFonts w:eastAsiaTheme="majorEastAsia" w:cs="Arial"/>
          <w:sz w:val="24"/>
          <w:szCs w:val="24"/>
          <w:lang w:val="es-ES" w:eastAsia="es-ES"/>
        </w:rPr>
        <w:t xml:space="preserve"> el contexto de la emergencia sanitaria.</w:t>
      </w:r>
    </w:p>
    <w:p w14:paraId="334A373A" w14:textId="77777777" w:rsidR="0068493E" w:rsidRPr="0068493E" w:rsidRDefault="0068493E" w:rsidP="0068493E">
      <w:pPr>
        <w:widowControl w:val="0"/>
        <w:spacing w:before="100" w:beforeAutospacing="1" w:after="100" w:afterAutospacing="1" w:line="360" w:lineRule="auto"/>
        <w:jc w:val="both"/>
        <w:rPr>
          <w:rFonts w:eastAsiaTheme="majorEastAsia" w:cs="Arial"/>
          <w:sz w:val="24"/>
          <w:szCs w:val="24"/>
          <w:lang w:val="es-ES" w:eastAsia="es-ES"/>
        </w:rPr>
      </w:pPr>
      <w:r w:rsidRPr="0068493E">
        <w:rPr>
          <w:rFonts w:eastAsiaTheme="majorEastAsia" w:cs="Arial"/>
          <w:sz w:val="24"/>
          <w:szCs w:val="24"/>
          <w:lang w:val="es-ES" w:eastAsia="es-ES"/>
        </w:rPr>
        <w:lastRenderedPageBreak/>
        <w:t xml:space="preserve">Así, este caso representa una oportunidad para reflexionar sobre las medidas tomadas para hacer frente a la emergencia sanitaria, subsanar sus deficiencias e implementar mecanismos </w:t>
      </w:r>
      <w:r w:rsidRPr="0068493E">
        <w:rPr>
          <w:rFonts w:eastAsia="Times New Roman" w:cs="Arial"/>
          <w:sz w:val="24"/>
          <w:szCs w:val="24"/>
          <w:lang w:val="es-ES" w:eastAsia="es-ES"/>
        </w:rPr>
        <w:t>eficaces y eficientes que nos permitan responder a los imprevistos y a las necesidades inmediatas que estén a la altura del máximo órgano de justicia en materia electoral.</w:t>
      </w:r>
    </w:p>
    <w:p w14:paraId="41357A12" w14:textId="77777777" w:rsidR="0068493E" w:rsidRPr="0068493E" w:rsidRDefault="0068493E" w:rsidP="0068493E">
      <w:pPr>
        <w:widowControl w:val="0"/>
        <w:spacing w:before="100" w:beforeAutospacing="1" w:after="100" w:afterAutospacing="1" w:line="360" w:lineRule="auto"/>
        <w:jc w:val="both"/>
        <w:rPr>
          <w:rFonts w:eastAsia="Times New Roman" w:cs="Arial"/>
          <w:b/>
          <w:sz w:val="24"/>
          <w:szCs w:val="24"/>
          <w:lang w:val="es-ES" w:eastAsia="es-ES"/>
        </w:rPr>
      </w:pPr>
      <w:r w:rsidRPr="0068493E">
        <w:rPr>
          <w:rFonts w:eastAsia="Times New Roman" w:cs="Arial"/>
          <w:b/>
          <w:sz w:val="24"/>
          <w:szCs w:val="24"/>
          <w:lang w:val="es-ES" w:eastAsia="es-ES"/>
        </w:rPr>
        <w:t xml:space="preserve">Conclusiones </w:t>
      </w:r>
    </w:p>
    <w:p w14:paraId="3B98E1C0"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ES" w:eastAsia="es-ES"/>
        </w:rPr>
      </w:pPr>
      <w:r w:rsidRPr="0068493E">
        <w:rPr>
          <w:rFonts w:eastAsia="Times New Roman" w:cs="Arial"/>
          <w:sz w:val="24"/>
          <w:szCs w:val="24"/>
          <w:lang w:val="es-ES" w:eastAsia="es-ES"/>
        </w:rPr>
        <w:t>Por lo tanto, consideramos que, en este caso y ante el contexto extraordinario originado por la pandemia, fue injustificado exigir la firma autógrafa en el escrito de la actora, pues existe una circunstancia conocida y evidente que obstaculiza el cumplimiento de dicho requisito y es responsabilidad de la Sala Superior suplir la deficiencia de sus propias medidas para garantizar que la ciudadana pueda acceder a la justicia, con plena certeza de su identidad y voluntad.</w:t>
      </w:r>
    </w:p>
    <w:p w14:paraId="73195B16" w14:textId="77777777" w:rsidR="0068493E" w:rsidRPr="0068493E" w:rsidRDefault="0068493E" w:rsidP="0068493E">
      <w:pPr>
        <w:widowControl w:val="0"/>
        <w:spacing w:before="100" w:beforeAutospacing="1" w:after="100" w:afterAutospacing="1" w:line="360" w:lineRule="auto"/>
        <w:jc w:val="both"/>
        <w:rPr>
          <w:rFonts w:eastAsia="Times New Roman" w:cs="Arial"/>
          <w:sz w:val="24"/>
          <w:szCs w:val="24"/>
          <w:lang w:val="es-ES" w:eastAsia="es-ES"/>
        </w:rPr>
      </w:pPr>
      <w:r w:rsidRPr="0068493E">
        <w:rPr>
          <w:rFonts w:eastAsia="Times New Roman" w:cs="Arial"/>
          <w:sz w:val="24"/>
          <w:szCs w:val="24"/>
          <w:lang w:val="es-ES" w:eastAsia="es-ES"/>
        </w:rPr>
        <w:t>Adicionalmente, este caso representaba la oportunidad para que la Sala Superior rectificara y fortaleciera las acciones tomadas frente a la pandemia, para dar una respuesta inmediata ante el riesgo de salud actual, buscando el desarrollo continuo, necesario y permanente del sistema de justicia electoral.</w:t>
      </w:r>
    </w:p>
    <w:p w14:paraId="2EC8611D" w14:textId="77777777" w:rsidR="0068493E" w:rsidRPr="0068493E" w:rsidRDefault="0068493E" w:rsidP="0068493E">
      <w:pPr>
        <w:widowControl w:val="0"/>
        <w:spacing w:before="100" w:beforeAutospacing="1" w:after="100" w:afterAutospacing="1" w:line="360" w:lineRule="auto"/>
        <w:jc w:val="both"/>
        <w:rPr>
          <w:rFonts w:eastAsia="Times New Roman" w:cs="Arial"/>
          <w:b/>
          <w:bCs/>
          <w:sz w:val="24"/>
          <w:szCs w:val="24"/>
          <w:lang w:val="es-419" w:eastAsia="es-419"/>
        </w:rPr>
      </w:pPr>
      <w:r w:rsidRPr="0068493E">
        <w:rPr>
          <w:rFonts w:eastAsia="Times New Roman" w:cs="Arial"/>
          <w:sz w:val="24"/>
          <w:szCs w:val="24"/>
          <w:lang w:val="es-419" w:eastAsia="es-419"/>
        </w:rPr>
        <w:t xml:space="preserve">En virtud de las consideraciones que han quedado expuestas y, de manera respetuosa, nos apartamos del criterio aprobado por la mayoría y emitimos el presente </w:t>
      </w:r>
      <w:r w:rsidRPr="0068493E">
        <w:rPr>
          <w:rFonts w:eastAsia="Times New Roman" w:cs="Arial"/>
          <w:b/>
          <w:bCs/>
          <w:sz w:val="24"/>
          <w:szCs w:val="24"/>
          <w:lang w:val="es-419" w:eastAsia="es-419"/>
        </w:rPr>
        <w:t>voto particular en conjunto.</w:t>
      </w:r>
    </w:p>
    <w:p w14:paraId="14FABDE3" w14:textId="757AD432" w:rsidR="0068493E" w:rsidRDefault="0068493E" w:rsidP="0068493E">
      <w:pPr>
        <w:widowControl w:val="0"/>
        <w:spacing w:before="100" w:beforeAutospacing="1" w:after="100" w:afterAutospacing="1" w:line="360" w:lineRule="auto"/>
        <w:jc w:val="both"/>
        <w:textAlignment w:val="baseline"/>
        <w:rPr>
          <w:rFonts w:eastAsia="Times New Roman" w:cs="Arial"/>
          <w:smallCaps/>
          <w:sz w:val="24"/>
          <w:szCs w:val="24"/>
          <w:lang w:val="es-419" w:eastAsia="es-419"/>
        </w:rPr>
      </w:pPr>
      <w:r w:rsidRPr="0068493E">
        <w:rPr>
          <w:rFonts w:eastAsia="Times New Roman" w:cs="Arial"/>
          <w:smallCaps/>
          <w:sz w:val="24"/>
          <w:szCs w:val="24"/>
          <w:lang w:val="es-419" w:eastAsia="es-419"/>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p w14:paraId="34E98B01" w14:textId="77777777" w:rsidR="00D74819" w:rsidRPr="00D74819" w:rsidRDefault="00D74819" w:rsidP="00D74819">
      <w:pPr>
        <w:widowControl w:val="0"/>
        <w:spacing w:before="100" w:beforeAutospacing="1" w:after="100" w:afterAutospacing="1" w:line="360" w:lineRule="auto"/>
        <w:jc w:val="both"/>
        <w:textAlignment w:val="baseline"/>
        <w:rPr>
          <w:rFonts w:eastAsia="Calibri" w:cs="Arial"/>
          <w:sz w:val="24"/>
          <w:szCs w:val="24"/>
          <w:lang w:val="es-ES"/>
        </w:rPr>
      </w:pPr>
      <w:r w:rsidRPr="00D74819">
        <w:rPr>
          <w:rFonts w:eastAsia="Calibri" w:cs="Arial"/>
          <w:b/>
          <w:bCs/>
          <w:sz w:val="24"/>
          <w:szCs w:val="24"/>
          <w:lang w:val="es-ES"/>
        </w:rPr>
        <w:lastRenderedPageBreak/>
        <w:t>VOTO RAZONADO QUE EMITE EL MAGISTRADO INDALFER INFANTE GONZALES EN EL JUICIO PARA LA PROTECCIÓN DE LOS DERECHOS POLÍTICO-ELECTORALES DEL CIUDADANO SUP-JDC-1660/2020.</w:t>
      </w:r>
    </w:p>
    <w:p w14:paraId="7E866D71" w14:textId="6662D96E" w:rsidR="00D74819" w:rsidRPr="000D0067" w:rsidRDefault="00D74819" w:rsidP="00D74819">
      <w:pPr>
        <w:widowControl w:val="0"/>
        <w:spacing w:before="100" w:beforeAutospacing="1" w:after="100" w:afterAutospacing="1" w:line="360" w:lineRule="auto"/>
        <w:jc w:val="both"/>
        <w:textAlignment w:val="baseline"/>
        <w:rPr>
          <w:rFonts w:eastAsia="Calibri" w:cs="Arial"/>
          <w:bCs/>
          <w:sz w:val="24"/>
          <w:szCs w:val="24"/>
          <w:lang w:val="es-ES"/>
        </w:rPr>
      </w:pPr>
      <w:r w:rsidRPr="00D74819">
        <w:rPr>
          <w:rFonts w:eastAsia="Calibri" w:cs="Arial"/>
          <w:bCs/>
          <w:sz w:val="24"/>
          <w:szCs w:val="24"/>
          <w:lang w:val="es-ES"/>
        </w:rPr>
        <w:t xml:space="preserve">Como cuestión previa, debo precisar que en la sesión no presencial de catorce de agosto del año en curso se sometieron a consideración del Pleno de la Sala Superior los proyectos de resolución de este juicio ciudadano y </w:t>
      </w:r>
      <w:r w:rsidRPr="000D0067">
        <w:rPr>
          <w:rFonts w:eastAsia="Calibri" w:cs="Arial"/>
          <w:bCs/>
          <w:sz w:val="24"/>
          <w:szCs w:val="24"/>
          <w:lang w:val="es-ES"/>
        </w:rPr>
        <w:t>del diverso SUP-JDC-1</w:t>
      </w:r>
      <w:r w:rsidR="004E1FF9">
        <w:rPr>
          <w:rFonts w:eastAsia="Calibri" w:cs="Arial"/>
          <w:bCs/>
          <w:sz w:val="24"/>
          <w:szCs w:val="24"/>
          <w:lang w:val="es-ES"/>
        </w:rPr>
        <w:t>6</w:t>
      </w:r>
      <w:r w:rsidRPr="000D0067">
        <w:rPr>
          <w:rFonts w:eastAsia="Calibri" w:cs="Arial"/>
          <w:bCs/>
          <w:sz w:val="24"/>
          <w:szCs w:val="24"/>
          <w:lang w:val="es-ES"/>
        </w:rPr>
        <w:t>52/2020, en los cuales existió una circunstancia aparentemente similar, pues las dos demandas se presentaron por correo electrónico.</w:t>
      </w:r>
    </w:p>
    <w:p w14:paraId="06217E37" w14:textId="153A0107" w:rsidR="00D74819" w:rsidRPr="000D0067" w:rsidRDefault="00D74819" w:rsidP="00D74819">
      <w:pPr>
        <w:widowControl w:val="0"/>
        <w:spacing w:before="100" w:beforeAutospacing="1" w:after="100" w:afterAutospacing="1" w:line="360" w:lineRule="auto"/>
        <w:jc w:val="both"/>
        <w:textAlignment w:val="baseline"/>
        <w:rPr>
          <w:rFonts w:eastAsia="Calibri" w:cs="Arial"/>
          <w:bCs/>
          <w:sz w:val="24"/>
          <w:szCs w:val="24"/>
          <w:lang w:val="es-ES"/>
        </w:rPr>
      </w:pPr>
      <w:r w:rsidRPr="000D0067">
        <w:rPr>
          <w:rFonts w:eastAsia="Calibri" w:cs="Arial"/>
          <w:bCs/>
          <w:sz w:val="24"/>
          <w:szCs w:val="24"/>
          <w:lang w:val="es-ES"/>
        </w:rPr>
        <w:t>En el caso del SUP-JDC-1</w:t>
      </w:r>
      <w:r w:rsidR="004E1FF9">
        <w:rPr>
          <w:rFonts w:eastAsia="Calibri" w:cs="Arial"/>
          <w:bCs/>
          <w:sz w:val="24"/>
          <w:szCs w:val="24"/>
          <w:lang w:val="es-ES"/>
        </w:rPr>
        <w:t>6</w:t>
      </w:r>
      <w:r w:rsidRPr="000D0067">
        <w:rPr>
          <w:rFonts w:eastAsia="Calibri" w:cs="Arial"/>
          <w:bCs/>
          <w:sz w:val="24"/>
          <w:szCs w:val="24"/>
          <w:lang w:val="es-ES"/>
        </w:rPr>
        <w:t>52/2020, el Magistrado que fungió como ponente propuso aceptar la procedencia del juicio ciudadano y analizar el fondo de las cuestiones planteadas; mientras que, en este caso, el Magistrado ponente propuso desechar la demanda, porque carece de firma autógrafa.</w:t>
      </w:r>
    </w:p>
    <w:p w14:paraId="4DF3C8B0" w14:textId="34642B0B" w:rsidR="00D74819" w:rsidRPr="00D74819" w:rsidRDefault="00D74819" w:rsidP="00D74819">
      <w:pPr>
        <w:widowControl w:val="0"/>
        <w:spacing w:before="100" w:beforeAutospacing="1" w:after="100" w:afterAutospacing="1" w:line="360" w:lineRule="auto"/>
        <w:jc w:val="both"/>
        <w:textAlignment w:val="baseline"/>
        <w:rPr>
          <w:rFonts w:eastAsia="Calibri" w:cs="Arial"/>
          <w:bCs/>
          <w:sz w:val="24"/>
          <w:szCs w:val="24"/>
          <w:lang w:val="es-ES"/>
        </w:rPr>
      </w:pPr>
      <w:r w:rsidRPr="000D0067">
        <w:rPr>
          <w:rFonts w:eastAsia="Calibri" w:cs="Arial"/>
          <w:bCs/>
          <w:sz w:val="24"/>
          <w:szCs w:val="24"/>
          <w:lang w:val="es-ES"/>
        </w:rPr>
        <w:t>Mi voto en el juicio ciudadano SUP-JDC-1</w:t>
      </w:r>
      <w:r w:rsidR="004E1FF9">
        <w:rPr>
          <w:rFonts w:eastAsia="Calibri" w:cs="Arial"/>
          <w:bCs/>
          <w:sz w:val="24"/>
          <w:szCs w:val="24"/>
          <w:lang w:val="es-ES"/>
        </w:rPr>
        <w:t>6</w:t>
      </w:r>
      <w:r w:rsidRPr="000D0067">
        <w:rPr>
          <w:rFonts w:eastAsia="Calibri" w:cs="Arial"/>
          <w:bCs/>
          <w:sz w:val="24"/>
          <w:szCs w:val="24"/>
          <w:lang w:val="es-ES"/>
        </w:rPr>
        <w:t>52/2020 fue a favor de la propuesta que presentó el ponente (aceptando la procedencia del juicio), la cual finalmente fue rechazada; motivo por el que suscribí el voto minoritario respectivo.</w:t>
      </w:r>
    </w:p>
    <w:p w14:paraId="1C66F76F" w14:textId="77777777" w:rsidR="00D74819" w:rsidRPr="00D74819" w:rsidRDefault="00D74819" w:rsidP="00D74819">
      <w:pPr>
        <w:widowControl w:val="0"/>
        <w:spacing w:before="100" w:beforeAutospacing="1" w:after="100" w:afterAutospacing="1" w:line="360" w:lineRule="auto"/>
        <w:jc w:val="both"/>
        <w:textAlignment w:val="baseline"/>
        <w:rPr>
          <w:rFonts w:eastAsia="Calibri" w:cs="Arial"/>
          <w:bCs/>
          <w:sz w:val="24"/>
          <w:szCs w:val="24"/>
          <w:lang w:val="es-ES"/>
        </w:rPr>
      </w:pPr>
      <w:r w:rsidRPr="00D74819">
        <w:rPr>
          <w:rFonts w:eastAsia="Calibri" w:cs="Arial"/>
          <w:bCs/>
          <w:sz w:val="24"/>
          <w:szCs w:val="24"/>
          <w:lang w:val="es-ES"/>
        </w:rPr>
        <w:t>Por otra parte, mi voto en el presente asunto también fue a favor de la propuesta de desechar la demanda de juicio ciudadano.</w:t>
      </w:r>
    </w:p>
    <w:p w14:paraId="352F1B97" w14:textId="77777777" w:rsidR="00D74819" w:rsidRPr="00D74819" w:rsidRDefault="00D74819" w:rsidP="00D74819">
      <w:pPr>
        <w:widowControl w:val="0"/>
        <w:spacing w:before="100" w:beforeAutospacing="1" w:after="100" w:afterAutospacing="1" w:line="360" w:lineRule="auto"/>
        <w:jc w:val="both"/>
        <w:textAlignment w:val="baseline"/>
        <w:rPr>
          <w:rFonts w:eastAsia="Calibri" w:cs="Arial"/>
          <w:bCs/>
          <w:sz w:val="24"/>
          <w:szCs w:val="24"/>
          <w:lang w:val="es-ES"/>
        </w:rPr>
      </w:pPr>
      <w:r w:rsidRPr="00D74819">
        <w:rPr>
          <w:rFonts w:eastAsia="Calibri" w:cs="Arial"/>
          <w:bCs/>
          <w:sz w:val="24"/>
          <w:szCs w:val="24"/>
          <w:lang w:val="es-ES"/>
        </w:rPr>
        <w:t>Bajo ese contexto, el presente voto tiene por objeto exponer las razones por las cuales, en mi opinión, los dos juicios ciudadanos a que me he referido debían ser resueltos de manera diferente, a pesar de que en ambos casos las demandas se presentaron por correo electrónico.</w:t>
      </w:r>
    </w:p>
    <w:p w14:paraId="6B424785" w14:textId="77777777" w:rsidR="00D74819" w:rsidRPr="00D74819" w:rsidRDefault="00D74819" w:rsidP="00D74819">
      <w:pPr>
        <w:widowControl w:val="0"/>
        <w:spacing w:before="100" w:beforeAutospacing="1" w:after="100" w:afterAutospacing="1" w:line="360" w:lineRule="auto"/>
        <w:jc w:val="both"/>
        <w:textAlignment w:val="baseline"/>
        <w:rPr>
          <w:rFonts w:eastAsia="Calibri" w:cs="Arial"/>
          <w:bCs/>
          <w:sz w:val="24"/>
          <w:szCs w:val="24"/>
          <w:lang w:val="es-ES"/>
        </w:rPr>
      </w:pPr>
      <w:r w:rsidRPr="00D74819">
        <w:rPr>
          <w:rFonts w:eastAsia="Calibri" w:cs="Arial"/>
          <w:bCs/>
          <w:sz w:val="24"/>
          <w:szCs w:val="24"/>
          <w:lang w:val="es-ES"/>
        </w:rPr>
        <w:t>En efecto, los casos mencionados presentan diferencias fácticas y procesales, que hacían válido asumir criterios diferenciados de resolución, es decir, que en un caso se procediera al estudio de fondo y en el otro se desechara la demanda.</w:t>
      </w:r>
    </w:p>
    <w:p w14:paraId="68BEA716" w14:textId="77777777" w:rsidR="00D74819" w:rsidRPr="00D74819" w:rsidRDefault="00D74819" w:rsidP="00D74819">
      <w:pPr>
        <w:widowControl w:val="0"/>
        <w:spacing w:before="100" w:beforeAutospacing="1" w:after="100" w:afterAutospacing="1" w:line="360" w:lineRule="auto"/>
        <w:jc w:val="both"/>
        <w:textAlignment w:val="baseline"/>
        <w:rPr>
          <w:rFonts w:eastAsia="Calibri" w:cs="Arial"/>
          <w:sz w:val="24"/>
          <w:szCs w:val="24"/>
          <w:lang w:val="es-ES"/>
        </w:rPr>
      </w:pPr>
      <w:r w:rsidRPr="00D74819">
        <w:rPr>
          <w:rFonts w:eastAsia="Calibri" w:cs="Arial"/>
          <w:sz w:val="24"/>
          <w:szCs w:val="24"/>
          <w:lang w:val="es-ES"/>
        </w:rPr>
        <w:lastRenderedPageBreak/>
        <w:t xml:space="preserve">En el caso del juicio </w:t>
      </w:r>
      <w:r w:rsidRPr="000D0067">
        <w:rPr>
          <w:rFonts w:eastAsia="Calibri" w:cs="Arial"/>
          <w:sz w:val="24"/>
          <w:szCs w:val="24"/>
          <w:lang w:val="es-ES"/>
        </w:rPr>
        <w:t>SUP-JDC-1652/2020</w:t>
      </w:r>
      <w:r w:rsidRPr="00D74819">
        <w:rPr>
          <w:rFonts w:eastAsia="Calibri" w:cs="Arial"/>
          <w:sz w:val="24"/>
          <w:szCs w:val="24"/>
          <w:lang w:val="es-ES"/>
        </w:rPr>
        <w:t>, considero que se contaba con elementos suficientes para concluir que existe la voluntad del promovente y se puede comprobar la identidad; ello basado en elementos de prueba que acreditan el desarrollo de actos procesales. Es decir, a partir de las constancias de autos, se puede tener por acreditado que el correo electrónico que el promovente usó para remitir su demanda es el que ha utilizado ante la Comisión de Vinculación con los Organismos Públicos Locales del INE, derivado del procedimiento de selección de consejerías electorales locales del estado de Tabasco.</w:t>
      </w:r>
    </w:p>
    <w:p w14:paraId="751CD4E0" w14:textId="77777777" w:rsidR="00D74819" w:rsidRPr="00D74819" w:rsidRDefault="00D74819" w:rsidP="00D74819">
      <w:pPr>
        <w:widowControl w:val="0"/>
        <w:spacing w:before="100" w:beforeAutospacing="1" w:after="100" w:afterAutospacing="1" w:line="360" w:lineRule="auto"/>
        <w:jc w:val="both"/>
        <w:textAlignment w:val="baseline"/>
        <w:rPr>
          <w:rFonts w:eastAsia="Calibri" w:cs="Arial"/>
          <w:sz w:val="24"/>
          <w:szCs w:val="24"/>
          <w:lang w:val="es-ES"/>
        </w:rPr>
      </w:pPr>
      <w:r w:rsidRPr="00D74819">
        <w:rPr>
          <w:rFonts w:eastAsia="Calibri" w:cs="Arial"/>
          <w:sz w:val="24"/>
          <w:szCs w:val="24"/>
          <w:lang w:val="es-ES"/>
        </w:rPr>
        <w:t>De las constancias que obran en autos del citado expediente, se advierte que la demanda fue enviada al correo electrónico del Subdirector de Proyectos y Evaluación de la Unidad Técnica de Vinculación con los Organismos Públicos Locales del INE, del correo del actor jgarias.morales@gmail.com; correo que, en su momento, señaló cuando presentó una inconformidad relacionada con ese proceso y, para tal efecto, se indicó que ese era el correo electrónico que usaba en su calidad de aspirante a consejero electoral en el Estado de Tabasco (constancias que obran en las primeras diez hojas del expediente electrónico).</w:t>
      </w:r>
    </w:p>
    <w:p w14:paraId="6E1F8611" w14:textId="77777777" w:rsidR="00D74819" w:rsidRPr="00D74819" w:rsidRDefault="00D74819" w:rsidP="00D74819">
      <w:pPr>
        <w:widowControl w:val="0"/>
        <w:spacing w:before="100" w:beforeAutospacing="1" w:after="100" w:afterAutospacing="1" w:line="360" w:lineRule="auto"/>
        <w:jc w:val="both"/>
        <w:textAlignment w:val="baseline"/>
        <w:rPr>
          <w:rFonts w:eastAsia="Calibri" w:cs="Arial"/>
          <w:sz w:val="24"/>
          <w:szCs w:val="24"/>
          <w:lang w:val="es-ES"/>
        </w:rPr>
      </w:pPr>
      <w:r w:rsidRPr="00D74819">
        <w:rPr>
          <w:rFonts w:eastAsia="Calibri" w:cs="Arial"/>
          <w:sz w:val="24"/>
          <w:szCs w:val="24"/>
          <w:lang w:val="es-ES"/>
        </w:rPr>
        <w:t>Además, cabe destacar que ese fue el correo electrónico que estuvo vigente y el cual fue parte de las comunicaciones con la autoridad responsable, por lo que es evidente que ese medio de comunicación trascendió y formó parte de la secuela procesal y genera certeza sobre la identidad del promovente, así como de que los documentos por ahí transmitidos son de la autoría y voluntad del demandante.</w:t>
      </w:r>
    </w:p>
    <w:p w14:paraId="4A671B35" w14:textId="77777777" w:rsidR="00D74819" w:rsidRPr="00D74819" w:rsidRDefault="00D74819" w:rsidP="00D74819">
      <w:pPr>
        <w:widowControl w:val="0"/>
        <w:spacing w:before="100" w:beforeAutospacing="1" w:after="100" w:afterAutospacing="1" w:line="360" w:lineRule="auto"/>
        <w:jc w:val="both"/>
        <w:textAlignment w:val="baseline"/>
        <w:rPr>
          <w:rFonts w:eastAsia="Calibri" w:cs="Arial"/>
          <w:sz w:val="24"/>
          <w:szCs w:val="24"/>
          <w:lang w:val="es-ES"/>
        </w:rPr>
      </w:pPr>
      <w:r w:rsidRPr="00D74819">
        <w:rPr>
          <w:rFonts w:eastAsia="Calibri" w:cs="Arial"/>
          <w:sz w:val="24"/>
          <w:szCs w:val="24"/>
          <w:lang w:val="es-ES"/>
        </w:rPr>
        <w:t>Por tanto, si se parte de esa premisa, existen elementos que permiten advertir que la demanda fue presentada por el actor, puesto que proviene de su correo electrónico y que ha sido adoptado por la referida Comisión en el trámite de ese proceso, lo que bastaría para deducir que es dable su presentación; aunado a que, la autoridad responsable, al rendir su informe circunstanciado, no cuestiona la forma en que se presentó la demanda del actor, lo que robustece la hipótesis de que fue remitida a través de su correo electrónico.</w:t>
      </w:r>
    </w:p>
    <w:p w14:paraId="708BA2C8" w14:textId="77777777" w:rsidR="00D74819" w:rsidRPr="00D74819" w:rsidRDefault="00D74819" w:rsidP="00D74819">
      <w:pPr>
        <w:widowControl w:val="0"/>
        <w:spacing w:before="100" w:beforeAutospacing="1" w:after="100" w:afterAutospacing="1" w:line="360" w:lineRule="auto"/>
        <w:jc w:val="both"/>
        <w:textAlignment w:val="baseline"/>
        <w:rPr>
          <w:rFonts w:eastAsia="Calibri" w:cs="Arial"/>
          <w:sz w:val="24"/>
          <w:szCs w:val="24"/>
          <w:lang w:val="es-ES"/>
        </w:rPr>
      </w:pPr>
      <w:r w:rsidRPr="00D74819">
        <w:rPr>
          <w:rFonts w:eastAsia="Calibri" w:cs="Arial"/>
          <w:sz w:val="24"/>
          <w:szCs w:val="24"/>
          <w:lang w:val="es-ES"/>
        </w:rPr>
        <w:lastRenderedPageBreak/>
        <w:t xml:space="preserve">Además, en ese caso, el actor sostiene que conoció de su exclusión del proceso, a través de la notificación que le fue realizada por parte del indicado </w:t>
      </w:r>
      <w:proofErr w:type="gramStart"/>
      <w:r w:rsidRPr="00D74819">
        <w:rPr>
          <w:rFonts w:eastAsia="Calibri" w:cs="Arial"/>
          <w:sz w:val="24"/>
          <w:szCs w:val="24"/>
          <w:lang w:val="es-ES"/>
        </w:rPr>
        <w:t>Subdirector</w:t>
      </w:r>
      <w:proofErr w:type="gramEnd"/>
      <w:r w:rsidRPr="00D74819">
        <w:rPr>
          <w:rFonts w:eastAsia="Calibri" w:cs="Arial"/>
          <w:sz w:val="24"/>
          <w:szCs w:val="24"/>
          <w:lang w:val="es-ES"/>
        </w:rPr>
        <w:t xml:space="preserve"> por correo electrónico, de ahí que se infiere que es al correo señalado jgarias.morales@gmail.com; aunado a que, una vez que tuvo conocimiento de esa exclusión, remitió la demanda al correo de ese servidor público. En consecuencia, con esas consideraciones, se justificaba admitir aquella demanda.</w:t>
      </w:r>
    </w:p>
    <w:p w14:paraId="37F0CD64" w14:textId="77777777" w:rsidR="00D74819" w:rsidRPr="00D74819" w:rsidRDefault="00D74819" w:rsidP="00D74819">
      <w:pPr>
        <w:widowControl w:val="0"/>
        <w:spacing w:before="100" w:beforeAutospacing="1" w:after="100" w:afterAutospacing="1" w:line="360" w:lineRule="auto"/>
        <w:jc w:val="both"/>
        <w:textAlignment w:val="baseline"/>
        <w:rPr>
          <w:rFonts w:eastAsia="Calibri" w:cs="Arial"/>
          <w:sz w:val="24"/>
          <w:szCs w:val="24"/>
          <w:lang w:val="es-ES"/>
        </w:rPr>
      </w:pPr>
      <w:r w:rsidRPr="00D74819">
        <w:rPr>
          <w:rFonts w:eastAsia="Calibri" w:cs="Arial"/>
          <w:sz w:val="24"/>
          <w:szCs w:val="24"/>
          <w:lang w:val="es-ES"/>
        </w:rPr>
        <w:t>A diferencia de lo acontecido en el mencionando juicio, en el particular ―SUP-JDC-1660/2020― no existen las circunstancias que han quedado relatadas previamente ni similares a ellas, y se deben hacer las siguientes precisiones:</w:t>
      </w:r>
    </w:p>
    <w:p w14:paraId="2C043D30" w14:textId="77777777" w:rsidR="00D74819" w:rsidRPr="00D74819" w:rsidRDefault="00D74819" w:rsidP="00D74819">
      <w:pPr>
        <w:widowControl w:val="0"/>
        <w:spacing w:before="100" w:beforeAutospacing="1" w:after="100" w:afterAutospacing="1" w:line="360" w:lineRule="auto"/>
        <w:jc w:val="both"/>
        <w:textAlignment w:val="baseline"/>
        <w:rPr>
          <w:rFonts w:eastAsia="Calibri" w:cs="Arial"/>
          <w:sz w:val="24"/>
          <w:szCs w:val="24"/>
          <w:lang w:val="es-ES"/>
        </w:rPr>
      </w:pPr>
      <w:r w:rsidRPr="00D74819">
        <w:rPr>
          <w:rFonts w:eastAsia="Calibri" w:cs="Arial"/>
          <w:b/>
          <w:sz w:val="24"/>
          <w:szCs w:val="24"/>
          <w:lang w:val="es-ES"/>
        </w:rPr>
        <w:t>a)</w:t>
      </w:r>
      <w:r w:rsidRPr="00D74819">
        <w:rPr>
          <w:rFonts w:eastAsia="Calibri" w:cs="Arial"/>
          <w:sz w:val="24"/>
          <w:szCs w:val="24"/>
          <w:lang w:val="es-ES"/>
        </w:rPr>
        <w:t xml:space="preserve"> La demanda en este asunto se presentó de manera digitalizada ante la Sala Regional Xalapa ―autoridad que no es autoridad responsable ni es competente para conocer de la impugnación―.</w:t>
      </w:r>
    </w:p>
    <w:p w14:paraId="39AC1555" w14:textId="77777777" w:rsidR="00D74819" w:rsidRPr="00D74819" w:rsidRDefault="00D74819" w:rsidP="00D74819">
      <w:pPr>
        <w:widowControl w:val="0"/>
        <w:spacing w:before="100" w:beforeAutospacing="1" w:after="100" w:afterAutospacing="1" w:line="360" w:lineRule="auto"/>
        <w:jc w:val="both"/>
        <w:textAlignment w:val="baseline"/>
        <w:rPr>
          <w:rFonts w:eastAsia="Calibri" w:cs="Arial"/>
          <w:sz w:val="24"/>
          <w:szCs w:val="24"/>
          <w:lang w:val="es-ES"/>
        </w:rPr>
      </w:pPr>
      <w:r w:rsidRPr="00D74819">
        <w:rPr>
          <w:rFonts w:eastAsia="Calibri" w:cs="Arial"/>
          <w:b/>
          <w:sz w:val="24"/>
          <w:szCs w:val="24"/>
          <w:lang w:val="es-ES"/>
        </w:rPr>
        <w:t>b)</w:t>
      </w:r>
      <w:r w:rsidRPr="00D74819">
        <w:rPr>
          <w:rFonts w:eastAsia="Calibri" w:cs="Arial"/>
          <w:sz w:val="24"/>
          <w:szCs w:val="24"/>
          <w:lang w:val="es-ES"/>
        </w:rPr>
        <w:t xml:space="preserve"> No se tiene noticia ni constancia en autos que acredite que el correo electrónico, por el cual la promovente envió la demanda digitalizada, sea el mismo que usó ante la responsable para efecto del procedimiento del que se considera indebidamente excluida.</w:t>
      </w:r>
    </w:p>
    <w:p w14:paraId="19BB2EE1" w14:textId="77777777" w:rsidR="00D74819" w:rsidRPr="00D74819" w:rsidRDefault="00D74819" w:rsidP="00D74819">
      <w:pPr>
        <w:widowControl w:val="0"/>
        <w:spacing w:before="100" w:beforeAutospacing="1" w:after="100" w:afterAutospacing="1" w:line="360" w:lineRule="auto"/>
        <w:jc w:val="both"/>
        <w:textAlignment w:val="baseline"/>
        <w:rPr>
          <w:rFonts w:eastAsia="Calibri" w:cs="Arial"/>
          <w:sz w:val="24"/>
          <w:szCs w:val="24"/>
          <w:lang w:val="es-ES"/>
        </w:rPr>
      </w:pPr>
      <w:r w:rsidRPr="00D74819">
        <w:rPr>
          <w:rFonts w:eastAsia="Calibri" w:cs="Arial"/>
          <w:sz w:val="24"/>
          <w:szCs w:val="24"/>
          <w:lang w:val="es-ES"/>
        </w:rPr>
        <w:t>En las relatadas condiciones, no es posible tener por acreditada la identidad y voluntad de la promovente, de ahí que sea procedente desechar la demanda del medio de impugnación.</w:t>
      </w:r>
    </w:p>
    <w:p w14:paraId="3D022EC7" w14:textId="77777777" w:rsidR="00D74819" w:rsidRPr="00D74819" w:rsidRDefault="00D74819" w:rsidP="00D74819">
      <w:pPr>
        <w:widowControl w:val="0"/>
        <w:spacing w:before="100" w:beforeAutospacing="1" w:after="100" w:afterAutospacing="1" w:line="360" w:lineRule="auto"/>
        <w:jc w:val="both"/>
        <w:textAlignment w:val="baseline"/>
        <w:rPr>
          <w:rFonts w:eastAsia="Calibri" w:cs="Arial"/>
          <w:sz w:val="24"/>
          <w:szCs w:val="24"/>
          <w:lang w:val="es-ES"/>
        </w:rPr>
      </w:pPr>
      <w:r w:rsidRPr="00D74819">
        <w:rPr>
          <w:rFonts w:eastAsia="Calibri" w:cs="Arial"/>
          <w:sz w:val="24"/>
          <w:szCs w:val="24"/>
          <w:lang w:val="es-ES"/>
        </w:rPr>
        <w:t xml:space="preserve">Por todo lo expuesto, es claro que los votos que emití en los juicios ciudadanos </w:t>
      </w:r>
      <w:r w:rsidRPr="00D74819">
        <w:rPr>
          <w:rFonts w:eastAsia="Calibri" w:cs="Arial"/>
          <w:bCs/>
          <w:sz w:val="24"/>
          <w:szCs w:val="24"/>
          <w:lang w:val="es-ES"/>
        </w:rPr>
        <w:t xml:space="preserve">SUP-JDC-1661/2020 y SUP-JDC-1652/2020 son congruentes, ya que, como lo he expuesto, </w:t>
      </w:r>
      <w:r w:rsidRPr="00D74819">
        <w:rPr>
          <w:rFonts w:eastAsia="Calibri" w:cs="Arial"/>
          <w:sz w:val="24"/>
          <w:szCs w:val="24"/>
          <w:lang w:val="es-ES"/>
        </w:rPr>
        <w:t xml:space="preserve">existe una diferencia jurídica trascendente que hace posible admitir soluciones diferenciadas en los asuntos mencionados, sin que ello implique que exista un trato diferenciado. </w:t>
      </w:r>
    </w:p>
    <w:p w14:paraId="042B6A52" w14:textId="1D9DA4A0" w:rsidR="00D74819" w:rsidRDefault="00D74819" w:rsidP="00D74819">
      <w:pPr>
        <w:widowControl w:val="0"/>
        <w:spacing w:before="100" w:beforeAutospacing="1" w:after="100" w:afterAutospacing="1" w:line="360" w:lineRule="auto"/>
        <w:jc w:val="both"/>
        <w:textAlignment w:val="baseline"/>
        <w:rPr>
          <w:rFonts w:eastAsia="Calibri" w:cs="Arial"/>
          <w:sz w:val="24"/>
          <w:szCs w:val="24"/>
        </w:rPr>
      </w:pPr>
      <w:r w:rsidRPr="00D74819">
        <w:rPr>
          <w:rFonts w:eastAsia="Calibri" w:cs="Arial"/>
          <w:sz w:val="24"/>
          <w:szCs w:val="24"/>
        </w:rPr>
        <w:t>Por lo expuesto y fundado, emito el presente voto razonado.</w:t>
      </w:r>
    </w:p>
    <w:p w14:paraId="43C14B31" w14:textId="61778846" w:rsidR="00D74819" w:rsidRPr="0068493E" w:rsidRDefault="00D74819" w:rsidP="00D74819">
      <w:pPr>
        <w:widowControl w:val="0"/>
        <w:spacing w:before="100" w:beforeAutospacing="1" w:after="100" w:afterAutospacing="1" w:line="360" w:lineRule="auto"/>
        <w:jc w:val="both"/>
        <w:textAlignment w:val="baseline"/>
        <w:rPr>
          <w:rFonts w:eastAsia="Calibri" w:cs="Arial"/>
          <w:sz w:val="24"/>
          <w:szCs w:val="24"/>
        </w:rPr>
      </w:pPr>
      <w:r w:rsidRPr="000D0067">
        <w:rPr>
          <w:rFonts w:eastAsia="Calibri" w:cs="Arial"/>
          <w:sz w:val="24"/>
          <w:szCs w:val="24"/>
        </w:rPr>
        <w:t xml:space="preserve">Este documento es una representación gráfica autorizada mediante firma electrónica certificada, el cual tiene plena validez jurídica de conformidad </w:t>
      </w:r>
      <w:r w:rsidRPr="000D0067">
        <w:rPr>
          <w:rFonts w:eastAsia="Calibri" w:cs="Arial"/>
          <w:sz w:val="24"/>
          <w:szCs w:val="24"/>
        </w:rPr>
        <w:lastRenderedPageBreak/>
        <w:t>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sectPr w:rsidR="00D74819" w:rsidRPr="0068493E" w:rsidSect="003B0E36">
      <w:pgSz w:w="12240" w:h="18720" w:code="14"/>
      <w:pgMar w:top="3119" w:right="1418" w:bottom="1418" w:left="2835" w:header="1559" w:footer="90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135D0" w14:textId="77777777" w:rsidR="00E867DD" w:rsidRDefault="00E867DD" w:rsidP="00D41F45">
      <w:r>
        <w:separator/>
      </w:r>
    </w:p>
  </w:endnote>
  <w:endnote w:type="continuationSeparator" w:id="0">
    <w:p w14:paraId="65D313BA" w14:textId="77777777" w:rsidR="00E867DD" w:rsidRDefault="00E867DD" w:rsidP="00D4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bCs/>
        <w:sz w:val="24"/>
        <w:szCs w:val="24"/>
      </w:rPr>
      <w:id w:val="73874612"/>
      <w:docPartObj>
        <w:docPartGallery w:val="Page Numbers (Bottom of Page)"/>
        <w:docPartUnique/>
      </w:docPartObj>
    </w:sdtPr>
    <w:sdtEndPr/>
    <w:sdtContent>
      <w:p w14:paraId="23F4FBDD" w14:textId="77777777" w:rsidR="007641DB" w:rsidRPr="00F731C2" w:rsidRDefault="007641DB" w:rsidP="00675766">
        <w:pPr>
          <w:pStyle w:val="Piedepgina"/>
          <w:spacing w:before="120"/>
          <w:jc w:val="center"/>
          <w:rPr>
            <w:rFonts w:cs="Arial"/>
            <w:b/>
            <w:bCs/>
            <w:sz w:val="24"/>
            <w:szCs w:val="24"/>
          </w:rPr>
        </w:pPr>
        <w:r w:rsidRPr="00F731C2">
          <w:rPr>
            <w:rFonts w:cs="Arial"/>
            <w:b/>
            <w:bCs/>
            <w:sz w:val="24"/>
            <w:szCs w:val="24"/>
          </w:rPr>
          <w:fldChar w:fldCharType="begin"/>
        </w:r>
        <w:r w:rsidRPr="00F731C2">
          <w:rPr>
            <w:rFonts w:cs="Arial"/>
            <w:b/>
            <w:bCs/>
            <w:sz w:val="24"/>
            <w:szCs w:val="24"/>
          </w:rPr>
          <w:instrText>PAGE   \* MERGEFORMAT</w:instrText>
        </w:r>
        <w:r w:rsidRPr="00F731C2">
          <w:rPr>
            <w:rFonts w:cs="Arial"/>
            <w:b/>
            <w:bCs/>
            <w:sz w:val="24"/>
            <w:szCs w:val="24"/>
          </w:rPr>
          <w:fldChar w:fldCharType="separate"/>
        </w:r>
        <w:r w:rsidRPr="00F731C2">
          <w:rPr>
            <w:rFonts w:cs="Arial"/>
            <w:b/>
            <w:bCs/>
            <w:noProof/>
            <w:sz w:val="24"/>
            <w:szCs w:val="24"/>
            <w:lang w:val="es-ES"/>
          </w:rPr>
          <w:t>10</w:t>
        </w:r>
        <w:r w:rsidRPr="00F731C2">
          <w:rPr>
            <w:rFonts w:cs="Arial"/>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bCs/>
        <w:sz w:val="24"/>
        <w:szCs w:val="24"/>
      </w:rPr>
      <w:id w:val="662053255"/>
      <w:docPartObj>
        <w:docPartGallery w:val="Page Numbers (Bottom of Page)"/>
        <w:docPartUnique/>
      </w:docPartObj>
    </w:sdtPr>
    <w:sdtEndPr/>
    <w:sdtContent>
      <w:p w14:paraId="2776F3C1" w14:textId="77777777" w:rsidR="007641DB" w:rsidRPr="004D5F2C" w:rsidRDefault="007641DB" w:rsidP="00675766">
        <w:pPr>
          <w:pStyle w:val="Piedepgina"/>
          <w:spacing w:before="120"/>
          <w:jc w:val="center"/>
          <w:rPr>
            <w:rFonts w:cs="Arial"/>
            <w:b/>
            <w:bCs/>
            <w:sz w:val="24"/>
            <w:szCs w:val="24"/>
          </w:rPr>
        </w:pPr>
        <w:r w:rsidRPr="004D5F2C">
          <w:rPr>
            <w:rFonts w:cs="Arial"/>
            <w:b/>
            <w:bCs/>
            <w:sz w:val="24"/>
            <w:szCs w:val="24"/>
          </w:rPr>
          <w:fldChar w:fldCharType="begin"/>
        </w:r>
        <w:r w:rsidRPr="004D5F2C">
          <w:rPr>
            <w:rFonts w:cs="Arial"/>
            <w:b/>
            <w:bCs/>
            <w:sz w:val="24"/>
            <w:szCs w:val="24"/>
          </w:rPr>
          <w:instrText>PAGE   \* MERGEFORMAT</w:instrText>
        </w:r>
        <w:r w:rsidRPr="004D5F2C">
          <w:rPr>
            <w:rFonts w:cs="Arial"/>
            <w:b/>
            <w:bCs/>
            <w:sz w:val="24"/>
            <w:szCs w:val="24"/>
          </w:rPr>
          <w:fldChar w:fldCharType="separate"/>
        </w:r>
        <w:r w:rsidRPr="004D5F2C">
          <w:rPr>
            <w:rFonts w:cs="Arial"/>
            <w:b/>
            <w:bCs/>
            <w:noProof/>
            <w:sz w:val="24"/>
            <w:szCs w:val="24"/>
            <w:lang w:val="es-ES"/>
          </w:rPr>
          <w:t>9</w:t>
        </w:r>
        <w:r w:rsidRPr="004D5F2C">
          <w:rPr>
            <w:rFonts w:cs="Arial"/>
            <w:b/>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BB19" w14:textId="77777777" w:rsidR="007641DB" w:rsidRPr="00F731C2" w:rsidRDefault="007641DB" w:rsidP="00675766">
    <w:pPr>
      <w:pStyle w:val="Piedepgina"/>
      <w:tabs>
        <w:tab w:val="clear" w:pos="4252"/>
        <w:tab w:val="clear" w:pos="8504"/>
      </w:tabs>
      <w:jc w:val="right"/>
      <w:rPr>
        <w:rFonts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3E754" w14:textId="77777777" w:rsidR="00E867DD" w:rsidRDefault="00E867DD" w:rsidP="00D41F45">
      <w:r>
        <w:separator/>
      </w:r>
    </w:p>
  </w:footnote>
  <w:footnote w:type="continuationSeparator" w:id="0">
    <w:p w14:paraId="70947215" w14:textId="77777777" w:rsidR="00E867DD" w:rsidRDefault="00E867DD" w:rsidP="00D41F45">
      <w:r>
        <w:continuationSeparator/>
      </w:r>
    </w:p>
  </w:footnote>
  <w:footnote w:id="1">
    <w:p w14:paraId="16DBA6A0" w14:textId="4CA19759" w:rsidR="007641DB" w:rsidRPr="0068493E" w:rsidRDefault="007641DB" w:rsidP="00832007">
      <w:pPr>
        <w:pStyle w:val="Textonotapie"/>
        <w:jc w:val="both"/>
        <w:rPr>
          <w:rFonts w:cs="Arial"/>
          <w:sz w:val="18"/>
          <w:szCs w:val="18"/>
        </w:rPr>
      </w:pPr>
      <w:r w:rsidRPr="0068493E">
        <w:rPr>
          <w:rStyle w:val="Refdenotaalpie"/>
          <w:rFonts w:cs="Arial"/>
          <w:sz w:val="18"/>
          <w:szCs w:val="18"/>
        </w:rPr>
        <w:footnoteRef/>
      </w:r>
      <w:r w:rsidRPr="0068493E">
        <w:rPr>
          <w:rFonts w:cs="Arial"/>
          <w:sz w:val="18"/>
          <w:szCs w:val="18"/>
        </w:rPr>
        <w:t xml:space="preserve"> </w:t>
      </w:r>
      <w:bookmarkStart w:id="1" w:name="_Hlk40265628"/>
      <w:bookmarkStart w:id="2" w:name="_Hlk47373155"/>
      <w:r w:rsidR="009360F0" w:rsidRPr="0068493E">
        <w:rPr>
          <w:rFonts w:cs="Arial"/>
          <w:sz w:val="18"/>
          <w:szCs w:val="18"/>
        </w:rPr>
        <w:t>Secretario Instructor:</w:t>
      </w:r>
      <w:r w:rsidRPr="0068493E">
        <w:rPr>
          <w:rFonts w:cs="Arial"/>
          <w:sz w:val="18"/>
          <w:szCs w:val="18"/>
        </w:rPr>
        <w:t xml:space="preserve"> Fernando Ramírez Barrios</w:t>
      </w:r>
      <w:r w:rsidR="009360F0" w:rsidRPr="0068493E">
        <w:rPr>
          <w:rFonts w:cs="Arial"/>
          <w:sz w:val="18"/>
          <w:szCs w:val="18"/>
        </w:rPr>
        <w:t xml:space="preserve">. Secretariado: </w:t>
      </w:r>
      <w:r w:rsidRPr="0068493E">
        <w:rPr>
          <w:rFonts w:cs="Arial"/>
          <w:sz w:val="18"/>
          <w:szCs w:val="18"/>
        </w:rPr>
        <w:t>Héctor Floriberto Anzurez Galicia y Daniela Arellano Perdomo</w:t>
      </w:r>
      <w:bookmarkEnd w:id="1"/>
      <w:r w:rsidRPr="0068493E">
        <w:rPr>
          <w:rFonts w:cs="Arial"/>
          <w:sz w:val="18"/>
          <w:szCs w:val="18"/>
        </w:rPr>
        <w:t>.</w:t>
      </w:r>
      <w:bookmarkEnd w:id="2"/>
    </w:p>
  </w:footnote>
  <w:footnote w:id="2">
    <w:p w14:paraId="179686F9" w14:textId="77777777" w:rsidR="001C31CA" w:rsidRPr="0068493E" w:rsidRDefault="001C31CA" w:rsidP="001C31CA">
      <w:pPr>
        <w:pStyle w:val="Textonotapie"/>
        <w:jc w:val="both"/>
        <w:rPr>
          <w:rFonts w:cs="Arial"/>
          <w:sz w:val="18"/>
          <w:szCs w:val="18"/>
        </w:rPr>
      </w:pPr>
      <w:r w:rsidRPr="0068493E">
        <w:rPr>
          <w:rStyle w:val="Refdenotaalpie"/>
          <w:rFonts w:cs="Arial"/>
          <w:sz w:val="18"/>
          <w:szCs w:val="18"/>
        </w:rPr>
        <w:footnoteRef/>
      </w:r>
      <w:r w:rsidRPr="0068493E">
        <w:rPr>
          <w:rFonts w:cs="Arial"/>
          <w:sz w:val="18"/>
          <w:szCs w:val="18"/>
        </w:rPr>
        <w:t xml:space="preserve"> Salvo mención expresa todas las fechas corresponden a dos mil veinte.</w:t>
      </w:r>
    </w:p>
  </w:footnote>
  <w:footnote w:id="3">
    <w:p w14:paraId="07EB1B03" w14:textId="77777777" w:rsidR="001C31CA" w:rsidRPr="0068493E" w:rsidRDefault="001C31CA" w:rsidP="001C31CA">
      <w:pPr>
        <w:pStyle w:val="Textonotapie"/>
        <w:rPr>
          <w:rFonts w:cs="Arial"/>
          <w:sz w:val="18"/>
          <w:szCs w:val="18"/>
        </w:rPr>
      </w:pPr>
      <w:r w:rsidRPr="0068493E">
        <w:rPr>
          <w:rStyle w:val="Refdenotaalpie"/>
          <w:rFonts w:cs="Arial"/>
          <w:sz w:val="18"/>
          <w:szCs w:val="18"/>
        </w:rPr>
        <w:footnoteRef/>
      </w:r>
      <w:r w:rsidRPr="0068493E">
        <w:rPr>
          <w:rFonts w:cs="Arial"/>
          <w:sz w:val="18"/>
          <w:szCs w:val="18"/>
        </w:rPr>
        <w:t xml:space="preserve"> INE/CG/138/2020.</w:t>
      </w:r>
    </w:p>
  </w:footnote>
  <w:footnote w:id="4">
    <w:p w14:paraId="7188E1E9" w14:textId="77777777" w:rsidR="00595F5C" w:rsidRPr="0068493E" w:rsidRDefault="00595F5C" w:rsidP="00595F5C">
      <w:pPr>
        <w:pStyle w:val="Textonotapie"/>
        <w:rPr>
          <w:rFonts w:cs="Arial"/>
          <w:sz w:val="18"/>
          <w:szCs w:val="18"/>
        </w:rPr>
      </w:pPr>
      <w:r w:rsidRPr="0068493E">
        <w:rPr>
          <w:rStyle w:val="Refdenotaalpie"/>
          <w:rFonts w:cs="Arial"/>
          <w:sz w:val="18"/>
          <w:szCs w:val="18"/>
        </w:rPr>
        <w:footnoteRef/>
      </w:r>
      <w:r w:rsidRPr="0068493E">
        <w:rPr>
          <w:rFonts w:cs="Arial"/>
          <w:sz w:val="18"/>
          <w:szCs w:val="18"/>
        </w:rPr>
        <w:t xml:space="preserve"> Dentro del cuaderno de antecedentes SX-105/2020.</w:t>
      </w:r>
    </w:p>
  </w:footnote>
  <w:footnote w:id="5">
    <w:p w14:paraId="77982C61" w14:textId="03ED2AB8" w:rsidR="00061E03" w:rsidRPr="0068493E" w:rsidRDefault="00061E03">
      <w:pPr>
        <w:pStyle w:val="Textonotapie"/>
        <w:rPr>
          <w:rFonts w:cs="Arial"/>
          <w:sz w:val="18"/>
          <w:szCs w:val="18"/>
        </w:rPr>
      </w:pPr>
      <w:r w:rsidRPr="0068493E">
        <w:rPr>
          <w:rStyle w:val="Refdenotaalpie"/>
          <w:rFonts w:cs="Arial"/>
          <w:sz w:val="18"/>
          <w:szCs w:val="18"/>
        </w:rPr>
        <w:footnoteRef/>
      </w:r>
      <w:r w:rsidRPr="0068493E">
        <w:rPr>
          <w:rFonts w:cs="Arial"/>
          <w:sz w:val="18"/>
          <w:szCs w:val="18"/>
        </w:rPr>
        <w:t xml:space="preserve"> INE/STCVOPL/235/2020.</w:t>
      </w:r>
    </w:p>
  </w:footnote>
  <w:footnote w:id="6">
    <w:p w14:paraId="75EA2527" w14:textId="485DF457" w:rsidR="007641DB" w:rsidRPr="0068493E" w:rsidRDefault="007641DB" w:rsidP="00832007">
      <w:pPr>
        <w:pStyle w:val="Textonotapie"/>
        <w:jc w:val="both"/>
        <w:rPr>
          <w:rFonts w:cs="Arial"/>
          <w:sz w:val="18"/>
          <w:szCs w:val="18"/>
        </w:rPr>
      </w:pPr>
      <w:r w:rsidRPr="0068493E">
        <w:rPr>
          <w:rStyle w:val="Refdenotaalpie"/>
          <w:rFonts w:cs="Arial"/>
          <w:sz w:val="18"/>
          <w:szCs w:val="18"/>
        </w:rPr>
        <w:footnoteRef/>
      </w:r>
      <w:r w:rsidRPr="0068493E">
        <w:rPr>
          <w:rFonts w:cs="Arial"/>
          <w:sz w:val="18"/>
          <w:szCs w:val="18"/>
        </w:rPr>
        <w:t xml:space="preserve"> </w:t>
      </w:r>
      <w:bookmarkStart w:id="18" w:name="_Hlk13068345"/>
      <w:r w:rsidRPr="0068493E">
        <w:rPr>
          <w:rFonts w:cs="Arial"/>
          <w:sz w:val="18"/>
          <w:szCs w:val="18"/>
        </w:rPr>
        <w:t xml:space="preserve">Con fundamento en los artículos 17, 41, párrafo segundo, base VI y 99, párrafos segundo y cuarto, fracción V, de la Constitución federal; 184, 186, fracción III, inciso c) y 189, fracción I, inciso e), de la Ley Orgánica; </w:t>
      </w:r>
      <w:bookmarkStart w:id="19" w:name="_Hlk13140632"/>
      <w:r w:rsidRPr="0068493E">
        <w:rPr>
          <w:rFonts w:cs="Arial"/>
          <w:sz w:val="18"/>
          <w:szCs w:val="18"/>
        </w:rPr>
        <w:t xml:space="preserve">79, párrafo </w:t>
      </w:r>
      <w:r w:rsidR="00FC77AB" w:rsidRPr="0068493E">
        <w:rPr>
          <w:rFonts w:cs="Arial"/>
          <w:sz w:val="18"/>
          <w:szCs w:val="18"/>
        </w:rPr>
        <w:t>2</w:t>
      </w:r>
      <w:r w:rsidRPr="0068493E">
        <w:rPr>
          <w:rFonts w:cs="Arial"/>
          <w:sz w:val="18"/>
          <w:szCs w:val="18"/>
        </w:rPr>
        <w:t xml:space="preserve">, 80, párrafo 1, inciso </w:t>
      </w:r>
      <w:r w:rsidR="00DD5A20" w:rsidRPr="0068493E">
        <w:rPr>
          <w:rFonts w:cs="Arial"/>
          <w:sz w:val="18"/>
          <w:szCs w:val="18"/>
        </w:rPr>
        <w:t>f</w:t>
      </w:r>
      <w:r w:rsidRPr="0068493E">
        <w:rPr>
          <w:rFonts w:cs="Arial"/>
          <w:sz w:val="18"/>
          <w:szCs w:val="18"/>
        </w:rPr>
        <w:t>) y 83, párrafo 1, inciso a), fracción II</w:t>
      </w:r>
      <w:bookmarkEnd w:id="19"/>
      <w:r w:rsidRPr="0068493E">
        <w:rPr>
          <w:rFonts w:cs="Arial"/>
          <w:sz w:val="18"/>
          <w:szCs w:val="18"/>
        </w:rPr>
        <w:t>, de la Ley de Medios.</w:t>
      </w:r>
      <w:bookmarkEnd w:id="18"/>
    </w:p>
  </w:footnote>
  <w:footnote w:id="7">
    <w:p w14:paraId="3859B812" w14:textId="6CF116C2" w:rsidR="00144437" w:rsidRPr="0068493E" w:rsidRDefault="00144437" w:rsidP="00144437">
      <w:pPr>
        <w:pStyle w:val="Textonotapie"/>
        <w:jc w:val="both"/>
        <w:rPr>
          <w:rFonts w:cs="Arial"/>
          <w:sz w:val="18"/>
          <w:szCs w:val="18"/>
        </w:rPr>
      </w:pPr>
      <w:r w:rsidRPr="0068493E">
        <w:rPr>
          <w:rStyle w:val="Refdenotaalpie"/>
          <w:rFonts w:cs="Arial"/>
          <w:sz w:val="18"/>
          <w:szCs w:val="18"/>
        </w:rPr>
        <w:footnoteRef/>
      </w:r>
      <w:r w:rsidRPr="0068493E">
        <w:rPr>
          <w:rFonts w:cs="Arial"/>
          <w:sz w:val="18"/>
          <w:szCs w:val="18"/>
        </w:rPr>
        <w:t xml:space="preserve"> </w:t>
      </w:r>
      <w:r w:rsidRPr="0068493E">
        <w:rPr>
          <w:rFonts w:cs="Arial"/>
          <w:bCs/>
          <w:sz w:val="18"/>
          <w:szCs w:val="18"/>
          <w:lang w:val="es-ES"/>
        </w:rPr>
        <w:t>Véase las sentencias del juicio SUP-JDC-1772/2019 y del recurso SUP-REC-612/2019.</w:t>
      </w:r>
    </w:p>
  </w:footnote>
  <w:footnote w:id="8">
    <w:p w14:paraId="6C9BB9BC" w14:textId="22F5011B" w:rsidR="00F41CFF" w:rsidRPr="0068493E" w:rsidRDefault="00F41CFF" w:rsidP="00F41CFF">
      <w:pPr>
        <w:pStyle w:val="Textonotapie"/>
        <w:jc w:val="both"/>
        <w:rPr>
          <w:rFonts w:cs="Arial"/>
          <w:sz w:val="18"/>
          <w:szCs w:val="18"/>
        </w:rPr>
      </w:pPr>
      <w:r w:rsidRPr="0068493E">
        <w:rPr>
          <w:rStyle w:val="Refdenotaalpie"/>
          <w:rFonts w:cs="Arial"/>
          <w:sz w:val="18"/>
          <w:szCs w:val="18"/>
        </w:rPr>
        <w:footnoteRef/>
      </w:r>
      <w:r w:rsidRPr="0068493E">
        <w:rPr>
          <w:rFonts w:cs="Arial"/>
          <w:sz w:val="18"/>
          <w:szCs w:val="18"/>
        </w:rPr>
        <w:t xml:space="preserve"> </w:t>
      </w:r>
      <w:r w:rsidRPr="0068493E">
        <w:rPr>
          <w:rFonts w:cs="Arial"/>
          <w:bCs/>
          <w:sz w:val="18"/>
          <w:szCs w:val="18"/>
          <w:lang w:val="es-ES"/>
        </w:rPr>
        <w:t>El criterio, ha sido reiteradamente sustentado en la tesis de jurisprudencia 12/2019, de rubro: “</w:t>
      </w:r>
      <w:r w:rsidRPr="0068493E">
        <w:rPr>
          <w:rFonts w:cs="Arial"/>
          <w:b/>
          <w:sz w:val="18"/>
          <w:szCs w:val="18"/>
          <w:lang w:val="es-ES"/>
        </w:rPr>
        <w:t>DEMANDA. LA ENVIADA EN ARCHIVO DIGITAL A LOS CORREOS ELECTRÓNICOS DESTINADOS PARA LOS AVISOS DE INTERPOSICIÓN DE LOS MEDIOS DE IMPUGNACIÓN, NO EXIME AL ACTOR DE PRESENTARLA POR ESCRITO CON SU FIRMA AUTÓGRAFA</w:t>
      </w:r>
      <w:r w:rsidRPr="0068493E">
        <w:rPr>
          <w:rFonts w:cs="Arial"/>
          <w:bCs/>
          <w:sz w:val="18"/>
          <w:szCs w:val="18"/>
          <w:lang w:val="es-ES"/>
        </w:rPr>
        <w:t>”.</w:t>
      </w:r>
    </w:p>
  </w:footnote>
  <w:footnote w:id="9">
    <w:p w14:paraId="57594423" w14:textId="6DAB0050" w:rsidR="00672659" w:rsidRPr="0068493E" w:rsidRDefault="00672659">
      <w:pPr>
        <w:pStyle w:val="Textonotapie"/>
        <w:rPr>
          <w:rFonts w:cs="Arial"/>
          <w:sz w:val="18"/>
          <w:szCs w:val="18"/>
        </w:rPr>
      </w:pPr>
      <w:r w:rsidRPr="0068493E">
        <w:rPr>
          <w:rStyle w:val="Refdenotaalpie"/>
          <w:rFonts w:cs="Arial"/>
          <w:sz w:val="18"/>
          <w:szCs w:val="18"/>
        </w:rPr>
        <w:footnoteRef/>
      </w:r>
      <w:r w:rsidRPr="0068493E">
        <w:rPr>
          <w:rFonts w:cs="Arial"/>
          <w:sz w:val="18"/>
          <w:szCs w:val="18"/>
        </w:rPr>
        <w:t xml:space="preserve"> </w:t>
      </w:r>
      <w:r w:rsidRPr="0068493E">
        <w:rPr>
          <w:rFonts w:cs="Arial"/>
          <w:bCs/>
          <w:sz w:val="18"/>
          <w:szCs w:val="18"/>
          <w:lang w:val="es-ES"/>
        </w:rPr>
        <w:t>Acuerdo General 04/2020, por el que se aprueban los Lineamientos para la Resolución de Medios de Impugnación a través del sistema de Videoconferencia.</w:t>
      </w:r>
    </w:p>
  </w:footnote>
  <w:footnote w:id="10">
    <w:p w14:paraId="487E7D8F" w14:textId="50BF4F83" w:rsidR="00672659" w:rsidRPr="0068493E" w:rsidRDefault="00672659" w:rsidP="00672659">
      <w:pPr>
        <w:pStyle w:val="Textonotapie"/>
        <w:jc w:val="both"/>
        <w:rPr>
          <w:rFonts w:cs="Arial"/>
          <w:sz w:val="18"/>
          <w:szCs w:val="18"/>
        </w:rPr>
      </w:pPr>
      <w:r w:rsidRPr="0068493E">
        <w:rPr>
          <w:rStyle w:val="Refdenotaalpie"/>
          <w:rFonts w:cs="Arial"/>
          <w:sz w:val="18"/>
          <w:szCs w:val="18"/>
        </w:rPr>
        <w:footnoteRef/>
      </w:r>
      <w:r w:rsidRPr="0068493E">
        <w:rPr>
          <w:rFonts w:cs="Arial"/>
          <w:sz w:val="18"/>
          <w:szCs w:val="18"/>
        </w:rPr>
        <w:t xml:space="preserve"> </w:t>
      </w:r>
      <w:r w:rsidRPr="0068493E">
        <w:rPr>
          <w:rFonts w:cs="Arial"/>
          <w:bCs/>
          <w:sz w:val="18"/>
          <w:szCs w:val="18"/>
          <w:lang w:val="es-ES"/>
        </w:rPr>
        <w:t>Acuerdo General 05/2020, por el que se aprueban los Lineamientos para la Implementación y Desarrollo del Juicio en línea en Materia Electoral.</w:t>
      </w:r>
    </w:p>
  </w:footnote>
  <w:footnote w:id="11">
    <w:p w14:paraId="3012F713" w14:textId="77777777" w:rsidR="0068493E" w:rsidRPr="0068493E" w:rsidRDefault="0068493E" w:rsidP="0068493E">
      <w:pPr>
        <w:pStyle w:val="Textonotapie"/>
        <w:jc w:val="both"/>
        <w:rPr>
          <w:rFonts w:cs="Arial"/>
          <w:sz w:val="18"/>
          <w:szCs w:val="18"/>
          <w:lang w:val="es-419"/>
        </w:rPr>
      </w:pPr>
      <w:r w:rsidRPr="0068493E">
        <w:rPr>
          <w:rStyle w:val="Refdenotaalpie"/>
          <w:rFonts w:cs="Arial"/>
          <w:sz w:val="18"/>
          <w:szCs w:val="18"/>
        </w:rPr>
        <w:footnoteRef/>
      </w:r>
      <w:r w:rsidRPr="0068493E">
        <w:rPr>
          <w:rFonts w:cs="Arial"/>
          <w:sz w:val="18"/>
          <w:szCs w:val="18"/>
        </w:rPr>
        <w:t xml:space="preserve"> Con fundamento en el artículo 187, último párrafo, de la Ley Orgánica del Poder judicial de la Federación y 11 del Reglamento Interno de este Tribunal Electoral. </w:t>
      </w:r>
      <w:r w:rsidRPr="0068493E">
        <w:rPr>
          <w:rFonts w:cs="Arial"/>
          <w:sz w:val="18"/>
          <w:szCs w:val="18"/>
          <w:lang w:val="es-419"/>
        </w:rPr>
        <w:t xml:space="preserve">Colaboraron en la elaboración del presente voto Lizzeth Choreño Rodríguez, Elizabeth Vázquez Leyva, Julio César Cruz Ricárdez, Miguel Ángel </w:t>
      </w:r>
      <w:proofErr w:type="spellStart"/>
      <w:r w:rsidRPr="0068493E">
        <w:rPr>
          <w:rFonts w:cs="Arial"/>
          <w:sz w:val="18"/>
          <w:szCs w:val="18"/>
          <w:lang w:val="es-419"/>
        </w:rPr>
        <w:t>Ortíz</w:t>
      </w:r>
      <w:proofErr w:type="spellEnd"/>
      <w:r w:rsidRPr="0068493E">
        <w:rPr>
          <w:rFonts w:cs="Arial"/>
          <w:sz w:val="18"/>
          <w:szCs w:val="18"/>
          <w:lang w:val="es-419"/>
        </w:rPr>
        <w:t xml:space="preserve"> </w:t>
      </w:r>
      <w:proofErr w:type="spellStart"/>
      <w:r w:rsidRPr="0068493E">
        <w:rPr>
          <w:rFonts w:cs="Arial"/>
          <w:sz w:val="18"/>
          <w:szCs w:val="18"/>
          <w:lang w:val="es-419"/>
        </w:rPr>
        <w:t>Cué</w:t>
      </w:r>
      <w:proofErr w:type="spellEnd"/>
      <w:r w:rsidRPr="0068493E">
        <w:rPr>
          <w:rFonts w:cs="Arial"/>
          <w:sz w:val="18"/>
          <w:szCs w:val="18"/>
          <w:lang w:val="es-419"/>
        </w:rPr>
        <w:t xml:space="preserve"> y Oliver González Garza y Ávila.</w:t>
      </w:r>
    </w:p>
  </w:footnote>
  <w:footnote w:id="12">
    <w:p w14:paraId="629D6EA4" w14:textId="77777777" w:rsidR="0068493E" w:rsidRPr="0068493E" w:rsidRDefault="0068493E" w:rsidP="0068493E">
      <w:pPr>
        <w:pStyle w:val="Textonotapie"/>
        <w:jc w:val="both"/>
        <w:rPr>
          <w:rFonts w:cs="Arial"/>
          <w:sz w:val="18"/>
          <w:szCs w:val="18"/>
        </w:rPr>
      </w:pPr>
      <w:r w:rsidRPr="0068493E">
        <w:rPr>
          <w:rStyle w:val="Refdenotaalpie"/>
          <w:rFonts w:cs="Arial"/>
          <w:sz w:val="18"/>
          <w:szCs w:val="18"/>
        </w:rPr>
        <w:footnoteRef/>
      </w:r>
      <w:r w:rsidRPr="0068493E">
        <w:rPr>
          <w:rFonts w:cs="Arial"/>
          <w:sz w:val="18"/>
          <w:szCs w:val="18"/>
        </w:rPr>
        <w:t xml:space="preserve"> </w:t>
      </w:r>
      <w:r w:rsidRPr="0068493E">
        <w:rPr>
          <w:rFonts w:cs="Arial"/>
          <w:sz w:val="18"/>
          <w:szCs w:val="18"/>
          <w:lang w:val="es-419"/>
        </w:rPr>
        <w:t xml:space="preserve">La Sala Superior avaló el 6 de mayo y el 7 de junio, ambas fechas del año en curso, la presentación de dos escritos por vía electrónica; por lo que este órgano ya flexibilizó, en dos ocasiones, el requisito relativo a la firma autógrafa. En el primero, se confirmó el hecho que la Sala Xalapa hubiera admitido un escrito de medidas cautelares presentando por ciudadanos que se identificaron como indígenas mediante correo electrónico, ya que, refirió en el recurso SUP-REC-74/2020, no se trataba de un medio de impugnación ni de un escrito ordinario y, dada la pandemia, no podía obligarse a los justiciables a presentar el escrito de manera física. En el segundo, el Partido Duranguense impugnó el acuerdo del Instituto Electoral de Durango respecto de los plazos y términos de su actividad institucional. La demanda la presentó por correo electrónico ante el Instituto Electoral, la cual fue remitida al Tribunal Electoral local, quien la requirió en escrito y con firma autógrafa. Si bien el partido actor cumplió el requerimiento, lo hizo fuera del periodo previsto para impugnar el acto referido, por lo que el tribunal local desechó la demanda. La Sala Superior, en el juicio SUP-JDC-7/2020, revocó esa determinación al considerar el contexto sanitario y que el Instituto Electoral remitió la demanda. </w:t>
      </w:r>
    </w:p>
  </w:footnote>
  <w:footnote w:id="13">
    <w:p w14:paraId="4CAA6225" w14:textId="77777777" w:rsidR="0068493E" w:rsidRPr="0068493E" w:rsidRDefault="0068493E" w:rsidP="0068493E">
      <w:pPr>
        <w:pStyle w:val="Textonotapie"/>
        <w:jc w:val="both"/>
        <w:rPr>
          <w:rFonts w:cs="Arial"/>
          <w:bCs/>
          <w:sz w:val="18"/>
          <w:szCs w:val="18"/>
        </w:rPr>
      </w:pPr>
      <w:r w:rsidRPr="0068493E">
        <w:rPr>
          <w:rStyle w:val="Refdenotaalpie"/>
          <w:rFonts w:cs="Arial"/>
          <w:sz w:val="18"/>
          <w:szCs w:val="18"/>
        </w:rPr>
        <w:footnoteRef/>
      </w:r>
      <w:r w:rsidRPr="0068493E">
        <w:rPr>
          <w:rFonts w:cs="Arial"/>
          <w:sz w:val="18"/>
          <w:szCs w:val="18"/>
        </w:rPr>
        <w:t xml:space="preserve"> Véase el voto particular conjunto de la magistrada Janine M. Otálora Malassis y el magistrado Reyes Rodríguez Mondragón en el acuerdo general de la Sala Superior </w:t>
      </w:r>
      <w:r w:rsidRPr="0068493E">
        <w:rPr>
          <w:rFonts w:cs="Arial"/>
          <w:b/>
          <w:bCs/>
          <w:sz w:val="18"/>
          <w:szCs w:val="18"/>
        </w:rPr>
        <w:t xml:space="preserve">5/2020, </w:t>
      </w:r>
      <w:r w:rsidRPr="0068493E">
        <w:rPr>
          <w:rFonts w:cs="Arial"/>
          <w:bCs/>
          <w:sz w:val="18"/>
          <w:szCs w:val="18"/>
        </w:rPr>
        <w:t>por el que se aprueban los lineamientos para la implementación y el desarrollo del “juicio en línea en materia electoral”, respecto de los recursos de reconsideración y de revisión del procedimiento especial sancionador</w:t>
      </w:r>
      <w:r w:rsidRPr="0068493E">
        <w:rPr>
          <w:rFonts w:cs="Arial"/>
          <w:b/>
          <w:bCs/>
          <w:sz w:val="18"/>
          <w:szCs w:val="18"/>
        </w:rPr>
        <w:t xml:space="preserve">. </w:t>
      </w:r>
      <w:r w:rsidRPr="0068493E">
        <w:rPr>
          <w:rFonts w:cs="Arial"/>
          <w:bCs/>
          <w:sz w:val="18"/>
          <w:szCs w:val="18"/>
        </w:rPr>
        <w:t>Disponible en:</w:t>
      </w:r>
    </w:p>
    <w:p w14:paraId="3F83F3BE" w14:textId="77777777" w:rsidR="0068493E" w:rsidRPr="0068493E" w:rsidRDefault="0068493E" w:rsidP="0068493E">
      <w:pPr>
        <w:pStyle w:val="Textonotapie"/>
        <w:jc w:val="both"/>
        <w:rPr>
          <w:rFonts w:cs="Arial"/>
          <w:i/>
          <w:iCs/>
          <w:sz w:val="18"/>
          <w:szCs w:val="18"/>
        </w:rPr>
      </w:pPr>
      <w:r w:rsidRPr="0068493E">
        <w:rPr>
          <w:rFonts w:cs="Arial"/>
          <w:bCs/>
          <w:sz w:val="18"/>
          <w:szCs w:val="18"/>
        </w:rPr>
        <w:t xml:space="preserve"> </w:t>
      </w:r>
      <w:hyperlink r:id="rId1" w:history="1">
        <w:r w:rsidRPr="0068493E">
          <w:rPr>
            <w:rStyle w:val="Hipervnculo"/>
            <w:rFonts w:eastAsiaTheme="majorEastAsia" w:cs="Arial"/>
            <w:bCs/>
            <w:i/>
            <w:iCs/>
            <w:sz w:val="18"/>
            <w:szCs w:val="18"/>
          </w:rPr>
          <w:t>https://www.te.gob.mx/media/files/69745c931d3996661b4f0460d0dbc77e0.pdf</w:t>
        </w:r>
      </w:hyperlink>
    </w:p>
  </w:footnote>
  <w:footnote w:id="14">
    <w:p w14:paraId="442A92BF" w14:textId="77777777" w:rsidR="0068493E" w:rsidRPr="0068493E" w:rsidRDefault="0068493E" w:rsidP="0068493E">
      <w:pPr>
        <w:pStyle w:val="Textonotapie"/>
        <w:jc w:val="both"/>
        <w:rPr>
          <w:rFonts w:cs="Arial"/>
          <w:sz w:val="18"/>
          <w:szCs w:val="18"/>
          <w:lang w:val="es-419"/>
        </w:rPr>
      </w:pPr>
      <w:r w:rsidRPr="0068493E">
        <w:rPr>
          <w:rStyle w:val="Refdenotaalpie"/>
          <w:rFonts w:cs="Arial"/>
          <w:sz w:val="18"/>
          <w:szCs w:val="18"/>
        </w:rPr>
        <w:footnoteRef/>
      </w:r>
      <w:r w:rsidRPr="0068493E">
        <w:rPr>
          <w:rFonts w:cs="Arial"/>
          <w:sz w:val="18"/>
          <w:szCs w:val="18"/>
        </w:rPr>
        <w:t xml:space="preserve"> Artículo 9, párrafos 1, inciso g) y párrafo 3 de la Ley General del Sistema de Medios de Impugnación en Materia Electoral.</w:t>
      </w:r>
    </w:p>
  </w:footnote>
  <w:footnote w:id="15">
    <w:p w14:paraId="304C713F" w14:textId="77777777" w:rsidR="0068493E" w:rsidRPr="0068493E" w:rsidRDefault="0068493E" w:rsidP="0068493E">
      <w:pPr>
        <w:pStyle w:val="Textonotapie"/>
        <w:jc w:val="both"/>
        <w:rPr>
          <w:rFonts w:cs="Arial"/>
          <w:sz w:val="18"/>
          <w:szCs w:val="18"/>
        </w:rPr>
      </w:pPr>
      <w:r w:rsidRPr="0068493E">
        <w:rPr>
          <w:rStyle w:val="Refdenotaalpie"/>
          <w:rFonts w:cs="Arial"/>
          <w:sz w:val="18"/>
          <w:szCs w:val="18"/>
        </w:rPr>
        <w:footnoteRef/>
      </w:r>
      <w:r w:rsidRPr="0068493E">
        <w:rPr>
          <w:rFonts w:cs="Arial"/>
          <w:sz w:val="18"/>
          <w:szCs w:val="18"/>
        </w:rPr>
        <w:t xml:space="preserve"> Jurisprudencia de rubro </w:t>
      </w:r>
      <w:r w:rsidRPr="0068493E">
        <w:rPr>
          <w:rFonts w:cs="Arial"/>
          <w:b/>
          <w:smallCaps/>
          <w:sz w:val="18"/>
          <w:szCs w:val="18"/>
        </w:rPr>
        <w:t>demanda. la enviada en archivo digital a los correos electrónicos destinados para los avisos de interposición de los medios de impugnación, no exime al actor de presentarla por escrito con su firma autógrafa</w:t>
      </w:r>
      <w:r w:rsidRPr="0068493E">
        <w:rPr>
          <w:rFonts w:cs="Arial"/>
          <w:sz w:val="18"/>
          <w:szCs w:val="18"/>
        </w:rPr>
        <w:t xml:space="preserve">. Disponible en; </w:t>
      </w:r>
      <w:hyperlink r:id="rId2" w:history="1">
        <w:r w:rsidRPr="0068493E">
          <w:rPr>
            <w:rFonts w:cs="Arial"/>
            <w:sz w:val="18"/>
            <w:szCs w:val="18"/>
          </w:rPr>
          <w:t>https://www.te.gob.mx/IUSEapp/</w:t>
        </w:r>
      </w:hyperlink>
      <w:r w:rsidRPr="0068493E">
        <w:rPr>
          <w:rFonts w:cs="Arial"/>
          <w:sz w:val="18"/>
          <w:szCs w:val="18"/>
        </w:rPr>
        <w:t xml:space="preserve">. </w:t>
      </w:r>
    </w:p>
  </w:footnote>
  <w:footnote w:id="16">
    <w:p w14:paraId="7FA138C7" w14:textId="77777777" w:rsidR="0068493E" w:rsidRPr="0068493E" w:rsidRDefault="0068493E" w:rsidP="0068493E">
      <w:pPr>
        <w:pStyle w:val="Textonotapie"/>
        <w:jc w:val="both"/>
        <w:rPr>
          <w:rFonts w:cs="Arial"/>
          <w:sz w:val="18"/>
          <w:szCs w:val="18"/>
        </w:rPr>
      </w:pPr>
      <w:r w:rsidRPr="0068493E">
        <w:rPr>
          <w:rStyle w:val="Refdenotaalpie"/>
          <w:rFonts w:cs="Arial"/>
          <w:sz w:val="18"/>
          <w:szCs w:val="18"/>
        </w:rPr>
        <w:footnoteRef/>
      </w:r>
      <w:r w:rsidRPr="0068493E">
        <w:rPr>
          <w:rFonts w:cs="Arial"/>
          <w:sz w:val="18"/>
          <w:szCs w:val="18"/>
        </w:rPr>
        <w:t xml:space="preserve"> Medidas de Seguridad Sanitaria ordenadas por el Consejo de Salubridad General el 30 de marzo de 2020. Disponibles en:</w:t>
      </w:r>
    </w:p>
    <w:p w14:paraId="670C21A7" w14:textId="77777777" w:rsidR="0068493E" w:rsidRPr="0068493E" w:rsidRDefault="0068493E" w:rsidP="0068493E">
      <w:pPr>
        <w:pStyle w:val="Textonotapie"/>
        <w:jc w:val="both"/>
        <w:rPr>
          <w:rFonts w:cs="Arial"/>
          <w:i/>
          <w:iCs/>
          <w:sz w:val="18"/>
          <w:szCs w:val="18"/>
        </w:rPr>
      </w:pPr>
      <w:r w:rsidRPr="0068493E">
        <w:rPr>
          <w:rFonts w:cs="Arial"/>
          <w:i/>
          <w:iCs/>
          <w:sz w:val="18"/>
          <w:szCs w:val="18"/>
        </w:rPr>
        <w:t xml:space="preserve"> </w:t>
      </w:r>
      <w:hyperlink r:id="rId3" w:history="1">
        <w:r w:rsidRPr="0068493E">
          <w:rPr>
            <w:rStyle w:val="Hipervnculo"/>
            <w:rFonts w:eastAsiaTheme="majorEastAsia" w:cs="Arial"/>
            <w:i/>
            <w:iCs/>
            <w:sz w:val="18"/>
            <w:szCs w:val="18"/>
          </w:rPr>
          <w:t>http://www.csg.gob.mx/descargas/pdf/index/informacion_relevante/COVID19_-_Presentacion_CSG_-_Medidas_Seguridad_Sanitaria.pdf</w:t>
        </w:r>
      </w:hyperlink>
    </w:p>
  </w:footnote>
  <w:footnote w:id="17">
    <w:p w14:paraId="5773EB25" w14:textId="77777777" w:rsidR="0068493E" w:rsidRPr="0068493E" w:rsidRDefault="0068493E" w:rsidP="0068493E">
      <w:pPr>
        <w:pStyle w:val="Textonotapie"/>
        <w:jc w:val="both"/>
        <w:rPr>
          <w:rFonts w:cs="Arial"/>
          <w:sz w:val="18"/>
          <w:szCs w:val="18"/>
        </w:rPr>
      </w:pPr>
      <w:r w:rsidRPr="0068493E">
        <w:rPr>
          <w:rStyle w:val="Refdenotaalpie"/>
          <w:rFonts w:cs="Arial"/>
          <w:sz w:val="18"/>
          <w:szCs w:val="18"/>
        </w:rPr>
        <w:footnoteRef/>
      </w:r>
      <w:r w:rsidRPr="0068493E">
        <w:rPr>
          <w:rFonts w:cs="Arial"/>
          <w:sz w:val="18"/>
          <w:szCs w:val="18"/>
        </w:rPr>
        <w:t xml:space="preserve"> Informe técnico diario COVID-19 México, Secretaria de Salud, Gobierno de México. Corte al trece de agosto.</w:t>
      </w:r>
    </w:p>
  </w:footnote>
  <w:footnote w:id="18">
    <w:p w14:paraId="1510BE5D" w14:textId="77777777" w:rsidR="0068493E" w:rsidRPr="0068493E" w:rsidRDefault="0068493E" w:rsidP="0068493E">
      <w:pPr>
        <w:pStyle w:val="Textonotapie"/>
        <w:rPr>
          <w:rFonts w:cs="Arial"/>
          <w:sz w:val="18"/>
          <w:szCs w:val="18"/>
        </w:rPr>
      </w:pPr>
      <w:r w:rsidRPr="0068493E">
        <w:rPr>
          <w:rStyle w:val="Refdenotaalpie"/>
          <w:rFonts w:cs="Arial"/>
          <w:sz w:val="18"/>
          <w:szCs w:val="18"/>
        </w:rPr>
        <w:footnoteRef/>
      </w:r>
      <w:r w:rsidRPr="0068493E">
        <w:rPr>
          <w:rFonts w:cs="Arial"/>
          <w:sz w:val="18"/>
          <w:szCs w:val="18"/>
        </w:rPr>
        <w:t xml:space="preserve"> Véase: </w:t>
      </w:r>
      <w:hyperlink r:id="rId4" w:history="1">
        <w:r w:rsidRPr="0068493E">
          <w:rPr>
            <w:rStyle w:val="Hipervnculo"/>
            <w:rFonts w:cs="Arial"/>
            <w:i/>
            <w:iCs/>
            <w:sz w:val="18"/>
            <w:szCs w:val="18"/>
          </w:rPr>
          <w:t>http://dof.gob.mx/nota_detalle.php?codigo=5593313&amp;fecha=14/05/2020</w:t>
        </w:r>
      </w:hyperlink>
      <w:r w:rsidRPr="0068493E">
        <w:rPr>
          <w:rFonts w:cs="Arial"/>
          <w:sz w:val="18"/>
          <w:szCs w:val="18"/>
        </w:rPr>
        <w:t xml:space="preserve"> </w:t>
      </w:r>
    </w:p>
  </w:footnote>
  <w:footnote w:id="19">
    <w:p w14:paraId="3E63BA0C" w14:textId="77777777" w:rsidR="0068493E" w:rsidRPr="0068493E" w:rsidRDefault="0068493E" w:rsidP="0068493E">
      <w:pPr>
        <w:pStyle w:val="Textonotapie"/>
        <w:jc w:val="both"/>
        <w:rPr>
          <w:rFonts w:cs="Arial"/>
          <w:sz w:val="18"/>
          <w:szCs w:val="18"/>
        </w:rPr>
      </w:pPr>
      <w:r w:rsidRPr="0068493E">
        <w:rPr>
          <w:rStyle w:val="Refdenotaalpie"/>
          <w:rFonts w:cs="Arial"/>
          <w:sz w:val="18"/>
          <w:szCs w:val="18"/>
        </w:rPr>
        <w:footnoteRef/>
      </w:r>
      <w:r w:rsidRPr="0068493E">
        <w:rPr>
          <w:rFonts w:cs="Arial"/>
          <w:sz w:val="18"/>
          <w:szCs w:val="18"/>
        </w:rPr>
        <w:t xml:space="preserve"> Según consta en los acuerdos generales de la Sala Superior:</w:t>
      </w:r>
    </w:p>
    <w:p w14:paraId="12E5240C" w14:textId="77777777" w:rsidR="0068493E" w:rsidRPr="0068493E" w:rsidRDefault="0068493E" w:rsidP="0068493E">
      <w:pPr>
        <w:pStyle w:val="Textonotapie"/>
        <w:numPr>
          <w:ilvl w:val="0"/>
          <w:numId w:val="21"/>
        </w:numPr>
        <w:ind w:left="284" w:hanging="284"/>
        <w:jc w:val="both"/>
        <w:rPr>
          <w:rFonts w:cs="Arial"/>
          <w:sz w:val="18"/>
          <w:szCs w:val="18"/>
        </w:rPr>
      </w:pPr>
      <w:r w:rsidRPr="0068493E">
        <w:rPr>
          <w:rFonts w:cs="Arial"/>
          <w:b/>
          <w:sz w:val="18"/>
          <w:szCs w:val="18"/>
        </w:rPr>
        <w:t>2/2020</w:t>
      </w:r>
      <w:r w:rsidRPr="0068493E">
        <w:rPr>
          <w:rFonts w:cs="Arial"/>
          <w:sz w:val="18"/>
          <w:szCs w:val="18"/>
        </w:rPr>
        <w:t xml:space="preserve">, por el que se autoriza la resolución no presencial de los medios de impugnación, con motivo de la pandemia originada por el virus COVID-19, aprobado por mayoría de votos el 26 de marzo de 2020 y publicado en la página oficial del TEPJF, en la liga: </w:t>
      </w:r>
      <w:hyperlink r:id="rId5" w:history="1">
        <w:r w:rsidRPr="0068493E">
          <w:rPr>
            <w:rStyle w:val="Hipervnculo"/>
            <w:rFonts w:eastAsiaTheme="majorEastAsia" w:cs="Arial"/>
            <w:i/>
            <w:iCs/>
            <w:sz w:val="18"/>
            <w:szCs w:val="18"/>
          </w:rPr>
          <w:t>https://www.te.gob.mx/media/files/57806537c3a755b5d28d37d0e5a1e9fb0.pdf</w:t>
        </w:r>
      </w:hyperlink>
      <w:r w:rsidRPr="0068493E">
        <w:rPr>
          <w:rFonts w:cs="Arial"/>
          <w:i/>
          <w:iCs/>
          <w:sz w:val="18"/>
          <w:szCs w:val="18"/>
        </w:rPr>
        <w:t>;</w:t>
      </w:r>
    </w:p>
    <w:p w14:paraId="7BA490FC" w14:textId="77777777" w:rsidR="0068493E" w:rsidRPr="0068493E" w:rsidRDefault="0068493E" w:rsidP="0068493E">
      <w:pPr>
        <w:pStyle w:val="Textonotapie"/>
        <w:numPr>
          <w:ilvl w:val="0"/>
          <w:numId w:val="21"/>
        </w:numPr>
        <w:ind w:left="284" w:hanging="284"/>
        <w:jc w:val="both"/>
        <w:rPr>
          <w:rFonts w:cs="Arial"/>
          <w:sz w:val="18"/>
          <w:szCs w:val="18"/>
        </w:rPr>
      </w:pPr>
      <w:r w:rsidRPr="0068493E">
        <w:rPr>
          <w:rFonts w:cs="Arial"/>
          <w:b/>
          <w:sz w:val="18"/>
          <w:szCs w:val="18"/>
        </w:rPr>
        <w:t xml:space="preserve">3/2020 </w:t>
      </w:r>
      <w:r w:rsidRPr="0068493E">
        <w:rPr>
          <w:rFonts w:cs="Arial"/>
          <w:sz w:val="18"/>
          <w:szCs w:val="18"/>
        </w:rPr>
        <w:t>por el que se implementa la firma electrónica certificada del Poder Judicial de la Federación en los acuerdos, resoluciones y sentencias que se dicten con motivo del trámite, turno, sustanciación y resolución de los medios de impugnación en materia electoral, aprobado el 2 de abril de 2020 y publicado en la página oficial del TEPJF, en la liga:</w:t>
      </w:r>
      <w:r w:rsidRPr="0068493E">
        <w:rPr>
          <w:rFonts w:cs="Arial"/>
          <w:i/>
          <w:iCs/>
          <w:sz w:val="18"/>
          <w:szCs w:val="18"/>
        </w:rPr>
        <w:t xml:space="preserve"> </w:t>
      </w:r>
      <w:hyperlink r:id="rId6" w:history="1">
        <w:r w:rsidRPr="0068493E">
          <w:rPr>
            <w:rStyle w:val="Hipervnculo"/>
            <w:rFonts w:eastAsiaTheme="majorEastAsia" w:cs="Arial"/>
            <w:i/>
            <w:iCs/>
            <w:sz w:val="18"/>
            <w:szCs w:val="18"/>
          </w:rPr>
          <w:t>https://www.te.gob.mx/media/files/ec743f97d2cfead6c8a2a77daf9f923a0.pdf</w:t>
        </w:r>
      </w:hyperlink>
      <w:r w:rsidRPr="0068493E">
        <w:rPr>
          <w:rFonts w:cs="Arial"/>
          <w:i/>
          <w:iCs/>
          <w:sz w:val="18"/>
          <w:szCs w:val="18"/>
        </w:rPr>
        <w:t>,</w:t>
      </w:r>
      <w:r w:rsidRPr="0068493E">
        <w:rPr>
          <w:rFonts w:cs="Arial"/>
          <w:sz w:val="18"/>
          <w:szCs w:val="18"/>
        </w:rPr>
        <w:t xml:space="preserve"> y </w:t>
      </w:r>
    </w:p>
    <w:p w14:paraId="735B0F53" w14:textId="77777777" w:rsidR="0068493E" w:rsidRPr="0068493E" w:rsidRDefault="0068493E" w:rsidP="0068493E">
      <w:pPr>
        <w:pStyle w:val="Textonotapie"/>
        <w:numPr>
          <w:ilvl w:val="0"/>
          <w:numId w:val="21"/>
        </w:numPr>
        <w:ind w:left="284" w:hanging="284"/>
        <w:jc w:val="both"/>
        <w:rPr>
          <w:rFonts w:cs="Arial"/>
          <w:sz w:val="18"/>
          <w:szCs w:val="18"/>
        </w:rPr>
      </w:pPr>
      <w:r w:rsidRPr="0068493E">
        <w:rPr>
          <w:rFonts w:cs="Arial"/>
          <w:b/>
          <w:sz w:val="18"/>
          <w:szCs w:val="18"/>
        </w:rPr>
        <w:t>4/2020</w:t>
      </w:r>
      <w:r w:rsidRPr="0068493E">
        <w:rPr>
          <w:rFonts w:cs="Arial"/>
          <w:sz w:val="18"/>
          <w:szCs w:val="18"/>
        </w:rPr>
        <w:t xml:space="preserve"> por el que se emiten los lineamientos aplicables para la resolución de los medios de impugnación a través del sistema de videoconferencias, aprobado el 16 de abril de 2020 y publicado en la página oficial del TEPJF en la liga: </w:t>
      </w:r>
      <w:hyperlink r:id="rId7" w:history="1">
        <w:r w:rsidRPr="0068493E">
          <w:rPr>
            <w:rStyle w:val="Hipervnculo"/>
            <w:rFonts w:eastAsiaTheme="majorEastAsia" w:cs="Arial"/>
            <w:i/>
            <w:iCs/>
            <w:sz w:val="18"/>
            <w:szCs w:val="18"/>
          </w:rPr>
          <w:t>https://www.te.gob.mx/media/files/6c171fe4406c4c9a9f6f8b28566445890.pdf</w:t>
        </w:r>
      </w:hyperlink>
    </w:p>
  </w:footnote>
  <w:footnote w:id="20">
    <w:p w14:paraId="0767E60E" w14:textId="77777777" w:rsidR="0068493E" w:rsidRPr="0068493E" w:rsidRDefault="0068493E" w:rsidP="0068493E">
      <w:pPr>
        <w:pStyle w:val="Textonotapie"/>
        <w:rPr>
          <w:rFonts w:cs="Arial"/>
          <w:sz w:val="18"/>
          <w:szCs w:val="18"/>
        </w:rPr>
      </w:pPr>
      <w:r w:rsidRPr="0068493E">
        <w:rPr>
          <w:rStyle w:val="Refdenotaalpie"/>
          <w:rFonts w:cs="Arial"/>
          <w:sz w:val="18"/>
          <w:szCs w:val="18"/>
        </w:rPr>
        <w:footnoteRef/>
      </w:r>
      <w:r w:rsidRPr="0068493E">
        <w:rPr>
          <w:rFonts w:cs="Arial"/>
          <w:sz w:val="18"/>
          <w:szCs w:val="18"/>
        </w:rPr>
        <w:t xml:space="preserve"> </w:t>
      </w:r>
      <w:proofErr w:type="spellStart"/>
      <w:r w:rsidRPr="0068493E">
        <w:rPr>
          <w:rFonts w:cs="Arial"/>
          <w:i/>
          <w:sz w:val="18"/>
          <w:szCs w:val="18"/>
        </w:rPr>
        <w:t>Idem</w:t>
      </w:r>
      <w:proofErr w:type="spellEnd"/>
      <w:r w:rsidRPr="0068493E">
        <w:rPr>
          <w:rFonts w:cs="Arial"/>
          <w:i/>
          <w:sz w:val="18"/>
          <w:szCs w:val="18"/>
        </w:rPr>
        <w:t>.</w:t>
      </w:r>
    </w:p>
  </w:footnote>
  <w:footnote w:id="21">
    <w:p w14:paraId="37F16727" w14:textId="77777777" w:rsidR="0068493E" w:rsidRPr="0068493E" w:rsidRDefault="0068493E" w:rsidP="0068493E">
      <w:pPr>
        <w:pStyle w:val="Textonotapie"/>
        <w:jc w:val="both"/>
        <w:rPr>
          <w:rFonts w:cs="Arial"/>
          <w:sz w:val="18"/>
          <w:szCs w:val="18"/>
        </w:rPr>
      </w:pPr>
      <w:r w:rsidRPr="0068493E">
        <w:rPr>
          <w:rStyle w:val="Refdenotaalpie"/>
          <w:rFonts w:cs="Arial"/>
          <w:sz w:val="18"/>
          <w:szCs w:val="18"/>
        </w:rPr>
        <w:footnoteRef/>
      </w:r>
      <w:r w:rsidRPr="0068493E">
        <w:rPr>
          <w:rFonts w:cs="Arial"/>
          <w:sz w:val="18"/>
          <w:szCs w:val="18"/>
        </w:rPr>
        <w:t xml:space="preserve"> Acuerdo general de la Sala Superior </w:t>
      </w:r>
      <w:r w:rsidRPr="0068493E">
        <w:rPr>
          <w:rFonts w:cs="Arial"/>
          <w:b/>
          <w:sz w:val="18"/>
          <w:szCs w:val="18"/>
        </w:rPr>
        <w:t>5/2020</w:t>
      </w:r>
      <w:r w:rsidRPr="0068493E">
        <w:rPr>
          <w:rFonts w:cs="Arial"/>
          <w:sz w:val="18"/>
          <w:szCs w:val="18"/>
        </w:rPr>
        <w:t xml:space="preserve">, por el que se aprueban los lineamientos para la implementación y el desarrollo del juicio en línea en materia electoral, respecto de los recursos de reconsideración y de revisión del procedimiento especial sancionador, aprobado por mayoría el 27 de mayo de 2020 y publicado en la página oficial del TEPJF en la liga: </w:t>
      </w:r>
      <w:hyperlink r:id="rId8" w:history="1">
        <w:r w:rsidRPr="0068493E">
          <w:rPr>
            <w:rStyle w:val="Hipervnculo"/>
            <w:rFonts w:cs="Arial"/>
            <w:i/>
            <w:iCs/>
            <w:sz w:val="18"/>
            <w:szCs w:val="18"/>
          </w:rPr>
          <w:t>https://www.te.gob.mx/media/files/57bc0604529e0297dc056bff88dd4ccd0.pdf</w:t>
        </w:r>
      </w:hyperlink>
      <w:r w:rsidRPr="0068493E">
        <w:rPr>
          <w:rStyle w:val="Hipervnculo"/>
          <w:rFonts w:cs="Arial"/>
          <w:i/>
          <w:iCs/>
          <w:sz w:val="18"/>
          <w:szCs w:val="18"/>
        </w:rPr>
        <w:t>.</w:t>
      </w:r>
    </w:p>
  </w:footnote>
  <w:footnote w:id="22">
    <w:p w14:paraId="430F0242" w14:textId="77777777" w:rsidR="0068493E" w:rsidRPr="0068493E" w:rsidRDefault="0068493E" w:rsidP="0068493E">
      <w:pPr>
        <w:pStyle w:val="Textonotapie"/>
        <w:jc w:val="both"/>
        <w:rPr>
          <w:rFonts w:cs="Arial"/>
          <w:sz w:val="18"/>
          <w:szCs w:val="18"/>
        </w:rPr>
      </w:pPr>
      <w:r w:rsidRPr="0068493E">
        <w:rPr>
          <w:rStyle w:val="Refdenotaalpie"/>
          <w:rFonts w:cs="Arial"/>
          <w:sz w:val="18"/>
          <w:szCs w:val="18"/>
        </w:rPr>
        <w:footnoteRef/>
      </w:r>
      <w:r w:rsidRPr="0068493E">
        <w:rPr>
          <w:rFonts w:cs="Arial"/>
          <w:sz w:val="18"/>
          <w:szCs w:val="18"/>
        </w:rPr>
        <w:t xml:space="preserve"> La actora presentó un juicio para la protección de los derechos-político electorales del ciudadano en la oficialía de partes de la Sala Regional Xalapa. De su contenido se advierte que la demanda es idéntica a la presentada por correo electrónico ante la Sala Xalapa. Esta demanda se registró como </w:t>
      </w:r>
      <w:r w:rsidRPr="0068493E">
        <w:rPr>
          <w:rFonts w:cs="Arial"/>
          <w:b/>
          <w:bCs/>
          <w:sz w:val="18"/>
          <w:szCs w:val="18"/>
        </w:rPr>
        <w:t>SUP-JDC-1661/2020</w:t>
      </w:r>
      <w:r w:rsidRPr="0068493E">
        <w:rPr>
          <w:rFonts w:cs="Arial"/>
          <w:sz w:val="18"/>
          <w:szCs w:val="18"/>
        </w:rPr>
        <w:t xml:space="preserve">, la cual se desechó por haberse presentado de forma extemporánea en la misma sesión en que se aprobó este </w:t>
      </w:r>
      <w:r w:rsidRPr="0068493E">
        <w:rPr>
          <w:rFonts w:cs="Arial"/>
          <w:sz w:val="18"/>
          <w:szCs w:val="18"/>
        </w:rPr>
        <w:br/>
      </w:r>
      <w:r w:rsidRPr="0068493E">
        <w:rPr>
          <w:rFonts w:cs="Arial"/>
          <w:b/>
          <w:bCs/>
          <w:sz w:val="18"/>
          <w:szCs w:val="18"/>
        </w:rPr>
        <w:t>SUP-JDC-1660/2020</w:t>
      </w:r>
      <w:r w:rsidRPr="0068493E">
        <w:rPr>
          <w:rFonts w:cs="Arial"/>
          <w:sz w:val="18"/>
          <w:szCs w:val="18"/>
        </w:rPr>
        <w:t>.</w:t>
      </w:r>
    </w:p>
  </w:footnote>
  <w:footnote w:id="23">
    <w:p w14:paraId="31D67592" w14:textId="77777777" w:rsidR="0068493E" w:rsidRPr="0068493E" w:rsidRDefault="0068493E" w:rsidP="0068493E">
      <w:pPr>
        <w:pStyle w:val="Textonotapie"/>
        <w:jc w:val="both"/>
        <w:rPr>
          <w:rFonts w:cs="Arial"/>
          <w:sz w:val="18"/>
          <w:szCs w:val="18"/>
        </w:rPr>
      </w:pPr>
      <w:r w:rsidRPr="0068493E">
        <w:rPr>
          <w:rStyle w:val="Refdenotaalpie"/>
          <w:rFonts w:cs="Arial"/>
          <w:sz w:val="18"/>
          <w:szCs w:val="18"/>
        </w:rPr>
        <w:footnoteRef/>
      </w:r>
      <w:r w:rsidRPr="0068493E">
        <w:rPr>
          <w:rFonts w:cs="Arial"/>
          <w:sz w:val="18"/>
          <w:szCs w:val="18"/>
        </w:rPr>
        <w:t xml:space="preserve"> Este asunto se resolvió el dieciocho de junio de dos mil veinte.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CF498" w14:textId="6CADA699" w:rsidR="007641DB" w:rsidRPr="00F731C2" w:rsidRDefault="002B2C4C" w:rsidP="00675766">
    <w:pPr>
      <w:pStyle w:val="Encabezado"/>
      <w:tabs>
        <w:tab w:val="clear" w:pos="4252"/>
        <w:tab w:val="clear" w:pos="8504"/>
      </w:tabs>
      <w:rPr>
        <w:rFonts w:cs="Arial"/>
        <w:sz w:val="24"/>
        <w:szCs w:val="24"/>
      </w:rPr>
    </w:pPr>
    <w:r>
      <w:rPr>
        <w:rFonts w:cs="Arial"/>
        <w:b/>
        <w:sz w:val="24"/>
        <w:szCs w:val="24"/>
      </w:rPr>
      <w:t>SUP-JDC-1660/2020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4ACFD" w14:textId="75A9FD1A" w:rsidR="007641DB" w:rsidRPr="001176BF" w:rsidRDefault="005D46AB" w:rsidP="00675766">
    <w:pPr>
      <w:pStyle w:val="Encabezado"/>
      <w:tabs>
        <w:tab w:val="clear" w:pos="4252"/>
        <w:tab w:val="clear" w:pos="8504"/>
      </w:tabs>
      <w:jc w:val="right"/>
      <w:rPr>
        <w:rFonts w:cs="Arial"/>
        <w:b/>
        <w:sz w:val="24"/>
        <w:szCs w:val="24"/>
        <w:lang w:val="en-US"/>
      </w:rPr>
    </w:pPr>
    <w:r w:rsidRPr="001176BF">
      <w:rPr>
        <w:noProof/>
        <w:sz w:val="24"/>
        <w:szCs w:val="24"/>
      </w:rPr>
      <w:drawing>
        <wp:anchor distT="0" distB="0" distL="114300" distR="114300" simplePos="0" relativeHeight="251661312" behindDoc="0" locked="0" layoutInCell="1" allowOverlap="1" wp14:anchorId="155FCB5B" wp14:editId="20640D39">
          <wp:simplePos x="0" y="0"/>
          <wp:positionH relativeFrom="leftMargin">
            <wp:align>right</wp:align>
          </wp:positionH>
          <wp:positionV relativeFrom="topMargin">
            <wp:posOffset>467995</wp:posOffset>
          </wp:positionV>
          <wp:extent cx="1377950" cy="1192530"/>
          <wp:effectExtent l="0" t="0" r="0" b="7620"/>
          <wp:wrapNone/>
          <wp:docPr id="30" name="Imagen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pic:spPr>
              </pic:pic>
            </a:graphicData>
          </a:graphic>
          <wp14:sizeRelH relativeFrom="page">
            <wp14:pctWidth>0</wp14:pctWidth>
          </wp14:sizeRelH>
          <wp14:sizeRelV relativeFrom="page">
            <wp14:pctHeight>0</wp14:pctHeight>
          </wp14:sizeRelV>
        </wp:anchor>
      </w:drawing>
    </w:r>
    <w:r w:rsidR="002B2C4C" w:rsidRPr="001176BF">
      <w:rPr>
        <w:rFonts w:cs="Arial"/>
        <w:b/>
        <w:sz w:val="24"/>
        <w:szCs w:val="24"/>
      </w:rPr>
      <w:t>SUP-JDC-1660/2020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843B2" w14:textId="536E16A4" w:rsidR="00892F7A" w:rsidRPr="00892F7A" w:rsidRDefault="005D46AB">
    <w:pPr>
      <w:pStyle w:val="Encabezado"/>
      <w:rPr>
        <w:rFonts w:cs="Arial"/>
        <w:sz w:val="24"/>
        <w:szCs w:val="24"/>
      </w:rPr>
    </w:pPr>
    <w:r>
      <w:rPr>
        <w:noProof/>
      </w:rPr>
      <w:drawing>
        <wp:anchor distT="0" distB="0" distL="114300" distR="114300" simplePos="0" relativeHeight="251659264" behindDoc="0" locked="0" layoutInCell="1" allowOverlap="1" wp14:anchorId="41676499" wp14:editId="5ED90E54">
          <wp:simplePos x="0" y="0"/>
          <wp:positionH relativeFrom="leftMargin">
            <wp:align>right</wp:align>
          </wp:positionH>
          <wp:positionV relativeFrom="page">
            <wp:posOffset>463550</wp:posOffset>
          </wp:positionV>
          <wp:extent cx="1377950" cy="1192530"/>
          <wp:effectExtent l="0" t="0" r="0" b="7620"/>
          <wp:wrapNone/>
          <wp:docPr id="31" name="Imagen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1925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0F0"/>
    <w:multiLevelType w:val="hybridMultilevel"/>
    <w:tmpl w:val="5478E0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55E31"/>
    <w:multiLevelType w:val="hybridMultilevel"/>
    <w:tmpl w:val="B7163F46"/>
    <w:lvl w:ilvl="0" w:tplc="F7447B46">
      <w:start w:val="4"/>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DB716F"/>
    <w:multiLevelType w:val="hybridMultilevel"/>
    <w:tmpl w:val="15B8ADCA"/>
    <w:lvl w:ilvl="0" w:tplc="94FAD054">
      <w:start w:val="1"/>
      <w:numFmt w:val="decimal"/>
      <w:pStyle w:val="NUMERADO"/>
      <w:lvlText w:val="%1."/>
      <w:lvlJc w:val="left"/>
      <w:pPr>
        <w:ind w:left="3196" w:hanging="360"/>
      </w:pPr>
      <w:rPr>
        <w:b w:val="0"/>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3" w15:restartNumberingAfterBreak="0">
    <w:nsid w:val="08764111"/>
    <w:multiLevelType w:val="hybridMultilevel"/>
    <w:tmpl w:val="F7E81D32"/>
    <w:lvl w:ilvl="0" w:tplc="AAFABDA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A343C4"/>
    <w:multiLevelType w:val="hybridMultilevel"/>
    <w:tmpl w:val="40B4C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5C28D5"/>
    <w:multiLevelType w:val="hybridMultilevel"/>
    <w:tmpl w:val="42DED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41793D"/>
    <w:multiLevelType w:val="hybridMultilevel"/>
    <w:tmpl w:val="D5D600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9E5454"/>
    <w:multiLevelType w:val="hybridMultilevel"/>
    <w:tmpl w:val="45BA6832"/>
    <w:lvl w:ilvl="0" w:tplc="846A67EA">
      <w:start w:val="1"/>
      <w:numFmt w:val="decimal"/>
      <w:lvlText w:val="%1."/>
      <w:lvlJc w:val="left"/>
      <w:pPr>
        <w:ind w:left="644" w:hanging="360"/>
      </w:pPr>
      <w:rPr>
        <w:rFonts w:ascii="Univers" w:hAnsi="Univers" w:hint="default"/>
        <w:b/>
        <w:sz w:val="20"/>
        <w:szCs w:val="20"/>
      </w:rPr>
    </w:lvl>
    <w:lvl w:ilvl="1" w:tplc="080A0019">
      <w:start w:val="1"/>
      <w:numFmt w:val="lowerLetter"/>
      <w:lvlText w:val="%2."/>
      <w:lvlJc w:val="left"/>
      <w:pPr>
        <w:ind w:left="-3238" w:hanging="360"/>
      </w:pPr>
    </w:lvl>
    <w:lvl w:ilvl="2" w:tplc="FEC0A69A">
      <w:start w:val="1"/>
      <w:numFmt w:val="lowerLetter"/>
      <w:lvlText w:val="%3)"/>
      <w:lvlJc w:val="left"/>
      <w:pPr>
        <w:ind w:left="-2338" w:hanging="360"/>
      </w:pPr>
      <w:rPr>
        <w:rFonts w:hint="default"/>
      </w:rPr>
    </w:lvl>
    <w:lvl w:ilvl="3" w:tplc="080A000F" w:tentative="1">
      <w:start w:val="1"/>
      <w:numFmt w:val="decimal"/>
      <w:lvlText w:val="%4."/>
      <w:lvlJc w:val="left"/>
      <w:pPr>
        <w:ind w:left="-1798" w:hanging="360"/>
      </w:pPr>
    </w:lvl>
    <w:lvl w:ilvl="4" w:tplc="080A0019" w:tentative="1">
      <w:start w:val="1"/>
      <w:numFmt w:val="lowerLetter"/>
      <w:lvlText w:val="%5."/>
      <w:lvlJc w:val="left"/>
      <w:pPr>
        <w:ind w:left="-1078" w:hanging="360"/>
      </w:pPr>
    </w:lvl>
    <w:lvl w:ilvl="5" w:tplc="080A001B" w:tentative="1">
      <w:start w:val="1"/>
      <w:numFmt w:val="lowerRoman"/>
      <w:lvlText w:val="%6."/>
      <w:lvlJc w:val="right"/>
      <w:pPr>
        <w:ind w:left="-358" w:hanging="180"/>
      </w:pPr>
    </w:lvl>
    <w:lvl w:ilvl="6" w:tplc="080A000F" w:tentative="1">
      <w:start w:val="1"/>
      <w:numFmt w:val="decimal"/>
      <w:lvlText w:val="%7."/>
      <w:lvlJc w:val="left"/>
      <w:pPr>
        <w:ind w:left="362" w:hanging="360"/>
      </w:pPr>
    </w:lvl>
    <w:lvl w:ilvl="7" w:tplc="080A0019" w:tentative="1">
      <w:start w:val="1"/>
      <w:numFmt w:val="lowerLetter"/>
      <w:lvlText w:val="%8."/>
      <w:lvlJc w:val="left"/>
      <w:pPr>
        <w:ind w:left="1082" w:hanging="360"/>
      </w:pPr>
    </w:lvl>
    <w:lvl w:ilvl="8" w:tplc="080A001B" w:tentative="1">
      <w:start w:val="1"/>
      <w:numFmt w:val="lowerRoman"/>
      <w:lvlText w:val="%9."/>
      <w:lvlJc w:val="right"/>
      <w:pPr>
        <w:ind w:left="1802" w:hanging="180"/>
      </w:pPr>
    </w:lvl>
  </w:abstractNum>
  <w:abstractNum w:abstractNumId="8" w15:restartNumberingAfterBreak="0">
    <w:nsid w:val="29F266C7"/>
    <w:multiLevelType w:val="hybridMultilevel"/>
    <w:tmpl w:val="4D427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6B4915"/>
    <w:multiLevelType w:val="hybridMultilevel"/>
    <w:tmpl w:val="BDDAE39C"/>
    <w:lvl w:ilvl="0" w:tplc="080A0001">
      <w:start w:val="1"/>
      <w:numFmt w:val="bullet"/>
      <w:lvlText w:val=""/>
      <w:lvlJc w:val="left"/>
      <w:pPr>
        <w:ind w:left="791" w:hanging="360"/>
      </w:pPr>
      <w:rPr>
        <w:rFonts w:ascii="Symbol" w:hAnsi="Symbol"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10" w15:restartNumberingAfterBreak="0">
    <w:nsid w:val="2DC35003"/>
    <w:multiLevelType w:val="hybridMultilevel"/>
    <w:tmpl w:val="87B49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145AA5"/>
    <w:multiLevelType w:val="hybridMultilevel"/>
    <w:tmpl w:val="4126B4EE"/>
    <w:lvl w:ilvl="0" w:tplc="E272E82A">
      <w:start w:val="1"/>
      <w:numFmt w:val="decimal"/>
      <w:lvlText w:val="%1"/>
      <w:lvlJc w:val="left"/>
      <w:pPr>
        <w:ind w:left="360" w:hanging="360"/>
      </w:pPr>
      <w:rPr>
        <w:rFonts w:hint="default"/>
        <w:b w:val="0"/>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C6235B"/>
    <w:multiLevelType w:val="hybridMultilevel"/>
    <w:tmpl w:val="11C4F4C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2963EB"/>
    <w:multiLevelType w:val="hybridMultilevel"/>
    <w:tmpl w:val="D82A7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F03C1F"/>
    <w:multiLevelType w:val="hybridMultilevel"/>
    <w:tmpl w:val="76BEF1D6"/>
    <w:lvl w:ilvl="0" w:tplc="5DD088B6">
      <w:start w:val="1"/>
      <w:numFmt w:val="decimal"/>
      <w:lvlText w:val="%1."/>
      <w:lvlJc w:val="left"/>
      <w:pPr>
        <w:ind w:left="720" w:hanging="360"/>
      </w:pPr>
      <w:rPr>
        <w:b w:val="0"/>
        <w:bCs w:val="0"/>
        <w:sz w:val="18"/>
        <w:szCs w:val="18"/>
        <w:lang w:val="es-MX"/>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641674C"/>
    <w:multiLevelType w:val="hybridMultilevel"/>
    <w:tmpl w:val="5BAEA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EE002C"/>
    <w:multiLevelType w:val="hybridMultilevel"/>
    <w:tmpl w:val="5F90985E"/>
    <w:lvl w:ilvl="0" w:tplc="EC08A7BC">
      <w:start w:val="1"/>
      <w:numFmt w:val="lowerLetter"/>
      <w:lvlText w:val="%1)"/>
      <w:lvlJc w:val="left"/>
      <w:pPr>
        <w:ind w:left="720" w:hanging="360"/>
      </w:pPr>
      <w:rPr>
        <w:b/>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083CA8"/>
    <w:multiLevelType w:val="hybridMultilevel"/>
    <w:tmpl w:val="130CFBB0"/>
    <w:lvl w:ilvl="0" w:tplc="579C7A28">
      <w:start w:val="1"/>
      <w:numFmt w:val="decimal"/>
      <w:lvlText w:val="%1."/>
      <w:lvlJc w:val="left"/>
      <w:pPr>
        <w:ind w:left="502" w:hanging="360"/>
      </w:pPr>
      <w:rPr>
        <w:b/>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5234531"/>
    <w:multiLevelType w:val="hybridMultilevel"/>
    <w:tmpl w:val="2AC416AE"/>
    <w:lvl w:ilvl="0" w:tplc="2116A5E0">
      <w:start w:val="6"/>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 w15:restartNumberingAfterBreak="0">
    <w:nsid w:val="74EA0489"/>
    <w:multiLevelType w:val="hybridMultilevel"/>
    <w:tmpl w:val="709EC776"/>
    <w:lvl w:ilvl="0" w:tplc="705C14BE">
      <w:start w:val="1"/>
      <w:numFmt w:val="decimal"/>
      <w:pStyle w:val="numerados"/>
      <w:lvlText w:val="%1."/>
      <w:lvlJc w:val="left"/>
      <w:pPr>
        <w:ind w:left="502" w:hanging="360"/>
      </w:pPr>
      <w:rPr>
        <w:rFonts w:hint="default"/>
        <w:b/>
        <w:sz w:val="28"/>
        <w:szCs w:val="28"/>
      </w:rPr>
    </w:lvl>
    <w:lvl w:ilvl="1" w:tplc="E51E34C0">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8B46918"/>
    <w:multiLevelType w:val="hybridMultilevel"/>
    <w:tmpl w:val="02D040B8"/>
    <w:lvl w:ilvl="0" w:tplc="483CB5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555926"/>
    <w:multiLevelType w:val="hybridMultilevel"/>
    <w:tmpl w:val="BE26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0"/>
  </w:num>
  <w:num w:numId="4">
    <w:abstractNumId w:val="19"/>
  </w:num>
  <w:num w:numId="5">
    <w:abstractNumId w:val="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12"/>
  </w:num>
  <w:num w:numId="10">
    <w:abstractNumId w:val="9"/>
  </w:num>
  <w:num w:numId="11">
    <w:abstractNumId w:val="4"/>
  </w:num>
  <w:num w:numId="12">
    <w:abstractNumId w:val="14"/>
  </w:num>
  <w:num w:numId="13">
    <w:abstractNumId w:val="10"/>
  </w:num>
  <w:num w:numId="14">
    <w:abstractNumId w:val="6"/>
  </w:num>
  <w:num w:numId="15">
    <w:abstractNumId w:val="21"/>
  </w:num>
  <w:num w:numId="16">
    <w:abstractNumId w:val="0"/>
  </w:num>
  <w:num w:numId="17">
    <w:abstractNumId w:val="15"/>
  </w:num>
  <w:num w:numId="18">
    <w:abstractNumId w:val="8"/>
  </w:num>
  <w:num w:numId="19">
    <w:abstractNumId w:val="11"/>
  </w:num>
  <w:num w:numId="20">
    <w:abstractNumId w:val="13"/>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45"/>
    <w:rsid w:val="0000044E"/>
    <w:rsid w:val="00000B53"/>
    <w:rsid w:val="00003EE5"/>
    <w:rsid w:val="000042EF"/>
    <w:rsid w:val="00004AA7"/>
    <w:rsid w:val="00005520"/>
    <w:rsid w:val="00005716"/>
    <w:rsid w:val="00007E88"/>
    <w:rsid w:val="00011070"/>
    <w:rsid w:val="0001223A"/>
    <w:rsid w:val="00012C1D"/>
    <w:rsid w:val="00013763"/>
    <w:rsid w:val="0001405B"/>
    <w:rsid w:val="0001599A"/>
    <w:rsid w:val="0001640C"/>
    <w:rsid w:val="00017F89"/>
    <w:rsid w:val="00021263"/>
    <w:rsid w:val="00021460"/>
    <w:rsid w:val="00021692"/>
    <w:rsid w:val="00021807"/>
    <w:rsid w:val="000228EA"/>
    <w:rsid w:val="00024C52"/>
    <w:rsid w:val="000264D8"/>
    <w:rsid w:val="00026F94"/>
    <w:rsid w:val="00027159"/>
    <w:rsid w:val="00027230"/>
    <w:rsid w:val="00027CC0"/>
    <w:rsid w:val="00027D9E"/>
    <w:rsid w:val="0003159F"/>
    <w:rsid w:val="000316B8"/>
    <w:rsid w:val="00032232"/>
    <w:rsid w:val="000327E0"/>
    <w:rsid w:val="00032B14"/>
    <w:rsid w:val="00033100"/>
    <w:rsid w:val="00034584"/>
    <w:rsid w:val="00034F62"/>
    <w:rsid w:val="0003512B"/>
    <w:rsid w:val="000354BA"/>
    <w:rsid w:val="000356D0"/>
    <w:rsid w:val="00036139"/>
    <w:rsid w:val="00040181"/>
    <w:rsid w:val="00040A37"/>
    <w:rsid w:val="00041315"/>
    <w:rsid w:val="00041CB0"/>
    <w:rsid w:val="00042596"/>
    <w:rsid w:val="00042AB1"/>
    <w:rsid w:val="00044850"/>
    <w:rsid w:val="00044D9B"/>
    <w:rsid w:val="0004607E"/>
    <w:rsid w:val="000469B3"/>
    <w:rsid w:val="00050958"/>
    <w:rsid w:val="0005209E"/>
    <w:rsid w:val="00052106"/>
    <w:rsid w:val="00052F0E"/>
    <w:rsid w:val="0005303D"/>
    <w:rsid w:val="0005355F"/>
    <w:rsid w:val="0005370B"/>
    <w:rsid w:val="000539C9"/>
    <w:rsid w:val="000562E9"/>
    <w:rsid w:val="00057320"/>
    <w:rsid w:val="00057C36"/>
    <w:rsid w:val="00060213"/>
    <w:rsid w:val="00060F0F"/>
    <w:rsid w:val="00061408"/>
    <w:rsid w:val="00061E03"/>
    <w:rsid w:val="00063857"/>
    <w:rsid w:val="00064BA4"/>
    <w:rsid w:val="00070D1D"/>
    <w:rsid w:val="00071A9C"/>
    <w:rsid w:val="000748AB"/>
    <w:rsid w:val="00074E00"/>
    <w:rsid w:val="00074F2E"/>
    <w:rsid w:val="000752A4"/>
    <w:rsid w:val="00075895"/>
    <w:rsid w:val="00076BA4"/>
    <w:rsid w:val="00076ECA"/>
    <w:rsid w:val="00081971"/>
    <w:rsid w:val="000840BE"/>
    <w:rsid w:val="000866E0"/>
    <w:rsid w:val="00087DE1"/>
    <w:rsid w:val="00087E88"/>
    <w:rsid w:val="000906B6"/>
    <w:rsid w:val="00091645"/>
    <w:rsid w:val="00092A55"/>
    <w:rsid w:val="0009485C"/>
    <w:rsid w:val="0009668B"/>
    <w:rsid w:val="00097C5E"/>
    <w:rsid w:val="000A0750"/>
    <w:rsid w:val="000A2208"/>
    <w:rsid w:val="000A2BBB"/>
    <w:rsid w:val="000A3850"/>
    <w:rsid w:val="000A48B6"/>
    <w:rsid w:val="000A4963"/>
    <w:rsid w:val="000A5D36"/>
    <w:rsid w:val="000A63BC"/>
    <w:rsid w:val="000A6C4B"/>
    <w:rsid w:val="000B228C"/>
    <w:rsid w:val="000B2A4A"/>
    <w:rsid w:val="000B415D"/>
    <w:rsid w:val="000B4977"/>
    <w:rsid w:val="000B4C3C"/>
    <w:rsid w:val="000B5631"/>
    <w:rsid w:val="000B5732"/>
    <w:rsid w:val="000B60F0"/>
    <w:rsid w:val="000B6A65"/>
    <w:rsid w:val="000B7161"/>
    <w:rsid w:val="000B7D4F"/>
    <w:rsid w:val="000C1F49"/>
    <w:rsid w:val="000C383B"/>
    <w:rsid w:val="000C3D1E"/>
    <w:rsid w:val="000C517C"/>
    <w:rsid w:val="000C5BDB"/>
    <w:rsid w:val="000C77B3"/>
    <w:rsid w:val="000C7D19"/>
    <w:rsid w:val="000D0067"/>
    <w:rsid w:val="000D06E9"/>
    <w:rsid w:val="000D077A"/>
    <w:rsid w:val="000D0B19"/>
    <w:rsid w:val="000D10CB"/>
    <w:rsid w:val="000D17A2"/>
    <w:rsid w:val="000D257D"/>
    <w:rsid w:val="000D2D72"/>
    <w:rsid w:val="000D2DFD"/>
    <w:rsid w:val="000D33B0"/>
    <w:rsid w:val="000D3D62"/>
    <w:rsid w:val="000D4A7D"/>
    <w:rsid w:val="000D5554"/>
    <w:rsid w:val="000D6819"/>
    <w:rsid w:val="000D687B"/>
    <w:rsid w:val="000D77CF"/>
    <w:rsid w:val="000E0DA3"/>
    <w:rsid w:val="000E0EEC"/>
    <w:rsid w:val="000E2184"/>
    <w:rsid w:val="000E2839"/>
    <w:rsid w:val="000E2ED6"/>
    <w:rsid w:val="000E34D4"/>
    <w:rsid w:val="000E3EC1"/>
    <w:rsid w:val="000E4976"/>
    <w:rsid w:val="000E577A"/>
    <w:rsid w:val="000E666B"/>
    <w:rsid w:val="000E74A7"/>
    <w:rsid w:val="000E7896"/>
    <w:rsid w:val="000F22CB"/>
    <w:rsid w:val="000F3C8B"/>
    <w:rsid w:val="000F49CC"/>
    <w:rsid w:val="000F4A3C"/>
    <w:rsid w:val="000F6458"/>
    <w:rsid w:val="000F6C93"/>
    <w:rsid w:val="000F7D4A"/>
    <w:rsid w:val="00101034"/>
    <w:rsid w:val="001047A6"/>
    <w:rsid w:val="001048EC"/>
    <w:rsid w:val="00104E41"/>
    <w:rsid w:val="00106B4F"/>
    <w:rsid w:val="001078AF"/>
    <w:rsid w:val="0011066B"/>
    <w:rsid w:val="0011295A"/>
    <w:rsid w:val="00112C47"/>
    <w:rsid w:val="00113677"/>
    <w:rsid w:val="001138AE"/>
    <w:rsid w:val="001153F8"/>
    <w:rsid w:val="001158F4"/>
    <w:rsid w:val="00115B58"/>
    <w:rsid w:val="001176BF"/>
    <w:rsid w:val="0011780F"/>
    <w:rsid w:val="00117D3E"/>
    <w:rsid w:val="001209C8"/>
    <w:rsid w:val="00121623"/>
    <w:rsid w:val="00123204"/>
    <w:rsid w:val="0012361E"/>
    <w:rsid w:val="00123E6F"/>
    <w:rsid w:val="00124462"/>
    <w:rsid w:val="00125980"/>
    <w:rsid w:val="00125C6A"/>
    <w:rsid w:val="00125D52"/>
    <w:rsid w:val="001265A5"/>
    <w:rsid w:val="00133057"/>
    <w:rsid w:val="0013344C"/>
    <w:rsid w:val="001337CD"/>
    <w:rsid w:val="00133C8E"/>
    <w:rsid w:val="001343C8"/>
    <w:rsid w:val="00137721"/>
    <w:rsid w:val="00140102"/>
    <w:rsid w:val="001410DA"/>
    <w:rsid w:val="001426B8"/>
    <w:rsid w:val="00143738"/>
    <w:rsid w:val="00144437"/>
    <w:rsid w:val="00144793"/>
    <w:rsid w:val="00145174"/>
    <w:rsid w:val="0014524A"/>
    <w:rsid w:val="00146BDC"/>
    <w:rsid w:val="00147370"/>
    <w:rsid w:val="00150956"/>
    <w:rsid w:val="0015286B"/>
    <w:rsid w:val="00152A2B"/>
    <w:rsid w:val="00152C86"/>
    <w:rsid w:val="0015303D"/>
    <w:rsid w:val="001537AF"/>
    <w:rsid w:val="00154CF6"/>
    <w:rsid w:val="00155F24"/>
    <w:rsid w:val="00160A8D"/>
    <w:rsid w:val="00161C2F"/>
    <w:rsid w:val="00162A2D"/>
    <w:rsid w:val="00163330"/>
    <w:rsid w:val="0016793B"/>
    <w:rsid w:val="00167A85"/>
    <w:rsid w:val="00167C12"/>
    <w:rsid w:val="00170325"/>
    <w:rsid w:val="0017055A"/>
    <w:rsid w:val="00170E1D"/>
    <w:rsid w:val="00171CDE"/>
    <w:rsid w:val="0017462B"/>
    <w:rsid w:val="00175381"/>
    <w:rsid w:val="00176416"/>
    <w:rsid w:val="00177E5C"/>
    <w:rsid w:val="0018035E"/>
    <w:rsid w:val="00181377"/>
    <w:rsid w:val="00181FE5"/>
    <w:rsid w:val="00182AFD"/>
    <w:rsid w:val="00182E2E"/>
    <w:rsid w:val="0018434E"/>
    <w:rsid w:val="00184C2E"/>
    <w:rsid w:val="00184CBD"/>
    <w:rsid w:val="00185564"/>
    <w:rsid w:val="00186FFD"/>
    <w:rsid w:val="001878BD"/>
    <w:rsid w:val="001915F0"/>
    <w:rsid w:val="00191696"/>
    <w:rsid w:val="00191EC1"/>
    <w:rsid w:val="001925F0"/>
    <w:rsid w:val="0019288B"/>
    <w:rsid w:val="00196185"/>
    <w:rsid w:val="00196276"/>
    <w:rsid w:val="0019684A"/>
    <w:rsid w:val="00196D78"/>
    <w:rsid w:val="001977BD"/>
    <w:rsid w:val="00197AC5"/>
    <w:rsid w:val="001A0218"/>
    <w:rsid w:val="001A063C"/>
    <w:rsid w:val="001A1008"/>
    <w:rsid w:val="001A172C"/>
    <w:rsid w:val="001A1817"/>
    <w:rsid w:val="001A2957"/>
    <w:rsid w:val="001A533A"/>
    <w:rsid w:val="001A58A3"/>
    <w:rsid w:val="001A5F3E"/>
    <w:rsid w:val="001A6544"/>
    <w:rsid w:val="001A7E4F"/>
    <w:rsid w:val="001A7E7A"/>
    <w:rsid w:val="001B0B7C"/>
    <w:rsid w:val="001B0F3E"/>
    <w:rsid w:val="001B1E10"/>
    <w:rsid w:val="001B3565"/>
    <w:rsid w:val="001B431D"/>
    <w:rsid w:val="001C0437"/>
    <w:rsid w:val="001C095C"/>
    <w:rsid w:val="001C19C7"/>
    <w:rsid w:val="001C1F4B"/>
    <w:rsid w:val="001C29DB"/>
    <w:rsid w:val="001C2A3D"/>
    <w:rsid w:val="001C31CA"/>
    <w:rsid w:val="001C41CA"/>
    <w:rsid w:val="001C6A95"/>
    <w:rsid w:val="001D026D"/>
    <w:rsid w:val="001D0D9F"/>
    <w:rsid w:val="001D19E5"/>
    <w:rsid w:val="001D582D"/>
    <w:rsid w:val="001D7207"/>
    <w:rsid w:val="001D73AE"/>
    <w:rsid w:val="001E0628"/>
    <w:rsid w:val="001E0F52"/>
    <w:rsid w:val="001E157D"/>
    <w:rsid w:val="001E24AE"/>
    <w:rsid w:val="001E4802"/>
    <w:rsid w:val="001E6B26"/>
    <w:rsid w:val="001E7B71"/>
    <w:rsid w:val="001F0E0C"/>
    <w:rsid w:val="001F2231"/>
    <w:rsid w:val="001F4FD7"/>
    <w:rsid w:val="001F5067"/>
    <w:rsid w:val="001F57EB"/>
    <w:rsid w:val="001F5E0C"/>
    <w:rsid w:val="001F7F46"/>
    <w:rsid w:val="00200D13"/>
    <w:rsid w:val="00200F1C"/>
    <w:rsid w:val="00201EB3"/>
    <w:rsid w:val="00202A2B"/>
    <w:rsid w:val="00202ADC"/>
    <w:rsid w:val="00202AE0"/>
    <w:rsid w:val="00205B2E"/>
    <w:rsid w:val="002072C9"/>
    <w:rsid w:val="002077E1"/>
    <w:rsid w:val="00211790"/>
    <w:rsid w:val="00211F16"/>
    <w:rsid w:val="00212338"/>
    <w:rsid w:val="0021243F"/>
    <w:rsid w:val="00214DE9"/>
    <w:rsid w:val="002159F4"/>
    <w:rsid w:val="002164DF"/>
    <w:rsid w:val="00216B53"/>
    <w:rsid w:val="00216C89"/>
    <w:rsid w:val="00217097"/>
    <w:rsid w:val="00217EB3"/>
    <w:rsid w:val="00220062"/>
    <w:rsid w:val="00220688"/>
    <w:rsid w:val="00221166"/>
    <w:rsid w:val="002234C8"/>
    <w:rsid w:val="002238AB"/>
    <w:rsid w:val="00224D7D"/>
    <w:rsid w:val="002256E6"/>
    <w:rsid w:val="00225B04"/>
    <w:rsid w:val="00226751"/>
    <w:rsid w:val="00226786"/>
    <w:rsid w:val="00227296"/>
    <w:rsid w:val="00227E12"/>
    <w:rsid w:val="0023011C"/>
    <w:rsid w:val="002313D1"/>
    <w:rsid w:val="002321CC"/>
    <w:rsid w:val="00232228"/>
    <w:rsid w:val="00232369"/>
    <w:rsid w:val="002347E4"/>
    <w:rsid w:val="00234AE8"/>
    <w:rsid w:val="002351D4"/>
    <w:rsid w:val="00235828"/>
    <w:rsid w:val="002365D7"/>
    <w:rsid w:val="00236832"/>
    <w:rsid w:val="00236B65"/>
    <w:rsid w:val="002371F0"/>
    <w:rsid w:val="002378CB"/>
    <w:rsid w:val="002404BA"/>
    <w:rsid w:val="00241A40"/>
    <w:rsid w:val="00242370"/>
    <w:rsid w:val="00243554"/>
    <w:rsid w:val="00244ACE"/>
    <w:rsid w:val="00244D6F"/>
    <w:rsid w:val="00244E20"/>
    <w:rsid w:val="002455B7"/>
    <w:rsid w:val="002460BE"/>
    <w:rsid w:val="00246D01"/>
    <w:rsid w:val="00246F18"/>
    <w:rsid w:val="002472A0"/>
    <w:rsid w:val="00247A9D"/>
    <w:rsid w:val="002508B3"/>
    <w:rsid w:val="002514CD"/>
    <w:rsid w:val="0025350A"/>
    <w:rsid w:val="002536DA"/>
    <w:rsid w:val="002543A7"/>
    <w:rsid w:val="00256053"/>
    <w:rsid w:val="0025721C"/>
    <w:rsid w:val="00257825"/>
    <w:rsid w:val="00257FC1"/>
    <w:rsid w:val="00260888"/>
    <w:rsid w:val="00261098"/>
    <w:rsid w:val="00262454"/>
    <w:rsid w:val="00262819"/>
    <w:rsid w:val="00263CCC"/>
    <w:rsid w:val="002648A7"/>
    <w:rsid w:val="00266141"/>
    <w:rsid w:val="0026623A"/>
    <w:rsid w:val="00267585"/>
    <w:rsid w:val="002677AC"/>
    <w:rsid w:val="00270456"/>
    <w:rsid w:val="0027143F"/>
    <w:rsid w:val="0027157E"/>
    <w:rsid w:val="002715A2"/>
    <w:rsid w:val="00272243"/>
    <w:rsid w:val="00273B6A"/>
    <w:rsid w:val="00273FB6"/>
    <w:rsid w:val="00275D2A"/>
    <w:rsid w:val="0028010A"/>
    <w:rsid w:val="0028043D"/>
    <w:rsid w:val="00280FF6"/>
    <w:rsid w:val="002845CE"/>
    <w:rsid w:val="0028494E"/>
    <w:rsid w:val="00285905"/>
    <w:rsid w:val="002873E8"/>
    <w:rsid w:val="00287CC9"/>
    <w:rsid w:val="00291777"/>
    <w:rsid w:val="0029208C"/>
    <w:rsid w:val="00293663"/>
    <w:rsid w:val="00294575"/>
    <w:rsid w:val="002960E1"/>
    <w:rsid w:val="002975D1"/>
    <w:rsid w:val="002A035F"/>
    <w:rsid w:val="002A0FF3"/>
    <w:rsid w:val="002A28C5"/>
    <w:rsid w:val="002A2AC6"/>
    <w:rsid w:val="002A2C2E"/>
    <w:rsid w:val="002A4245"/>
    <w:rsid w:val="002A4835"/>
    <w:rsid w:val="002A55FE"/>
    <w:rsid w:val="002A7312"/>
    <w:rsid w:val="002A794E"/>
    <w:rsid w:val="002A79EA"/>
    <w:rsid w:val="002B2C4C"/>
    <w:rsid w:val="002B2FBA"/>
    <w:rsid w:val="002B2FD6"/>
    <w:rsid w:val="002B3415"/>
    <w:rsid w:val="002B53DA"/>
    <w:rsid w:val="002B64BA"/>
    <w:rsid w:val="002C0065"/>
    <w:rsid w:val="002C0121"/>
    <w:rsid w:val="002C0F03"/>
    <w:rsid w:val="002C1AD4"/>
    <w:rsid w:val="002C34FF"/>
    <w:rsid w:val="002C4D38"/>
    <w:rsid w:val="002C516B"/>
    <w:rsid w:val="002D06B6"/>
    <w:rsid w:val="002D0DB6"/>
    <w:rsid w:val="002D1733"/>
    <w:rsid w:val="002D24C5"/>
    <w:rsid w:val="002D2884"/>
    <w:rsid w:val="002D28B8"/>
    <w:rsid w:val="002D2FCE"/>
    <w:rsid w:val="002D504F"/>
    <w:rsid w:val="002D5925"/>
    <w:rsid w:val="002D7CEE"/>
    <w:rsid w:val="002E1207"/>
    <w:rsid w:val="002E2EE2"/>
    <w:rsid w:val="002E2FC4"/>
    <w:rsid w:val="002E45E9"/>
    <w:rsid w:val="002E4E2A"/>
    <w:rsid w:val="002E515E"/>
    <w:rsid w:val="002E5949"/>
    <w:rsid w:val="002E5B40"/>
    <w:rsid w:val="002E6A41"/>
    <w:rsid w:val="002E7775"/>
    <w:rsid w:val="002E7CE9"/>
    <w:rsid w:val="002F1BDC"/>
    <w:rsid w:val="002F4ED5"/>
    <w:rsid w:val="002F5485"/>
    <w:rsid w:val="002F63B8"/>
    <w:rsid w:val="003009B9"/>
    <w:rsid w:val="003018C8"/>
    <w:rsid w:val="00301B79"/>
    <w:rsid w:val="00301C5A"/>
    <w:rsid w:val="00301FEA"/>
    <w:rsid w:val="0030235D"/>
    <w:rsid w:val="00304267"/>
    <w:rsid w:val="00306961"/>
    <w:rsid w:val="00307A13"/>
    <w:rsid w:val="0031143A"/>
    <w:rsid w:val="0031420D"/>
    <w:rsid w:val="003142BC"/>
    <w:rsid w:val="00315D06"/>
    <w:rsid w:val="00315F5A"/>
    <w:rsid w:val="003179EB"/>
    <w:rsid w:val="00317E5C"/>
    <w:rsid w:val="0032152D"/>
    <w:rsid w:val="003217E4"/>
    <w:rsid w:val="00321C8A"/>
    <w:rsid w:val="00322627"/>
    <w:rsid w:val="00322A00"/>
    <w:rsid w:val="00323385"/>
    <w:rsid w:val="003234D4"/>
    <w:rsid w:val="003279D1"/>
    <w:rsid w:val="003300A6"/>
    <w:rsid w:val="00330F6D"/>
    <w:rsid w:val="00331787"/>
    <w:rsid w:val="0033467F"/>
    <w:rsid w:val="00334E9E"/>
    <w:rsid w:val="003359E5"/>
    <w:rsid w:val="00336332"/>
    <w:rsid w:val="003363B5"/>
    <w:rsid w:val="00340C9B"/>
    <w:rsid w:val="00341A4A"/>
    <w:rsid w:val="003423E6"/>
    <w:rsid w:val="003425DF"/>
    <w:rsid w:val="0034263E"/>
    <w:rsid w:val="00342B03"/>
    <w:rsid w:val="0034399C"/>
    <w:rsid w:val="003451A6"/>
    <w:rsid w:val="00345CD5"/>
    <w:rsid w:val="00346F9E"/>
    <w:rsid w:val="00347A33"/>
    <w:rsid w:val="00347F18"/>
    <w:rsid w:val="00350C15"/>
    <w:rsid w:val="00351E1B"/>
    <w:rsid w:val="0035303D"/>
    <w:rsid w:val="003531F4"/>
    <w:rsid w:val="003534D5"/>
    <w:rsid w:val="00355510"/>
    <w:rsid w:val="0035570B"/>
    <w:rsid w:val="003562F8"/>
    <w:rsid w:val="003563E7"/>
    <w:rsid w:val="003604F7"/>
    <w:rsid w:val="00360C20"/>
    <w:rsid w:val="00361D4F"/>
    <w:rsid w:val="00362154"/>
    <w:rsid w:val="003622C8"/>
    <w:rsid w:val="00363E14"/>
    <w:rsid w:val="003665B1"/>
    <w:rsid w:val="003669B2"/>
    <w:rsid w:val="00367574"/>
    <w:rsid w:val="00370705"/>
    <w:rsid w:val="00371815"/>
    <w:rsid w:val="00371D82"/>
    <w:rsid w:val="00371EBB"/>
    <w:rsid w:val="003722D0"/>
    <w:rsid w:val="003735ED"/>
    <w:rsid w:val="0037360F"/>
    <w:rsid w:val="0037405D"/>
    <w:rsid w:val="00374BE7"/>
    <w:rsid w:val="00375DB6"/>
    <w:rsid w:val="00375E13"/>
    <w:rsid w:val="00376123"/>
    <w:rsid w:val="003761B6"/>
    <w:rsid w:val="003767BF"/>
    <w:rsid w:val="00377DD6"/>
    <w:rsid w:val="00380B99"/>
    <w:rsid w:val="00380CFA"/>
    <w:rsid w:val="0038175B"/>
    <w:rsid w:val="00382CBC"/>
    <w:rsid w:val="00382D0A"/>
    <w:rsid w:val="00383AC7"/>
    <w:rsid w:val="003843C6"/>
    <w:rsid w:val="00385A53"/>
    <w:rsid w:val="003863E7"/>
    <w:rsid w:val="00386E34"/>
    <w:rsid w:val="003878FD"/>
    <w:rsid w:val="0039046A"/>
    <w:rsid w:val="00392829"/>
    <w:rsid w:val="00392F53"/>
    <w:rsid w:val="003941C8"/>
    <w:rsid w:val="003949F6"/>
    <w:rsid w:val="00394AE9"/>
    <w:rsid w:val="00394DCF"/>
    <w:rsid w:val="00395254"/>
    <w:rsid w:val="00397F37"/>
    <w:rsid w:val="003A0F5D"/>
    <w:rsid w:val="003A0F83"/>
    <w:rsid w:val="003A25CA"/>
    <w:rsid w:val="003A28AE"/>
    <w:rsid w:val="003A2D6C"/>
    <w:rsid w:val="003A312E"/>
    <w:rsid w:val="003A3616"/>
    <w:rsid w:val="003A3873"/>
    <w:rsid w:val="003A3C3F"/>
    <w:rsid w:val="003A4F1D"/>
    <w:rsid w:val="003A6E78"/>
    <w:rsid w:val="003B0AB2"/>
    <w:rsid w:val="003B0E36"/>
    <w:rsid w:val="003B111F"/>
    <w:rsid w:val="003B1EFD"/>
    <w:rsid w:val="003B2B45"/>
    <w:rsid w:val="003B39DD"/>
    <w:rsid w:val="003B474A"/>
    <w:rsid w:val="003B4C17"/>
    <w:rsid w:val="003B58D1"/>
    <w:rsid w:val="003B5A72"/>
    <w:rsid w:val="003B5AC5"/>
    <w:rsid w:val="003B742F"/>
    <w:rsid w:val="003C0A55"/>
    <w:rsid w:val="003C2448"/>
    <w:rsid w:val="003C2481"/>
    <w:rsid w:val="003C2C8C"/>
    <w:rsid w:val="003C6868"/>
    <w:rsid w:val="003C69EE"/>
    <w:rsid w:val="003C77D1"/>
    <w:rsid w:val="003D2CD3"/>
    <w:rsid w:val="003D6032"/>
    <w:rsid w:val="003D617C"/>
    <w:rsid w:val="003D6E92"/>
    <w:rsid w:val="003D7320"/>
    <w:rsid w:val="003E1186"/>
    <w:rsid w:val="003E1ACA"/>
    <w:rsid w:val="003E1CED"/>
    <w:rsid w:val="003E1F29"/>
    <w:rsid w:val="003E3320"/>
    <w:rsid w:val="003E35B1"/>
    <w:rsid w:val="003E41EC"/>
    <w:rsid w:val="003E49BE"/>
    <w:rsid w:val="003E5006"/>
    <w:rsid w:val="003E525F"/>
    <w:rsid w:val="003E52BB"/>
    <w:rsid w:val="003E7131"/>
    <w:rsid w:val="003E7D28"/>
    <w:rsid w:val="003F0B9A"/>
    <w:rsid w:val="003F1679"/>
    <w:rsid w:val="003F3DCE"/>
    <w:rsid w:val="003F6DD7"/>
    <w:rsid w:val="00400709"/>
    <w:rsid w:val="00404680"/>
    <w:rsid w:val="0040780A"/>
    <w:rsid w:val="00411D48"/>
    <w:rsid w:val="004121AE"/>
    <w:rsid w:val="004145BD"/>
    <w:rsid w:val="0041606B"/>
    <w:rsid w:val="004209B8"/>
    <w:rsid w:val="004215D2"/>
    <w:rsid w:val="00423EC4"/>
    <w:rsid w:val="0042649D"/>
    <w:rsid w:val="0042667E"/>
    <w:rsid w:val="00426844"/>
    <w:rsid w:val="004274D9"/>
    <w:rsid w:val="004275D4"/>
    <w:rsid w:val="00427BCC"/>
    <w:rsid w:val="00430658"/>
    <w:rsid w:val="0043101B"/>
    <w:rsid w:val="0043211B"/>
    <w:rsid w:val="00434482"/>
    <w:rsid w:val="00435619"/>
    <w:rsid w:val="004359A7"/>
    <w:rsid w:val="00436384"/>
    <w:rsid w:val="004364C2"/>
    <w:rsid w:val="00436887"/>
    <w:rsid w:val="004373D0"/>
    <w:rsid w:val="00437A97"/>
    <w:rsid w:val="0044169F"/>
    <w:rsid w:val="004417A1"/>
    <w:rsid w:val="00442916"/>
    <w:rsid w:val="0044388B"/>
    <w:rsid w:val="00443BDA"/>
    <w:rsid w:val="00444419"/>
    <w:rsid w:val="004445AC"/>
    <w:rsid w:val="00444F6E"/>
    <w:rsid w:val="0044502D"/>
    <w:rsid w:val="00445D34"/>
    <w:rsid w:val="00446475"/>
    <w:rsid w:val="004503E5"/>
    <w:rsid w:val="0045263E"/>
    <w:rsid w:val="0045293F"/>
    <w:rsid w:val="00452D08"/>
    <w:rsid w:val="00453078"/>
    <w:rsid w:val="00453C34"/>
    <w:rsid w:val="00453D41"/>
    <w:rsid w:val="0045440F"/>
    <w:rsid w:val="004559A2"/>
    <w:rsid w:val="00455C98"/>
    <w:rsid w:val="00456B21"/>
    <w:rsid w:val="004602CC"/>
    <w:rsid w:val="004614FE"/>
    <w:rsid w:val="00462464"/>
    <w:rsid w:val="0046373B"/>
    <w:rsid w:val="004643AE"/>
    <w:rsid w:val="0046504A"/>
    <w:rsid w:val="00465DF4"/>
    <w:rsid w:val="00466090"/>
    <w:rsid w:val="00467610"/>
    <w:rsid w:val="00467661"/>
    <w:rsid w:val="0047179C"/>
    <w:rsid w:val="00471C58"/>
    <w:rsid w:val="00471D8C"/>
    <w:rsid w:val="004720E8"/>
    <w:rsid w:val="004732F7"/>
    <w:rsid w:val="004739A3"/>
    <w:rsid w:val="00474697"/>
    <w:rsid w:val="004753A5"/>
    <w:rsid w:val="00475F4F"/>
    <w:rsid w:val="00477427"/>
    <w:rsid w:val="00481FAF"/>
    <w:rsid w:val="00484988"/>
    <w:rsid w:val="00484D03"/>
    <w:rsid w:val="0049008E"/>
    <w:rsid w:val="00490267"/>
    <w:rsid w:val="00490A8D"/>
    <w:rsid w:val="00490D1D"/>
    <w:rsid w:val="00492349"/>
    <w:rsid w:val="00495762"/>
    <w:rsid w:val="00496C6E"/>
    <w:rsid w:val="004A023B"/>
    <w:rsid w:val="004A2544"/>
    <w:rsid w:val="004A2EDD"/>
    <w:rsid w:val="004A3280"/>
    <w:rsid w:val="004A3CFF"/>
    <w:rsid w:val="004A401D"/>
    <w:rsid w:val="004A44EB"/>
    <w:rsid w:val="004A4E60"/>
    <w:rsid w:val="004A5584"/>
    <w:rsid w:val="004A5F83"/>
    <w:rsid w:val="004A647D"/>
    <w:rsid w:val="004A6DE7"/>
    <w:rsid w:val="004A7210"/>
    <w:rsid w:val="004A7B93"/>
    <w:rsid w:val="004B05C5"/>
    <w:rsid w:val="004B4C20"/>
    <w:rsid w:val="004B4F87"/>
    <w:rsid w:val="004B60E6"/>
    <w:rsid w:val="004C06CA"/>
    <w:rsid w:val="004C0EA9"/>
    <w:rsid w:val="004C3413"/>
    <w:rsid w:val="004C3C0E"/>
    <w:rsid w:val="004C3C6C"/>
    <w:rsid w:val="004C438C"/>
    <w:rsid w:val="004C47F7"/>
    <w:rsid w:val="004C4A92"/>
    <w:rsid w:val="004C659F"/>
    <w:rsid w:val="004C66E1"/>
    <w:rsid w:val="004C7265"/>
    <w:rsid w:val="004D235E"/>
    <w:rsid w:val="004D294C"/>
    <w:rsid w:val="004D3D61"/>
    <w:rsid w:val="004D57C9"/>
    <w:rsid w:val="004D5F2C"/>
    <w:rsid w:val="004D749B"/>
    <w:rsid w:val="004D7D2E"/>
    <w:rsid w:val="004E03E2"/>
    <w:rsid w:val="004E055E"/>
    <w:rsid w:val="004E1405"/>
    <w:rsid w:val="004E1FF9"/>
    <w:rsid w:val="004E2049"/>
    <w:rsid w:val="004E2A15"/>
    <w:rsid w:val="004E30CF"/>
    <w:rsid w:val="004E3BFA"/>
    <w:rsid w:val="004E4765"/>
    <w:rsid w:val="004E512D"/>
    <w:rsid w:val="004E60F3"/>
    <w:rsid w:val="004E7849"/>
    <w:rsid w:val="004F2165"/>
    <w:rsid w:val="004F36E4"/>
    <w:rsid w:val="004F39F3"/>
    <w:rsid w:val="004F527A"/>
    <w:rsid w:val="004F7A66"/>
    <w:rsid w:val="00500E8A"/>
    <w:rsid w:val="00500F66"/>
    <w:rsid w:val="00501A3C"/>
    <w:rsid w:val="005022FF"/>
    <w:rsid w:val="005034E6"/>
    <w:rsid w:val="00503CBE"/>
    <w:rsid w:val="00507EF2"/>
    <w:rsid w:val="00510C8C"/>
    <w:rsid w:val="005113E1"/>
    <w:rsid w:val="00512951"/>
    <w:rsid w:val="00514855"/>
    <w:rsid w:val="0051538B"/>
    <w:rsid w:val="0051575C"/>
    <w:rsid w:val="0051597A"/>
    <w:rsid w:val="00516968"/>
    <w:rsid w:val="0051738C"/>
    <w:rsid w:val="0051776D"/>
    <w:rsid w:val="005239E5"/>
    <w:rsid w:val="00523FD7"/>
    <w:rsid w:val="00524A7D"/>
    <w:rsid w:val="005252F5"/>
    <w:rsid w:val="0052562A"/>
    <w:rsid w:val="00527051"/>
    <w:rsid w:val="00531F18"/>
    <w:rsid w:val="00532DC6"/>
    <w:rsid w:val="00533299"/>
    <w:rsid w:val="0053488C"/>
    <w:rsid w:val="0053756B"/>
    <w:rsid w:val="0054027D"/>
    <w:rsid w:val="00540868"/>
    <w:rsid w:val="00540DD4"/>
    <w:rsid w:val="0054211F"/>
    <w:rsid w:val="005421C2"/>
    <w:rsid w:val="00543204"/>
    <w:rsid w:val="0054386D"/>
    <w:rsid w:val="00544191"/>
    <w:rsid w:val="00545072"/>
    <w:rsid w:val="00545759"/>
    <w:rsid w:val="00545AEB"/>
    <w:rsid w:val="00545AF4"/>
    <w:rsid w:val="00546F97"/>
    <w:rsid w:val="00547E86"/>
    <w:rsid w:val="005510F8"/>
    <w:rsid w:val="00552B6F"/>
    <w:rsid w:val="0055354E"/>
    <w:rsid w:val="00555644"/>
    <w:rsid w:val="00557097"/>
    <w:rsid w:val="005602B5"/>
    <w:rsid w:val="0056079C"/>
    <w:rsid w:val="005620B8"/>
    <w:rsid w:val="005625F4"/>
    <w:rsid w:val="0056399C"/>
    <w:rsid w:val="0056502F"/>
    <w:rsid w:val="00565124"/>
    <w:rsid w:val="0056579C"/>
    <w:rsid w:val="00566168"/>
    <w:rsid w:val="00566ADC"/>
    <w:rsid w:val="00566FC7"/>
    <w:rsid w:val="00567545"/>
    <w:rsid w:val="00571989"/>
    <w:rsid w:val="005739D5"/>
    <w:rsid w:val="005742A4"/>
    <w:rsid w:val="00574BE0"/>
    <w:rsid w:val="00574F33"/>
    <w:rsid w:val="005766E3"/>
    <w:rsid w:val="00577BA1"/>
    <w:rsid w:val="005835D7"/>
    <w:rsid w:val="00583688"/>
    <w:rsid w:val="005841DE"/>
    <w:rsid w:val="00584572"/>
    <w:rsid w:val="00584953"/>
    <w:rsid w:val="00584D1F"/>
    <w:rsid w:val="00584DEA"/>
    <w:rsid w:val="005861E4"/>
    <w:rsid w:val="00586A53"/>
    <w:rsid w:val="00586CDC"/>
    <w:rsid w:val="005876F1"/>
    <w:rsid w:val="00587EA2"/>
    <w:rsid w:val="005905C3"/>
    <w:rsid w:val="005906D2"/>
    <w:rsid w:val="005915F7"/>
    <w:rsid w:val="00591CEF"/>
    <w:rsid w:val="00592AF0"/>
    <w:rsid w:val="005936D2"/>
    <w:rsid w:val="00593DB2"/>
    <w:rsid w:val="00594376"/>
    <w:rsid w:val="00595F5C"/>
    <w:rsid w:val="005A1264"/>
    <w:rsid w:val="005A13D7"/>
    <w:rsid w:val="005A17A6"/>
    <w:rsid w:val="005A326E"/>
    <w:rsid w:val="005A3608"/>
    <w:rsid w:val="005A3D03"/>
    <w:rsid w:val="005A3E78"/>
    <w:rsid w:val="005A422F"/>
    <w:rsid w:val="005A6F6C"/>
    <w:rsid w:val="005A793F"/>
    <w:rsid w:val="005B0B28"/>
    <w:rsid w:val="005B13DC"/>
    <w:rsid w:val="005B232B"/>
    <w:rsid w:val="005B2582"/>
    <w:rsid w:val="005B3461"/>
    <w:rsid w:val="005B36D5"/>
    <w:rsid w:val="005B4E5D"/>
    <w:rsid w:val="005C0579"/>
    <w:rsid w:val="005C0D8D"/>
    <w:rsid w:val="005C1759"/>
    <w:rsid w:val="005C3020"/>
    <w:rsid w:val="005C43B1"/>
    <w:rsid w:val="005C49C2"/>
    <w:rsid w:val="005C5613"/>
    <w:rsid w:val="005C60D5"/>
    <w:rsid w:val="005C63BF"/>
    <w:rsid w:val="005C6E03"/>
    <w:rsid w:val="005D15EF"/>
    <w:rsid w:val="005D255B"/>
    <w:rsid w:val="005D28DB"/>
    <w:rsid w:val="005D2A9C"/>
    <w:rsid w:val="005D34FF"/>
    <w:rsid w:val="005D4589"/>
    <w:rsid w:val="005D46AB"/>
    <w:rsid w:val="005D4E83"/>
    <w:rsid w:val="005D4F9F"/>
    <w:rsid w:val="005D7C12"/>
    <w:rsid w:val="005E30A9"/>
    <w:rsid w:val="005E3524"/>
    <w:rsid w:val="005E418E"/>
    <w:rsid w:val="005E4CEA"/>
    <w:rsid w:val="005E5124"/>
    <w:rsid w:val="005F0690"/>
    <w:rsid w:val="005F0A3A"/>
    <w:rsid w:val="005F151B"/>
    <w:rsid w:val="005F2640"/>
    <w:rsid w:val="005F2E8D"/>
    <w:rsid w:val="005F3125"/>
    <w:rsid w:val="005F38CC"/>
    <w:rsid w:val="005F4B4F"/>
    <w:rsid w:val="005F4C53"/>
    <w:rsid w:val="005F4D8E"/>
    <w:rsid w:val="005F63C2"/>
    <w:rsid w:val="005F71F6"/>
    <w:rsid w:val="005F7529"/>
    <w:rsid w:val="005F7A24"/>
    <w:rsid w:val="005F7E43"/>
    <w:rsid w:val="00601204"/>
    <w:rsid w:val="006016C5"/>
    <w:rsid w:val="006021D5"/>
    <w:rsid w:val="00604D67"/>
    <w:rsid w:val="00605C76"/>
    <w:rsid w:val="00606597"/>
    <w:rsid w:val="00606D5B"/>
    <w:rsid w:val="006107D5"/>
    <w:rsid w:val="00610D1D"/>
    <w:rsid w:val="00610D71"/>
    <w:rsid w:val="00611191"/>
    <w:rsid w:val="006114C2"/>
    <w:rsid w:val="006118E7"/>
    <w:rsid w:val="00612943"/>
    <w:rsid w:val="0061338C"/>
    <w:rsid w:val="00613818"/>
    <w:rsid w:val="00613C1C"/>
    <w:rsid w:val="00614DF1"/>
    <w:rsid w:val="00614F4D"/>
    <w:rsid w:val="0061616F"/>
    <w:rsid w:val="0061778D"/>
    <w:rsid w:val="006205AB"/>
    <w:rsid w:val="00620B41"/>
    <w:rsid w:val="00620C55"/>
    <w:rsid w:val="0062153B"/>
    <w:rsid w:val="00621CBA"/>
    <w:rsid w:val="00622418"/>
    <w:rsid w:val="00624D27"/>
    <w:rsid w:val="006258D6"/>
    <w:rsid w:val="006259FB"/>
    <w:rsid w:val="0062626D"/>
    <w:rsid w:val="00627171"/>
    <w:rsid w:val="006276C1"/>
    <w:rsid w:val="00627E66"/>
    <w:rsid w:val="00630F40"/>
    <w:rsid w:val="00632D88"/>
    <w:rsid w:val="006338DB"/>
    <w:rsid w:val="00633984"/>
    <w:rsid w:val="00633987"/>
    <w:rsid w:val="00634B77"/>
    <w:rsid w:val="00634DC5"/>
    <w:rsid w:val="00635637"/>
    <w:rsid w:val="00635AAD"/>
    <w:rsid w:val="00635DA6"/>
    <w:rsid w:val="00637D2B"/>
    <w:rsid w:val="006402CB"/>
    <w:rsid w:val="00640D6E"/>
    <w:rsid w:val="00641BB1"/>
    <w:rsid w:val="0064247B"/>
    <w:rsid w:val="006444A7"/>
    <w:rsid w:val="00644764"/>
    <w:rsid w:val="00646D06"/>
    <w:rsid w:val="00647992"/>
    <w:rsid w:val="006500D7"/>
    <w:rsid w:val="0065096D"/>
    <w:rsid w:val="006518D8"/>
    <w:rsid w:val="00652AA9"/>
    <w:rsid w:val="006530C3"/>
    <w:rsid w:val="006541CE"/>
    <w:rsid w:val="0065451A"/>
    <w:rsid w:val="0065560C"/>
    <w:rsid w:val="00655DAB"/>
    <w:rsid w:val="006569C2"/>
    <w:rsid w:val="00656B86"/>
    <w:rsid w:val="0066002C"/>
    <w:rsid w:val="0066182E"/>
    <w:rsid w:val="006626F1"/>
    <w:rsid w:val="006656B4"/>
    <w:rsid w:val="0066706E"/>
    <w:rsid w:val="0067112C"/>
    <w:rsid w:val="00671A3F"/>
    <w:rsid w:val="00672659"/>
    <w:rsid w:val="006727D2"/>
    <w:rsid w:val="00672C5C"/>
    <w:rsid w:val="00673029"/>
    <w:rsid w:val="00673976"/>
    <w:rsid w:val="00674854"/>
    <w:rsid w:val="00674C79"/>
    <w:rsid w:val="006752B2"/>
    <w:rsid w:val="00675766"/>
    <w:rsid w:val="00676EE0"/>
    <w:rsid w:val="006778C9"/>
    <w:rsid w:val="00677BFE"/>
    <w:rsid w:val="00680444"/>
    <w:rsid w:val="00681C7A"/>
    <w:rsid w:val="00683B5D"/>
    <w:rsid w:val="00683F5F"/>
    <w:rsid w:val="0068493E"/>
    <w:rsid w:val="0068508A"/>
    <w:rsid w:val="006914FE"/>
    <w:rsid w:val="00691AAB"/>
    <w:rsid w:val="00691ED6"/>
    <w:rsid w:val="006922C8"/>
    <w:rsid w:val="00692D55"/>
    <w:rsid w:val="00693730"/>
    <w:rsid w:val="00694D2C"/>
    <w:rsid w:val="006A5EC9"/>
    <w:rsid w:val="006A6661"/>
    <w:rsid w:val="006B0E80"/>
    <w:rsid w:val="006B1DD5"/>
    <w:rsid w:val="006B21D2"/>
    <w:rsid w:val="006B284E"/>
    <w:rsid w:val="006B4B8F"/>
    <w:rsid w:val="006B5351"/>
    <w:rsid w:val="006B6B75"/>
    <w:rsid w:val="006B7A2A"/>
    <w:rsid w:val="006C1369"/>
    <w:rsid w:val="006C1C22"/>
    <w:rsid w:val="006C2719"/>
    <w:rsid w:val="006C311C"/>
    <w:rsid w:val="006C5958"/>
    <w:rsid w:val="006C5ABD"/>
    <w:rsid w:val="006C62CA"/>
    <w:rsid w:val="006C6384"/>
    <w:rsid w:val="006C6B21"/>
    <w:rsid w:val="006D226B"/>
    <w:rsid w:val="006D2916"/>
    <w:rsid w:val="006D44C6"/>
    <w:rsid w:val="006D68DD"/>
    <w:rsid w:val="006D6EF2"/>
    <w:rsid w:val="006D703C"/>
    <w:rsid w:val="006D70ED"/>
    <w:rsid w:val="006E0530"/>
    <w:rsid w:val="006E0BEA"/>
    <w:rsid w:val="006E110D"/>
    <w:rsid w:val="006E18F7"/>
    <w:rsid w:val="006E2145"/>
    <w:rsid w:val="006E2A69"/>
    <w:rsid w:val="006E332C"/>
    <w:rsid w:val="006E3DB9"/>
    <w:rsid w:val="006E4E36"/>
    <w:rsid w:val="006E5E71"/>
    <w:rsid w:val="006E6A91"/>
    <w:rsid w:val="006E7C9C"/>
    <w:rsid w:val="006E7EE7"/>
    <w:rsid w:val="006F0118"/>
    <w:rsid w:val="006F18C5"/>
    <w:rsid w:val="006F25AD"/>
    <w:rsid w:val="006F42B1"/>
    <w:rsid w:val="006F4313"/>
    <w:rsid w:val="006F5DB7"/>
    <w:rsid w:val="006F63FC"/>
    <w:rsid w:val="006F6759"/>
    <w:rsid w:val="006F6994"/>
    <w:rsid w:val="006F781D"/>
    <w:rsid w:val="006F7A5A"/>
    <w:rsid w:val="0070099F"/>
    <w:rsid w:val="007017F1"/>
    <w:rsid w:val="0070435E"/>
    <w:rsid w:val="0070582F"/>
    <w:rsid w:val="007068B1"/>
    <w:rsid w:val="0070778D"/>
    <w:rsid w:val="0071049F"/>
    <w:rsid w:val="00711D47"/>
    <w:rsid w:val="00711E7A"/>
    <w:rsid w:val="00712986"/>
    <w:rsid w:val="007137B1"/>
    <w:rsid w:val="00713CA1"/>
    <w:rsid w:val="007145BD"/>
    <w:rsid w:val="007168A3"/>
    <w:rsid w:val="0071746C"/>
    <w:rsid w:val="00720165"/>
    <w:rsid w:val="00720DBA"/>
    <w:rsid w:val="00721859"/>
    <w:rsid w:val="00721DB9"/>
    <w:rsid w:val="00723D89"/>
    <w:rsid w:val="00723E80"/>
    <w:rsid w:val="00724580"/>
    <w:rsid w:val="007247C2"/>
    <w:rsid w:val="007250AA"/>
    <w:rsid w:val="00725F96"/>
    <w:rsid w:val="00726096"/>
    <w:rsid w:val="00727A72"/>
    <w:rsid w:val="00731A1D"/>
    <w:rsid w:val="00731A81"/>
    <w:rsid w:val="00731CC7"/>
    <w:rsid w:val="00732263"/>
    <w:rsid w:val="00732D81"/>
    <w:rsid w:val="0073457B"/>
    <w:rsid w:val="00735158"/>
    <w:rsid w:val="00735ACB"/>
    <w:rsid w:val="00735C6F"/>
    <w:rsid w:val="00735E31"/>
    <w:rsid w:val="0073757C"/>
    <w:rsid w:val="00737DE6"/>
    <w:rsid w:val="0074070D"/>
    <w:rsid w:val="007413A1"/>
    <w:rsid w:val="00741B1F"/>
    <w:rsid w:val="00741B8E"/>
    <w:rsid w:val="00742099"/>
    <w:rsid w:val="00745B36"/>
    <w:rsid w:val="007479A9"/>
    <w:rsid w:val="00750249"/>
    <w:rsid w:val="00750898"/>
    <w:rsid w:val="00750AD3"/>
    <w:rsid w:val="00750F8A"/>
    <w:rsid w:val="00751C83"/>
    <w:rsid w:val="00751D0A"/>
    <w:rsid w:val="007527B7"/>
    <w:rsid w:val="00754202"/>
    <w:rsid w:val="00754A85"/>
    <w:rsid w:val="00755113"/>
    <w:rsid w:val="00756070"/>
    <w:rsid w:val="00756A62"/>
    <w:rsid w:val="00762D95"/>
    <w:rsid w:val="00762DE1"/>
    <w:rsid w:val="0076328B"/>
    <w:rsid w:val="00763297"/>
    <w:rsid w:val="007641DB"/>
    <w:rsid w:val="00764D4E"/>
    <w:rsid w:val="007651FC"/>
    <w:rsid w:val="00766CA4"/>
    <w:rsid w:val="007712A8"/>
    <w:rsid w:val="0077221C"/>
    <w:rsid w:val="00772EF0"/>
    <w:rsid w:val="00772F81"/>
    <w:rsid w:val="007755BC"/>
    <w:rsid w:val="00775678"/>
    <w:rsid w:val="00775FCC"/>
    <w:rsid w:val="007765F1"/>
    <w:rsid w:val="0077661B"/>
    <w:rsid w:val="00776D90"/>
    <w:rsid w:val="00781631"/>
    <w:rsid w:val="00781DEE"/>
    <w:rsid w:val="007824D6"/>
    <w:rsid w:val="00782B93"/>
    <w:rsid w:val="00783B3D"/>
    <w:rsid w:val="00786546"/>
    <w:rsid w:val="00786EDF"/>
    <w:rsid w:val="00787203"/>
    <w:rsid w:val="00787256"/>
    <w:rsid w:val="0079023C"/>
    <w:rsid w:val="00790B20"/>
    <w:rsid w:val="00793CE1"/>
    <w:rsid w:val="00794C6D"/>
    <w:rsid w:val="00797A6B"/>
    <w:rsid w:val="007A141C"/>
    <w:rsid w:val="007A1513"/>
    <w:rsid w:val="007A5996"/>
    <w:rsid w:val="007A677E"/>
    <w:rsid w:val="007A7730"/>
    <w:rsid w:val="007B11D0"/>
    <w:rsid w:val="007B21DB"/>
    <w:rsid w:val="007B37DD"/>
    <w:rsid w:val="007B66CD"/>
    <w:rsid w:val="007B7317"/>
    <w:rsid w:val="007B77D9"/>
    <w:rsid w:val="007B7DCB"/>
    <w:rsid w:val="007C178E"/>
    <w:rsid w:val="007C26D8"/>
    <w:rsid w:val="007C51AB"/>
    <w:rsid w:val="007C53C7"/>
    <w:rsid w:val="007C5D16"/>
    <w:rsid w:val="007C6460"/>
    <w:rsid w:val="007C72FE"/>
    <w:rsid w:val="007D0673"/>
    <w:rsid w:val="007D09BC"/>
    <w:rsid w:val="007D0D9C"/>
    <w:rsid w:val="007D2806"/>
    <w:rsid w:val="007D2E93"/>
    <w:rsid w:val="007D5E96"/>
    <w:rsid w:val="007D6CAC"/>
    <w:rsid w:val="007D7CED"/>
    <w:rsid w:val="007D7FFD"/>
    <w:rsid w:val="007E180A"/>
    <w:rsid w:val="007E245C"/>
    <w:rsid w:val="007E300A"/>
    <w:rsid w:val="007E380B"/>
    <w:rsid w:val="007E47CC"/>
    <w:rsid w:val="007E4B9B"/>
    <w:rsid w:val="007E4E78"/>
    <w:rsid w:val="007E54BF"/>
    <w:rsid w:val="007E6520"/>
    <w:rsid w:val="007F076F"/>
    <w:rsid w:val="007F0B28"/>
    <w:rsid w:val="007F18AD"/>
    <w:rsid w:val="007F421A"/>
    <w:rsid w:val="007F4406"/>
    <w:rsid w:val="007F50E8"/>
    <w:rsid w:val="007F5249"/>
    <w:rsid w:val="007F56A0"/>
    <w:rsid w:val="007F5FBD"/>
    <w:rsid w:val="00802885"/>
    <w:rsid w:val="00805826"/>
    <w:rsid w:val="00805899"/>
    <w:rsid w:val="00806B04"/>
    <w:rsid w:val="00807624"/>
    <w:rsid w:val="00810F94"/>
    <w:rsid w:val="00811362"/>
    <w:rsid w:val="00811D27"/>
    <w:rsid w:val="00812344"/>
    <w:rsid w:val="00812B73"/>
    <w:rsid w:val="00812D0C"/>
    <w:rsid w:val="00815544"/>
    <w:rsid w:val="0081666C"/>
    <w:rsid w:val="00817CC5"/>
    <w:rsid w:val="008210B0"/>
    <w:rsid w:val="00821C10"/>
    <w:rsid w:val="00821E28"/>
    <w:rsid w:val="00823CF0"/>
    <w:rsid w:val="00825C44"/>
    <w:rsid w:val="00825F11"/>
    <w:rsid w:val="008270C9"/>
    <w:rsid w:val="00830584"/>
    <w:rsid w:val="008309D7"/>
    <w:rsid w:val="00831130"/>
    <w:rsid w:val="0083173B"/>
    <w:rsid w:val="00832007"/>
    <w:rsid w:val="00834F3B"/>
    <w:rsid w:val="00837B95"/>
    <w:rsid w:val="00837F41"/>
    <w:rsid w:val="00840F7A"/>
    <w:rsid w:val="0084122E"/>
    <w:rsid w:val="008415D6"/>
    <w:rsid w:val="00842FE1"/>
    <w:rsid w:val="00844002"/>
    <w:rsid w:val="008460B4"/>
    <w:rsid w:val="008465D1"/>
    <w:rsid w:val="00846D0F"/>
    <w:rsid w:val="008471D2"/>
    <w:rsid w:val="00847BA5"/>
    <w:rsid w:val="00847D2A"/>
    <w:rsid w:val="008541EB"/>
    <w:rsid w:val="00855E0C"/>
    <w:rsid w:val="00856145"/>
    <w:rsid w:val="008579DC"/>
    <w:rsid w:val="00857B72"/>
    <w:rsid w:val="00857F51"/>
    <w:rsid w:val="008618A7"/>
    <w:rsid w:val="00861A48"/>
    <w:rsid w:val="00862A79"/>
    <w:rsid w:val="008646BB"/>
    <w:rsid w:val="00864790"/>
    <w:rsid w:val="00864CEC"/>
    <w:rsid w:val="00865472"/>
    <w:rsid w:val="00865499"/>
    <w:rsid w:val="00866874"/>
    <w:rsid w:val="00870563"/>
    <w:rsid w:val="00870BC0"/>
    <w:rsid w:val="00870F2E"/>
    <w:rsid w:val="00871C23"/>
    <w:rsid w:val="00871DDC"/>
    <w:rsid w:val="00872BD8"/>
    <w:rsid w:val="00872D3C"/>
    <w:rsid w:val="00873133"/>
    <w:rsid w:val="00875B7E"/>
    <w:rsid w:val="008762A2"/>
    <w:rsid w:val="008777D4"/>
    <w:rsid w:val="00881587"/>
    <w:rsid w:val="0088171E"/>
    <w:rsid w:val="00882557"/>
    <w:rsid w:val="008828B2"/>
    <w:rsid w:val="00883032"/>
    <w:rsid w:val="00883763"/>
    <w:rsid w:val="0088428B"/>
    <w:rsid w:val="00887C79"/>
    <w:rsid w:val="00890F75"/>
    <w:rsid w:val="00892180"/>
    <w:rsid w:val="0089218E"/>
    <w:rsid w:val="00892F7A"/>
    <w:rsid w:val="0089344B"/>
    <w:rsid w:val="00894BA0"/>
    <w:rsid w:val="00896670"/>
    <w:rsid w:val="008A0D76"/>
    <w:rsid w:val="008A140D"/>
    <w:rsid w:val="008A1DE4"/>
    <w:rsid w:val="008A28F0"/>
    <w:rsid w:val="008A46D8"/>
    <w:rsid w:val="008A5007"/>
    <w:rsid w:val="008A55C4"/>
    <w:rsid w:val="008B07E4"/>
    <w:rsid w:val="008B16A5"/>
    <w:rsid w:val="008B3D32"/>
    <w:rsid w:val="008B5853"/>
    <w:rsid w:val="008B61A5"/>
    <w:rsid w:val="008B7595"/>
    <w:rsid w:val="008B7B15"/>
    <w:rsid w:val="008C156E"/>
    <w:rsid w:val="008C2810"/>
    <w:rsid w:val="008C284D"/>
    <w:rsid w:val="008C29F2"/>
    <w:rsid w:val="008C3A2E"/>
    <w:rsid w:val="008C41FB"/>
    <w:rsid w:val="008C6BBE"/>
    <w:rsid w:val="008D035E"/>
    <w:rsid w:val="008D1204"/>
    <w:rsid w:val="008D1478"/>
    <w:rsid w:val="008D227D"/>
    <w:rsid w:val="008D2C77"/>
    <w:rsid w:val="008D387A"/>
    <w:rsid w:val="008D3E7B"/>
    <w:rsid w:val="008D4339"/>
    <w:rsid w:val="008D58BC"/>
    <w:rsid w:val="008D5EC4"/>
    <w:rsid w:val="008D69B5"/>
    <w:rsid w:val="008D6E57"/>
    <w:rsid w:val="008D7402"/>
    <w:rsid w:val="008D76FD"/>
    <w:rsid w:val="008E0121"/>
    <w:rsid w:val="008E14D1"/>
    <w:rsid w:val="008E227D"/>
    <w:rsid w:val="008E2706"/>
    <w:rsid w:val="008E3F22"/>
    <w:rsid w:val="008E5435"/>
    <w:rsid w:val="008E5450"/>
    <w:rsid w:val="008E5695"/>
    <w:rsid w:val="008E679C"/>
    <w:rsid w:val="008E6C2F"/>
    <w:rsid w:val="008E75F4"/>
    <w:rsid w:val="008F0C2C"/>
    <w:rsid w:val="008F0D88"/>
    <w:rsid w:val="008F1052"/>
    <w:rsid w:val="008F2695"/>
    <w:rsid w:val="008F45B1"/>
    <w:rsid w:val="008F596F"/>
    <w:rsid w:val="008F77A9"/>
    <w:rsid w:val="00900E63"/>
    <w:rsid w:val="00901EF1"/>
    <w:rsid w:val="009040DB"/>
    <w:rsid w:val="00905A91"/>
    <w:rsid w:val="00905CA9"/>
    <w:rsid w:val="00910113"/>
    <w:rsid w:val="00910A18"/>
    <w:rsid w:val="009111B6"/>
    <w:rsid w:val="009147C0"/>
    <w:rsid w:val="00915125"/>
    <w:rsid w:val="00916384"/>
    <w:rsid w:val="00917B13"/>
    <w:rsid w:val="00921C2C"/>
    <w:rsid w:val="009221F7"/>
    <w:rsid w:val="00922A16"/>
    <w:rsid w:val="00924F8A"/>
    <w:rsid w:val="009252C3"/>
    <w:rsid w:val="00926471"/>
    <w:rsid w:val="00930BFD"/>
    <w:rsid w:val="00931697"/>
    <w:rsid w:val="00931FF2"/>
    <w:rsid w:val="009328CA"/>
    <w:rsid w:val="00932F98"/>
    <w:rsid w:val="009350CB"/>
    <w:rsid w:val="009360F0"/>
    <w:rsid w:val="009366CF"/>
    <w:rsid w:val="009369EB"/>
    <w:rsid w:val="009377E3"/>
    <w:rsid w:val="00940B09"/>
    <w:rsid w:val="009432D9"/>
    <w:rsid w:val="00943B71"/>
    <w:rsid w:val="00944618"/>
    <w:rsid w:val="00944E68"/>
    <w:rsid w:val="0095126C"/>
    <w:rsid w:val="00955429"/>
    <w:rsid w:val="0095567C"/>
    <w:rsid w:val="00955A43"/>
    <w:rsid w:val="00957BC0"/>
    <w:rsid w:val="00957E32"/>
    <w:rsid w:val="009602EB"/>
    <w:rsid w:val="009628A3"/>
    <w:rsid w:val="00962B0F"/>
    <w:rsid w:val="00962F4D"/>
    <w:rsid w:val="00963C45"/>
    <w:rsid w:val="00963E32"/>
    <w:rsid w:val="00964141"/>
    <w:rsid w:val="0096415E"/>
    <w:rsid w:val="00964288"/>
    <w:rsid w:val="00965D93"/>
    <w:rsid w:val="00967201"/>
    <w:rsid w:val="00967F62"/>
    <w:rsid w:val="009726A2"/>
    <w:rsid w:val="009728F6"/>
    <w:rsid w:val="00973309"/>
    <w:rsid w:val="0097352F"/>
    <w:rsid w:val="00974514"/>
    <w:rsid w:val="00974A5C"/>
    <w:rsid w:val="00974ED7"/>
    <w:rsid w:val="00975C51"/>
    <w:rsid w:val="00976252"/>
    <w:rsid w:val="00976977"/>
    <w:rsid w:val="00976AEB"/>
    <w:rsid w:val="00980647"/>
    <w:rsid w:val="00981D43"/>
    <w:rsid w:val="00981ED1"/>
    <w:rsid w:val="009821E4"/>
    <w:rsid w:val="00982313"/>
    <w:rsid w:val="00983E7C"/>
    <w:rsid w:val="009848C0"/>
    <w:rsid w:val="00985281"/>
    <w:rsid w:val="00986E8C"/>
    <w:rsid w:val="00987168"/>
    <w:rsid w:val="009935B3"/>
    <w:rsid w:val="0099784E"/>
    <w:rsid w:val="00997E02"/>
    <w:rsid w:val="009A11DB"/>
    <w:rsid w:val="009A290A"/>
    <w:rsid w:val="009A2994"/>
    <w:rsid w:val="009A2CE0"/>
    <w:rsid w:val="009A371E"/>
    <w:rsid w:val="009A40B8"/>
    <w:rsid w:val="009A56E8"/>
    <w:rsid w:val="009A6204"/>
    <w:rsid w:val="009A63E7"/>
    <w:rsid w:val="009A6B00"/>
    <w:rsid w:val="009B005A"/>
    <w:rsid w:val="009B1330"/>
    <w:rsid w:val="009B1821"/>
    <w:rsid w:val="009B1E29"/>
    <w:rsid w:val="009B2A43"/>
    <w:rsid w:val="009B2E5F"/>
    <w:rsid w:val="009B3CBE"/>
    <w:rsid w:val="009B3D52"/>
    <w:rsid w:val="009B49A6"/>
    <w:rsid w:val="009B4D17"/>
    <w:rsid w:val="009B5ED2"/>
    <w:rsid w:val="009B62E2"/>
    <w:rsid w:val="009B7479"/>
    <w:rsid w:val="009C0BFC"/>
    <w:rsid w:val="009C1D95"/>
    <w:rsid w:val="009C2307"/>
    <w:rsid w:val="009C3BA6"/>
    <w:rsid w:val="009C55B7"/>
    <w:rsid w:val="009D10A8"/>
    <w:rsid w:val="009D1163"/>
    <w:rsid w:val="009D2A15"/>
    <w:rsid w:val="009D2ECE"/>
    <w:rsid w:val="009D31F6"/>
    <w:rsid w:val="009D451D"/>
    <w:rsid w:val="009D4922"/>
    <w:rsid w:val="009D5529"/>
    <w:rsid w:val="009D69C4"/>
    <w:rsid w:val="009D6D1F"/>
    <w:rsid w:val="009E0762"/>
    <w:rsid w:val="009E07A1"/>
    <w:rsid w:val="009E0E0A"/>
    <w:rsid w:val="009E24CD"/>
    <w:rsid w:val="009E2504"/>
    <w:rsid w:val="009E2571"/>
    <w:rsid w:val="009E3563"/>
    <w:rsid w:val="009E3CE8"/>
    <w:rsid w:val="009E4034"/>
    <w:rsid w:val="009E41C4"/>
    <w:rsid w:val="009E45D7"/>
    <w:rsid w:val="009E4CA9"/>
    <w:rsid w:val="009E69C5"/>
    <w:rsid w:val="009F012F"/>
    <w:rsid w:val="009F0781"/>
    <w:rsid w:val="009F089C"/>
    <w:rsid w:val="009F0A41"/>
    <w:rsid w:val="009F0C1B"/>
    <w:rsid w:val="009F23EF"/>
    <w:rsid w:val="009F6102"/>
    <w:rsid w:val="00A02A23"/>
    <w:rsid w:val="00A02D43"/>
    <w:rsid w:val="00A03473"/>
    <w:rsid w:val="00A049AC"/>
    <w:rsid w:val="00A07018"/>
    <w:rsid w:val="00A07842"/>
    <w:rsid w:val="00A111EE"/>
    <w:rsid w:val="00A124BB"/>
    <w:rsid w:val="00A12F2F"/>
    <w:rsid w:val="00A13883"/>
    <w:rsid w:val="00A17A63"/>
    <w:rsid w:val="00A20D34"/>
    <w:rsid w:val="00A21198"/>
    <w:rsid w:val="00A21532"/>
    <w:rsid w:val="00A23BC4"/>
    <w:rsid w:val="00A24FD4"/>
    <w:rsid w:val="00A2664F"/>
    <w:rsid w:val="00A26902"/>
    <w:rsid w:val="00A26DAF"/>
    <w:rsid w:val="00A31C29"/>
    <w:rsid w:val="00A31FD9"/>
    <w:rsid w:val="00A32729"/>
    <w:rsid w:val="00A32C9B"/>
    <w:rsid w:val="00A33250"/>
    <w:rsid w:val="00A33329"/>
    <w:rsid w:val="00A33ABD"/>
    <w:rsid w:val="00A33D9E"/>
    <w:rsid w:val="00A35567"/>
    <w:rsid w:val="00A358DA"/>
    <w:rsid w:val="00A361E6"/>
    <w:rsid w:val="00A365B9"/>
    <w:rsid w:val="00A36A15"/>
    <w:rsid w:val="00A36A78"/>
    <w:rsid w:val="00A37E22"/>
    <w:rsid w:val="00A40752"/>
    <w:rsid w:val="00A40A78"/>
    <w:rsid w:val="00A40AD1"/>
    <w:rsid w:val="00A41AEF"/>
    <w:rsid w:val="00A427B5"/>
    <w:rsid w:val="00A42E61"/>
    <w:rsid w:val="00A434A6"/>
    <w:rsid w:val="00A4515F"/>
    <w:rsid w:val="00A45F16"/>
    <w:rsid w:val="00A461B4"/>
    <w:rsid w:val="00A475DA"/>
    <w:rsid w:val="00A4769A"/>
    <w:rsid w:val="00A4784A"/>
    <w:rsid w:val="00A502FE"/>
    <w:rsid w:val="00A525B6"/>
    <w:rsid w:val="00A53D42"/>
    <w:rsid w:val="00A546D9"/>
    <w:rsid w:val="00A55F4D"/>
    <w:rsid w:val="00A577AE"/>
    <w:rsid w:val="00A57884"/>
    <w:rsid w:val="00A62F91"/>
    <w:rsid w:val="00A636DC"/>
    <w:rsid w:val="00A637A9"/>
    <w:rsid w:val="00A638DD"/>
    <w:rsid w:val="00A64C75"/>
    <w:rsid w:val="00A64CE3"/>
    <w:rsid w:val="00A64E47"/>
    <w:rsid w:val="00A6552D"/>
    <w:rsid w:val="00A66142"/>
    <w:rsid w:val="00A70161"/>
    <w:rsid w:val="00A708A8"/>
    <w:rsid w:val="00A71EB6"/>
    <w:rsid w:val="00A73B3C"/>
    <w:rsid w:val="00A742ED"/>
    <w:rsid w:val="00A74E21"/>
    <w:rsid w:val="00A75227"/>
    <w:rsid w:val="00A769D4"/>
    <w:rsid w:val="00A773A0"/>
    <w:rsid w:val="00A77A32"/>
    <w:rsid w:val="00A8196E"/>
    <w:rsid w:val="00A819B2"/>
    <w:rsid w:val="00A81DEA"/>
    <w:rsid w:val="00A823D0"/>
    <w:rsid w:val="00A8409F"/>
    <w:rsid w:val="00A8410B"/>
    <w:rsid w:val="00A84C76"/>
    <w:rsid w:val="00A86961"/>
    <w:rsid w:val="00A87465"/>
    <w:rsid w:val="00A91B56"/>
    <w:rsid w:val="00A91F12"/>
    <w:rsid w:val="00A9230F"/>
    <w:rsid w:val="00A938A0"/>
    <w:rsid w:val="00A94817"/>
    <w:rsid w:val="00A95229"/>
    <w:rsid w:val="00A9556E"/>
    <w:rsid w:val="00A95A83"/>
    <w:rsid w:val="00A96A3E"/>
    <w:rsid w:val="00A96EBC"/>
    <w:rsid w:val="00A97087"/>
    <w:rsid w:val="00A97DA8"/>
    <w:rsid w:val="00A97F12"/>
    <w:rsid w:val="00AA012A"/>
    <w:rsid w:val="00AA14AE"/>
    <w:rsid w:val="00AA26C6"/>
    <w:rsid w:val="00AA284A"/>
    <w:rsid w:val="00AA2919"/>
    <w:rsid w:val="00AA2C85"/>
    <w:rsid w:val="00AA2DDE"/>
    <w:rsid w:val="00AA3509"/>
    <w:rsid w:val="00AA3F7B"/>
    <w:rsid w:val="00AA53CF"/>
    <w:rsid w:val="00AA67DC"/>
    <w:rsid w:val="00AA7267"/>
    <w:rsid w:val="00AA7965"/>
    <w:rsid w:val="00AA7C48"/>
    <w:rsid w:val="00AB02B4"/>
    <w:rsid w:val="00AB0782"/>
    <w:rsid w:val="00AB097F"/>
    <w:rsid w:val="00AB15A0"/>
    <w:rsid w:val="00AB15B4"/>
    <w:rsid w:val="00AB2693"/>
    <w:rsid w:val="00AB26B5"/>
    <w:rsid w:val="00AB3F44"/>
    <w:rsid w:val="00AB434F"/>
    <w:rsid w:val="00AB58BA"/>
    <w:rsid w:val="00AB62D0"/>
    <w:rsid w:val="00AB7923"/>
    <w:rsid w:val="00AC078C"/>
    <w:rsid w:val="00AC18C0"/>
    <w:rsid w:val="00AC1E68"/>
    <w:rsid w:val="00AC5D09"/>
    <w:rsid w:val="00AD034B"/>
    <w:rsid w:val="00AD0528"/>
    <w:rsid w:val="00AD550B"/>
    <w:rsid w:val="00AD5A0C"/>
    <w:rsid w:val="00AD5D14"/>
    <w:rsid w:val="00AD5D83"/>
    <w:rsid w:val="00AD6692"/>
    <w:rsid w:val="00AD6841"/>
    <w:rsid w:val="00AE0C74"/>
    <w:rsid w:val="00AE104A"/>
    <w:rsid w:val="00AE2560"/>
    <w:rsid w:val="00AE2EA4"/>
    <w:rsid w:val="00AE46CD"/>
    <w:rsid w:val="00AE6C3F"/>
    <w:rsid w:val="00AE78D7"/>
    <w:rsid w:val="00AF09D7"/>
    <w:rsid w:val="00AF1E14"/>
    <w:rsid w:val="00AF3647"/>
    <w:rsid w:val="00AF4E0D"/>
    <w:rsid w:val="00AF57E6"/>
    <w:rsid w:val="00AF66BD"/>
    <w:rsid w:val="00AF6EA0"/>
    <w:rsid w:val="00AF711C"/>
    <w:rsid w:val="00B000BC"/>
    <w:rsid w:val="00B00119"/>
    <w:rsid w:val="00B00258"/>
    <w:rsid w:val="00B0102E"/>
    <w:rsid w:val="00B0238E"/>
    <w:rsid w:val="00B032F0"/>
    <w:rsid w:val="00B03A1D"/>
    <w:rsid w:val="00B03E29"/>
    <w:rsid w:val="00B045D1"/>
    <w:rsid w:val="00B046D4"/>
    <w:rsid w:val="00B04ABE"/>
    <w:rsid w:val="00B06ABE"/>
    <w:rsid w:val="00B06DFA"/>
    <w:rsid w:val="00B071F1"/>
    <w:rsid w:val="00B07628"/>
    <w:rsid w:val="00B108D4"/>
    <w:rsid w:val="00B11438"/>
    <w:rsid w:val="00B1158B"/>
    <w:rsid w:val="00B11C00"/>
    <w:rsid w:val="00B13951"/>
    <w:rsid w:val="00B14049"/>
    <w:rsid w:val="00B1451F"/>
    <w:rsid w:val="00B168D4"/>
    <w:rsid w:val="00B20891"/>
    <w:rsid w:val="00B2098A"/>
    <w:rsid w:val="00B234FC"/>
    <w:rsid w:val="00B23763"/>
    <w:rsid w:val="00B25747"/>
    <w:rsid w:val="00B2732F"/>
    <w:rsid w:val="00B31BFC"/>
    <w:rsid w:val="00B33E8E"/>
    <w:rsid w:val="00B34752"/>
    <w:rsid w:val="00B35273"/>
    <w:rsid w:val="00B35660"/>
    <w:rsid w:val="00B362A3"/>
    <w:rsid w:val="00B405B6"/>
    <w:rsid w:val="00B409E7"/>
    <w:rsid w:val="00B40A82"/>
    <w:rsid w:val="00B40ED2"/>
    <w:rsid w:val="00B41B12"/>
    <w:rsid w:val="00B42032"/>
    <w:rsid w:val="00B43BD8"/>
    <w:rsid w:val="00B447CA"/>
    <w:rsid w:val="00B4551E"/>
    <w:rsid w:val="00B45E32"/>
    <w:rsid w:val="00B46062"/>
    <w:rsid w:val="00B4634D"/>
    <w:rsid w:val="00B469E4"/>
    <w:rsid w:val="00B472BF"/>
    <w:rsid w:val="00B47398"/>
    <w:rsid w:val="00B47F0A"/>
    <w:rsid w:val="00B53BDD"/>
    <w:rsid w:val="00B540BA"/>
    <w:rsid w:val="00B54297"/>
    <w:rsid w:val="00B5497D"/>
    <w:rsid w:val="00B54B7E"/>
    <w:rsid w:val="00B54F1C"/>
    <w:rsid w:val="00B55B53"/>
    <w:rsid w:val="00B5680D"/>
    <w:rsid w:val="00B5744C"/>
    <w:rsid w:val="00B60702"/>
    <w:rsid w:val="00B61C49"/>
    <w:rsid w:val="00B62E1B"/>
    <w:rsid w:val="00B63325"/>
    <w:rsid w:val="00B63639"/>
    <w:rsid w:val="00B63D88"/>
    <w:rsid w:val="00B648BD"/>
    <w:rsid w:val="00B64D42"/>
    <w:rsid w:val="00B67DB4"/>
    <w:rsid w:val="00B70243"/>
    <w:rsid w:val="00B702C7"/>
    <w:rsid w:val="00B70562"/>
    <w:rsid w:val="00B7096F"/>
    <w:rsid w:val="00B70DF0"/>
    <w:rsid w:val="00B714E9"/>
    <w:rsid w:val="00B715D6"/>
    <w:rsid w:val="00B716DF"/>
    <w:rsid w:val="00B765EB"/>
    <w:rsid w:val="00B768FC"/>
    <w:rsid w:val="00B772D6"/>
    <w:rsid w:val="00B7768C"/>
    <w:rsid w:val="00B81676"/>
    <w:rsid w:val="00B81C78"/>
    <w:rsid w:val="00B82B47"/>
    <w:rsid w:val="00B834C3"/>
    <w:rsid w:val="00B8409C"/>
    <w:rsid w:val="00B84C8A"/>
    <w:rsid w:val="00B851AA"/>
    <w:rsid w:val="00B8520E"/>
    <w:rsid w:val="00B861D1"/>
    <w:rsid w:val="00B868AB"/>
    <w:rsid w:val="00B86C06"/>
    <w:rsid w:val="00B86E32"/>
    <w:rsid w:val="00B873BF"/>
    <w:rsid w:val="00B87FF3"/>
    <w:rsid w:val="00B90493"/>
    <w:rsid w:val="00B908E5"/>
    <w:rsid w:val="00B913FE"/>
    <w:rsid w:val="00B91BE2"/>
    <w:rsid w:val="00B91D4F"/>
    <w:rsid w:val="00B920DD"/>
    <w:rsid w:val="00B927A8"/>
    <w:rsid w:val="00B92802"/>
    <w:rsid w:val="00B949EA"/>
    <w:rsid w:val="00B94D97"/>
    <w:rsid w:val="00B94DAB"/>
    <w:rsid w:val="00B9534E"/>
    <w:rsid w:val="00B953CB"/>
    <w:rsid w:val="00B9674A"/>
    <w:rsid w:val="00BA286A"/>
    <w:rsid w:val="00BA421C"/>
    <w:rsid w:val="00BA462E"/>
    <w:rsid w:val="00BA4860"/>
    <w:rsid w:val="00BA513D"/>
    <w:rsid w:val="00BA6D1B"/>
    <w:rsid w:val="00BA74F2"/>
    <w:rsid w:val="00BB00ED"/>
    <w:rsid w:val="00BB0D39"/>
    <w:rsid w:val="00BB16BE"/>
    <w:rsid w:val="00BB26C7"/>
    <w:rsid w:val="00BB2C85"/>
    <w:rsid w:val="00BB3323"/>
    <w:rsid w:val="00BB39ED"/>
    <w:rsid w:val="00BB4AA9"/>
    <w:rsid w:val="00BB5492"/>
    <w:rsid w:val="00BB6AB4"/>
    <w:rsid w:val="00BC28A9"/>
    <w:rsid w:val="00BC4235"/>
    <w:rsid w:val="00BC431C"/>
    <w:rsid w:val="00BC5E12"/>
    <w:rsid w:val="00BC6C80"/>
    <w:rsid w:val="00BD0BA8"/>
    <w:rsid w:val="00BD27AE"/>
    <w:rsid w:val="00BD44C5"/>
    <w:rsid w:val="00BD4D89"/>
    <w:rsid w:val="00BD6C5B"/>
    <w:rsid w:val="00BD70E8"/>
    <w:rsid w:val="00BE26C8"/>
    <w:rsid w:val="00BE4BC1"/>
    <w:rsid w:val="00BE52EE"/>
    <w:rsid w:val="00BE6345"/>
    <w:rsid w:val="00BE7235"/>
    <w:rsid w:val="00BE7EB0"/>
    <w:rsid w:val="00BF20F0"/>
    <w:rsid w:val="00BF30E2"/>
    <w:rsid w:val="00BF3766"/>
    <w:rsid w:val="00BF4549"/>
    <w:rsid w:val="00BF4EB5"/>
    <w:rsid w:val="00BF585E"/>
    <w:rsid w:val="00BF6DCF"/>
    <w:rsid w:val="00BF75B1"/>
    <w:rsid w:val="00C0082B"/>
    <w:rsid w:val="00C01D80"/>
    <w:rsid w:val="00C028D1"/>
    <w:rsid w:val="00C02A0E"/>
    <w:rsid w:val="00C02C48"/>
    <w:rsid w:val="00C02D3D"/>
    <w:rsid w:val="00C06EFD"/>
    <w:rsid w:val="00C07607"/>
    <w:rsid w:val="00C07DE1"/>
    <w:rsid w:val="00C105D4"/>
    <w:rsid w:val="00C1191C"/>
    <w:rsid w:val="00C11B6C"/>
    <w:rsid w:val="00C11DA4"/>
    <w:rsid w:val="00C1340E"/>
    <w:rsid w:val="00C13480"/>
    <w:rsid w:val="00C144D2"/>
    <w:rsid w:val="00C14783"/>
    <w:rsid w:val="00C15527"/>
    <w:rsid w:val="00C15681"/>
    <w:rsid w:val="00C167A6"/>
    <w:rsid w:val="00C1781D"/>
    <w:rsid w:val="00C17BE7"/>
    <w:rsid w:val="00C2038A"/>
    <w:rsid w:val="00C21917"/>
    <w:rsid w:val="00C227B0"/>
    <w:rsid w:val="00C239B4"/>
    <w:rsid w:val="00C24FBF"/>
    <w:rsid w:val="00C2542F"/>
    <w:rsid w:val="00C25DA0"/>
    <w:rsid w:val="00C25F7A"/>
    <w:rsid w:val="00C26800"/>
    <w:rsid w:val="00C273D3"/>
    <w:rsid w:val="00C273F8"/>
    <w:rsid w:val="00C32C46"/>
    <w:rsid w:val="00C332C3"/>
    <w:rsid w:val="00C33DB7"/>
    <w:rsid w:val="00C349ED"/>
    <w:rsid w:val="00C35216"/>
    <w:rsid w:val="00C35727"/>
    <w:rsid w:val="00C364F7"/>
    <w:rsid w:val="00C37E2F"/>
    <w:rsid w:val="00C4171F"/>
    <w:rsid w:val="00C41F7A"/>
    <w:rsid w:val="00C421CF"/>
    <w:rsid w:val="00C45825"/>
    <w:rsid w:val="00C462BA"/>
    <w:rsid w:val="00C46E61"/>
    <w:rsid w:val="00C5075F"/>
    <w:rsid w:val="00C5167C"/>
    <w:rsid w:val="00C52028"/>
    <w:rsid w:val="00C526C0"/>
    <w:rsid w:val="00C53ADF"/>
    <w:rsid w:val="00C53E20"/>
    <w:rsid w:val="00C54B57"/>
    <w:rsid w:val="00C54E6A"/>
    <w:rsid w:val="00C55236"/>
    <w:rsid w:val="00C55A45"/>
    <w:rsid w:val="00C55EA4"/>
    <w:rsid w:val="00C570FA"/>
    <w:rsid w:val="00C600A4"/>
    <w:rsid w:val="00C60666"/>
    <w:rsid w:val="00C60D67"/>
    <w:rsid w:val="00C61112"/>
    <w:rsid w:val="00C61D91"/>
    <w:rsid w:val="00C623AF"/>
    <w:rsid w:val="00C624DB"/>
    <w:rsid w:val="00C62EDD"/>
    <w:rsid w:val="00C635C8"/>
    <w:rsid w:val="00C65CDF"/>
    <w:rsid w:val="00C6681F"/>
    <w:rsid w:val="00C67C08"/>
    <w:rsid w:val="00C70A7D"/>
    <w:rsid w:val="00C70AB0"/>
    <w:rsid w:val="00C717A1"/>
    <w:rsid w:val="00C72AB4"/>
    <w:rsid w:val="00C73DF2"/>
    <w:rsid w:val="00C746F7"/>
    <w:rsid w:val="00C76533"/>
    <w:rsid w:val="00C76DCF"/>
    <w:rsid w:val="00C804DC"/>
    <w:rsid w:val="00C82FAE"/>
    <w:rsid w:val="00C83E2C"/>
    <w:rsid w:val="00C86675"/>
    <w:rsid w:val="00C86A81"/>
    <w:rsid w:val="00C90447"/>
    <w:rsid w:val="00C9259E"/>
    <w:rsid w:val="00C951D2"/>
    <w:rsid w:val="00C96084"/>
    <w:rsid w:val="00C96BA0"/>
    <w:rsid w:val="00C96DB5"/>
    <w:rsid w:val="00CA03AC"/>
    <w:rsid w:val="00CA0A2B"/>
    <w:rsid w:val="00CA147A"/>
    <w:rsid w:val="00CA151F"/>
    <w:rsid w:val="00CA255C"/>
    <w:rsid w:val="00CA271E"/>
    <w:rsid w:val="00CA3379"/>
    <w:rsid w:val="00CA3A93"/>
    <w:rsid w:val="00CA4ED0"/>
    <w:rsid w:val="00CA5471"/>
    <w:rsid w:val="00CA5B7F"/>
    <w:rsid w:val="00CA7175"/>
    <w:rsid w:val="00CA7F46"/>
    <w:rsid w:val="00CB1EE0"/>
    <w:rsid w:val="00CB1F51"/>
    <w:rsid w:val="00CB227F"/>
    <w:rsid w:val="00CB283D"/>
    <w:rsid w:val="00CB28B2"/>
    <w:rsid w:val="00CB3663"/>
    <w:rsid w:val="00CB5785"/>
    <w:rsid w:val="00CB5EC0"/>
    <w:rsid w:val="00CB5F3B"/>
    <w:rsid w:val="00CB73A1"/>
    <w:rsid w:val="00CC1509"/>
    <w:rsid w:val="00CC2133"/>
    <w:rsid w:val="00CC2492"/>
    <w:rsid w:val="00CC46B0"/>
    <w:rsid w:val="00CC4BEF"/>
    <w:rsid w:val="00CC669F"/>
    <w:rsid w:val="00CC7F55"/>
    <w:rsid w:val="00CD0477"/>
    <w:rsid w:val="00CD1323"/>
    <w:rsid w:val="00CD173A"/>
    <w:rsid w:val="00CD1944"/>
    <w:rsid w:val="00CD26C0"/>
    <w:rsid w:val="00CD35D7"/>
    <w:rsid w:val="00CD3B3D"/>
    <w:rsid w:val="00CD42B4"/>
    <w:rsid w:val="00CD430B"/>
    <w:rsid w:val="00CD4693"/>
    <w:rsid w:val="00CD5170"/>
    <w:rsid w:val="00CD5B83"/>
    <w:rsid w:val="00CD5E07"/>
    <w:rsid w:val="00CD6BF4"/>
    <w:rsid w:val="00CD79FD"/>
    <w:rsid w:val="00CD7CA8"/>
    <w:rsid w:val="00CE1594"/>
    <w:rsid w:val="00CE267F"/>
    <w:rsid w:val="00CE463E"/>
    <w:rsid w:val="00CE60EC"/>
    <w:rsid w:val="00CE6299"/>
    <w:rsid w:val="00CE72BE"/>
    <w:rsid w:val="00CE76C3"/>
    <w:rsid w:val="00CF36A9"/>
    <w:rsid w:val="00CF3895"/>
    <w:rsid w:val="00CF3C51"/>
    <w:rsid w:val="00CF41B3"/>
    <w:rsid w:val="00CF42F6"/>
    <w:rsid w:val="00CF55F9"/>
    <w:rsid w:val="00CF6EA8"/>
    <w:rsid w:val="00CF7745"/>
    <w:rsid w:val="00CF7A21"/>
    <w:rsid w:val="00D00082"/>
    <w:rsid w:val="00D00F87"/>
    <w:rsid w:val="00D027D1"/>
    <w:rsid w:val="00D02CC8"/>
    <w:rsid w:val="00D02F61"/>
    <w:rsid w:val="00D03EA2"/>
    <w:rsid w:val="00D06525"/>
    <w:rsid w:val="00D074F9"/>
    <w:rsid w:val="00D07B5C"/>
    <w:rsid w:val="00D100E6"/>
    <w:rsid w:val="00D11970"/>
    <w:rsid w:val="00D12318"/>
    <w:rsid w:val="00D12F34"/>
    <w:rsid w:val="00D12FC9"/>
    <w:rsid w:val="00D131C0"/>
    <w:rsid w:val="00D1402F"/>
    <w:rsid w:val="00D145E9"/>
    <w:rsid w:val="00D166FE"/>
    <w:rsid w:val="00D17D75"/>
    <w:rsid w:val="00D200FA"/>
    <w:rsid w:val="00D21284"/>
    <w:rsid w:val="00D23A40"/>
    <w:rsid w:val="00D242D4"/>
    <w:rsid w:val="00D27368"/>
    <w:rsid w:val="00D276AC"/>
    <w:rsid w:val="00D27F15"/>
    <w:rsid w:val="00D31A33"/>
    <w:rsid w:val="00D31CFC"/>
    <w:rsid w:val="00D3398E"/>
    <w:rsid w:val="00D3597E"/>
    <w:rsid w:val="00D36906"/>
    <w:rsid w:val="00D36E16"/>
    <w:rsid w:val="00D37044"/>
    <w:rsid w:val="00D41F45"/>
    <w:rsid w:val="00D44A06"/>
    <w:rsid w:val="00D4682D"/>
    <w:rsid w:val="00D4790B"/>
    <w:rsid w:val="00D518BE"/>
    <w:rsid w:val="00D51B27"/>
    <w:rsid w:val="00D51BD0"/>
    <w:rsid w:val="00D53985"/>
    <w:rsid w:val="00D53E91"/>
    <w:rsid w:val="00D54D2A"/>
    <w:rsid w:val="00D55206"/>
    <w:rsid w:val="00D556E2"/>
    <w:rsid w:val="00D568A5"/>
    <w:rsid w:val="00D570D0"/>
    <w:rsid w:val="00D5749B"/>
    <w:rsid w:val="00D5766E"/>
    <w:rsid w:val="00D60582"/>
    <w:rsid w:val="00D610AC"/>
    <w:rsid w:val="00D612E5"/>
    <w:rsid w:val="00D62E6B"/>
    <w:rsid w:val="00D649D2"/>
    <w:rsid w:val="00D65440"/>
    <w:rsid w:val="00D701F7"/>
    <w:rsid w:val="00D711A4"/>
    <w:rsid w:val="00D7172E"/>
    <w:rsid w:val="00D71ACA"/>
    <w:rsid w:val="00D724A8"/>
    <w:rsid w:val="00D7292A"/>
    <w:rsid w:val="00D73C12"/>
    <w:rsid w:val="00D744DD"/>
    <w:rsid w:val="00D74819"/>
    <w:rsid w:val="00D7565B"/>
    <w:rsid w:val="00D77BB5"/>
    <w:rsid w:val="00D80119"/>
    <w:rsid w:val="00D804CD"/>
    <w:rsid w:val="00D826B2"/>
    <w:rsid w:val="00D82CEB"/>
    <w:rsid w:val="00D8363F"/>
    <w:rsid w:val="00D83A67"/>
    <w:rsid w:val="00D841C9"/>
    <w:rsid w:val="00D85E6A"/>
    <w:rsid w:val="00D906F7"/>
    <w:rsid w:val="00D90721"/>
    <w:rsid w:val="00D91824"/>
    <w:rsid w:val="00D91994"/>
    <w:rsid w:val="00D942DD"/>
    <w:rsid w:val="00D94551"/>
    <w:rsid w:val="00D94DFE"/>
    <w:rsid w:val="00D95269"/>
    <w:rsid w:val="00D961C0"/>
    <w:rsid w:val="00D977CE"/>
    <w:rsid w:val="00DA20D7"/>
    <w:rsid w:val="00DA264F"/>
    <w:rsid w:val="00DA2C32"/>
    <w:rsid w:val="00DA3108"/>
    <w:rsid w:val="00DA48B7"/>
    <w:rsid w:val="00DA4CA4"/>
    <w:rsid w:val="00DA5940"/>
    <w:rsid w:val="00DA60C3"/>
    <w:rsid w:val="00DA6DDA"/>
    <w:rsid w:val="00DA6FE6"/>
    <w:rsid w:val="00DB079F"/>
    <w:rsid w:val="00DB2C5B"/>
    <w:rsid w:val="00DB2DDF"/>
    <w:rsid w:val="00DB34AE"/>
    <w:rsid w:val="00DB3902"/>
    <w:rsid w:val="00DB4ADA"/>
    <w:rsid w:val="00DB5088"/>
    <w:rsid w:val="00DB66C0"/>
    <w:rsid w:val="00DB7DAA"/>
    <w:rsid w:val="00DC2A9A"/>
    <w:rsid w:val="00DC2FBD"/>
    <w:rsid w:val="00DC47D1"/>
    <w:rsid w:val="00DC6715"/>
    <w:rsid w:val="00DD09D0"/>
    <w:rsid w:val="00DD2C35"/>
    <w:rsid w:val="00DD3A50"/>
    <w:rsid w:val="00DD3D08"/>
    <w:rsid w:val="00DD4D08"/>
    <w:rsid w:val="00DD4D8E"/>
    <w:rsid w:val="00DD5A20"/>
    <w:rsid w:val="00DE29CC"/>
    <w:rsid w:val="00DE3700"/>
    <w:rsid w:val="00DE37E8"/>
    <w:rsid w:val="00DF0109"/>
    <w:rsid w:val="00DF03E6"/>
    <w:rsid w:val="00DF1250"/>
    <w:rsid w:val="00DF2300"/>
    <w:rsid w:val="00DF3326"/>
    <w:rsid w:val="00DF3466"/>
    <w:rsid w:val="00DF3AF6"/>
    <w:rsid w:val="00DF3CB1"/>
    <w:rsid w:val="00DF3DA4"/>
    <w:rsid w:val="00DF48D4"/>
    <w:rsid w:val="00DF5D34"/>
    <w:rsid w:val="00DF5D6B"/>
    <w:rsid w:val="00DF6D57"/>
    <w:rsid w:val="00DF6E60"/>
    <w:rsid w:val="00E00344"/>
    <w:rsid w:val="00E015AE"/>
    <w:rsid w:val="00E01A48"/>
    <w:rsid w:val="00E01C2F"/>
    <w:rsid w:val="00E041D6"/>
    <w:rsid w:val="00E056D9"/>
    <w:rsid w:val="00E064C9"/>
    <w:rsid w:val="00E071EB"/>
    <w:rsid w:val="00E11287"/>
    <w:rsid w:val="00E122F9"/>
    <w:rsid w:val="00E12326"/>
    <w:rsid w:val="00E12727"/>
    <w:rsid w:val="00E13890"/>
    <w:rsid w:val="00E13D1D"/>
    <w:rsid w:val="00E16199"/>
    <w:rsid w:val="00E170AA"/>
    <w:rsid w:val="00E17966"/>
    <w:rsid w:val="00E17FDC"/>
    <w:rsid w:val="00E20503"/>
    <w:rsid w:val="00E20909"/>
    <w:rsid w:val="00E2167C"/>
    <w:rsid w:val="00E21A46"/>
    <w:rsid w:val="00E2209B"/>
    <w:rsid w:val="00E23F3B"/>
    <w:rsid w:val="00E24094"/>
    <w:rsid w:val="00E25F9E"/>
    <w:rsid w:val="00E301F8"/>
    <w:rsid w:val="00E302C3"/>
    <w:rsid w:val="00E30922"/>
    <w:rsid w:val="00E30CDE"/>
    <w:rsid w:val="00E30D3F"/>
    <w:rsid w:val="00E31822"/>
    <w:rsid w:val="00E3274A"/>
    <w:rsid w:val="00E32C68"/>
    <w:rsid w:val="00E3322D"/>
    <w:rsid w:val="00E33CE6"/>
    <w:rsid w:val="00E33F5C"/>
    <w:rsid w:val="00E34938"/>
    <w:rsid w:val="00E35CE1"/>
    <w:rsid w:val="00E37298"/>
    <w:rsid w:val="00E37BE7"/>
    <w:rsid w:val="00E37E50"/>
    <w:rsid w:val="00E37EB2"/>
    <w:rsid w:val="00E41A23"/>
    <w:rsid w:val="00E41BBF"/>
    <w:rsid w:val="00E430FC"/>
    <w:rsid w:val="00E43383"/>
    <w:rsid w:val="00E445CA"/>
    <w:rsid w:val="00E44D7B"/>
    <w:rsid w:val="00E45C70"/>
    <w:rsid w:val="00E477EF"/>
    <w:rsid w:val="00E47F9C"/>
    <w:rsid w:val="00E508C9"/>
    <w:rsid w:val="00E5147C"/>
    <w:rsid w:val="00E51DEB"/>
    <w:rsid w:val="00E5228D"/>
    <w:rsid w:val="00E529DD"/>
    <w:rsid w:val="00E5419F"/>
    <w:rsid w:val="00E5545B"/>
    <w:rsid w:val="00E55CA6"/>
    <w:rsid w:val="00E56C24"/>
    <w:rsid w:val="00E60460"/>
    <w:rsid w:val="00E61EDC"/>
    <w:rsid w:val="00E62112"/>
    <w:rsid w:val="00E6247A"/>
    <w:rsid w:val="00E64006"/>
    <w:rsid w:val="00E66B47"/>
    <w:rsid w:val="00E70915"/>
    <w:rsid w:val="00E70D39"/>
    <w:rsid w:val="00E711EB"/>
    <w:rsid w:val="00E7120D"/>
    <w:rsid w:val="00E73875"/>
    <w:rsid w:val="00E73B2F"/>
    <w:rsid w:val="00E745CD"/>
    <w:rsid w:val="00E74607"/>
    <w:rsid w:val="00E74C39"/>
    <w:rsid w:val="00E753B9"/>
    <w:rsid w:val="00E76541"/>
    <w:rsid w:val="00E8003F"/>
    <w:rsid w:val="00E800EA"/>
    <w:rsid w:val="00E80258"/>
    <w:rsid w:val="00E80DAE"/>
    <w:rsid w:val="00E8182E"/>
    <w:rsid w:val="00E82B19"/>
    <w:rsid w:val="00E835C9"/>
    <w:rsid w:val="00E84045"/>
    <w:rsid w:val="00E840BB"/>
    <w:rsid w:val="00E84D45"/>
    <w:rsid w:val="00E8503E"/>
    <w:rsid w:val="00E867DD"/>
    <w:rsid w:val="00E87B4F"/>
    <w:rsid w:val="00E916B6"/>
    <w:rsid w:val="00E91826"/>
    <w:rsid w:val="00E9321B"/>
    <w:rsid w:val="00E94412"/>
    <w:rsid w:val="00E947F2"/>
    <w:rsid w:val="00E9689E"/>
    <w:rsid w:val="00E97CFE"/>
    <w:rsid w:val="00EA0AF0"/>
    <w:rsid w:val="00EA12B2"/>
    <w:rsid w:val="00EA1366"/>
    <w:rsid w:val="00EA1458"/>
    <w:rsid w:val="00EA1A30"/>
    <w:rsid w:val="00EA3286"/>
    <w:rsid w:val="00EA4B32"/>
    <w:rsid w:val="00EA58A3"/>
    <w:rsid w:val="00EA7749"/>
    <w:rsid w:val="00EA7B9C"/>
    <w:rsid w:val="00EA7C56"/>
    <w:rsid w:val="00EB0AFD"/>
    <w:rsid w:val="00EB1D98"/>
    <w:rsid w:val="00EB216A"/>
    <w:rsid w:val="00EB31DE"/>
    <w:rsid w:val="00EB3C50"/>
    <w:rsid w:val="00EB3F25"/>
    <w:rsid w:val="00EB4116"/>
    <w:rsid w:val="00EB44AE"/>
    <w:rsid w:val="00EB4AE1"/>
    <w:rsid w:val="00EB6DB4"/>
    <w:rsid w:val="00EB7272"/>
    <w:rsid w:val="00EC23C8"/>
    <w:rsid w:val="00EC2C5A"/>
    <w:rsid w:val="00EC3768"/>
    <w:rsid w:val="00EC68C1"/>
    <w:rsid w:val="00EC7718"/>
    <w:rsid w:val="00EC77F3"/>
    <w:rsid w:val="00EC7A11"/>
    <w:rsid w:val="00EC7BA3"/>
    <w:rsid w:val="00ED0422"/>
    <w:rsid w:val="00ED05EF"/>
    <w:rsid w:val="00ED0F8F"/>
    <w:rsid w:val="00ED17C8"/>
    <w:rsid w:val="00ED2DE5"/>
    <w:rsid w:val="00ED37AA"/>
    <w:rsid w:val="00ED4DFB"/>
    <w:rsid w:val="00ED54A8"/>
    <w:rsid w:val="00ED5C2C"/>
    <w:rsid w:val="00EE0B40"/>
    <w:rsid w:val="00EE49F9"/>
    <w:rsid w:val="00EE5D04"/>
    <w:rsid w:val="00EF1B6F"/>
    <w:rsid w:val="00EF2FC7"/>
    <w:rsid w:val="00EF35E4"/>
    <w:rsid w:val="00EF3694"/>
    <w:rsid w:val="00EF3B3D"/>
    <w:rsid w:val="00EF411B"/>
    <w:rsid w:val="00EF512C"/>
    <w:rsid w:val="00EF5F11"/>
    <w:rsid w:val="00EF62E2"/>
    <w:rsid w:val="00F0225D"/>
    <w:rsid w:val="00F023BD"/>
    <w:rsid w:val="00F02E30"/>
    <w:rsid w:val="00F03C8E"/>
    <w:rsid w:val="00F03DC6"/>
    <w:rsid w:val="00F040C0"/>
    <w:rsid w:val="00F05E74"/>
    <w:rsid w:val="00F05FF9"/>
    <w:rsid w:val="00F06F1D"/>
    <w:rsid w:val="00F07B32"/>
    <w:rsid w:val="00F10291"/>
    <w:rsid w:val="00F11205"/>
    <w:rsid w:val="00F14B0F"/>
    <w:rsid w:val="00F14C5B"/>
    <w:rsid w:val="00F1510A"/>
    <w:rsid w:val="00F15BC2"/>
    <w:rsid w:val="00F162AA"/>
    <w:rsid w:val="00F16631"/>
    <w:rsid w:val="00F21AA1"/>
    <w:rsid w:val="00F22258"/>
    <w:rsid w:val="00F22BB4"/>
    <w:rsid w:val="00F23567"/>
    <w:rsid w:val="00F23C48"/>
    <w:rsid w:val="00F259EA"/>
    <w:rsid w:val="00F26B3E"/>
    <w:rsid w:val="00F26E8E"/>
    <w:rsid w:val="00F26F02"/>
    <w:rsid w:val="00F27410"/>
    <w:rsid w:val="00F27528"/>
    <w:rsid w:val="00F27C72"/>
    <w:rsid w:val="00F30331"/>
    <w:rsid w:val="00F30F72"/>
    <w:rsid w:val="00F30FC5"/>
    <w:rsid w:val="00F31CCD"/>
    <w:rsid w:val="00F31F09"/>
    <w:rsid w:val="00F32A85"/>
    <w:rsid w:val="00F34697"/>
    <w:rsid w:val="00F37616"/>
    <w:rsid w:val="00F40198"/>
    <w:rsid w:val="00F41CFF"/>
    <w:rsid w:val="00F42572"/>
    <w:rsid w:val="00F42703"/>
    <w:rsid w:val="00F42B9C"/>
    <w:rsid w:val="00F43265"/>
    <w:rsid w:val="00F460C3"/>
    <w:rsid w:val="00F47408"/>
    <w:rsid w:val="00F4796D"/>
    <w:rsid w:val="00F479C9"/>
    <w:rsid w:val="00F504C5"/>
    <w:rsid w:val="00F51850"/>
    <w:rsid w:val="00F52208"/>
    <w:rsid w:val="00F52252"/>
    <w:rsid w:val="00F53160"/>
    <w:rsid w:val="00F536F5"/>
    <w:rsid w:val="00F53F20"/>
    <w:rsid w:val="00F5461C"/>
    <w:rsid w:val="00F5605E"/>
    <w:rsid w:val="00F56978"/>
    <w:rsid w:val="00F6036B"/>
    <w:rsid w:val="00F607C2"/>
    <w:rsid w:val="00F61924"/>
    <w:rsid w:val="00F641DC"/>
    <w:rsid w:val="00F648E3"/>
    <w:rsid w:val="00F66A68"/>
    <w:rsid w:val="00F70987"/>
    <w:rsid w:val="00F712E9"/>
    <w:rsid w:val="00F731C2"/>
    <w:rsid w:val="00F740C3"/>
    <w:rsid w:val="00F748A6"/>
    <w:rsid w:val="00F74EAE"/>
    <w:rsid w:val="00F758BA"/>
    <w:rsid w:val="00F76D61"/>
    <w:rsid w:val="00F77105"/>
    <w:rsid w:val="00F7791E"/>
    <w:rsid w:val="00F77E7A"/>
    <w:rsid w:val="00F80423"/>
    <w:rsid w:val="00F811BD"/>
    <w:rsid w:val="00F822A9"/>
    <w:rsid w:val="00F8242B"/>
    <w:rsid w:val="00F825DB"/>
    <w:rsid w:val="00F82D7E"/>
    <w:rsid w:val="00F8339D"/>
    <w:rsid w:val="00F8392F"/>
    <w:rsid w:val="00F85F51"/>
    <w:rsid w:val="00F86641"/>
    <w:rsid w:val="00F8722E"/>
    <w:rsid w:val="00F87291"/>
    <w:rsid w:val="00F876BB"/>
    <w:rsid w:val="00F87A14"/>
    <w:rsid w:val="00F87AFA"/>
    <w:rsid w:val="00F908D2"/>
    <w:rsid w:val="00F91540"/>
    <w:rsid w:val="00F922BE"/>
    <w:rsid w:val="00F933B7"/>
    <w:rsid w:val="00F935BC"/>
    <w:rsid w:val="00F95314"/>
    <w:rsid w:val="00F954EC"/>
    <w:rsid w:val="00F96D77"/>
    <w:rsid w:val="00FA07B7"/>
    <w:rsid w:val="00FA113E"/>
    <w:rsid w:val="00FA1556"/>
    <w:rsid w:val="00FA22B5"/>
    <w:rsid w:val="00FA239B"/>
    <w:rsid w:val="00FA27EA"/>
    <w:rsid w:val="00FA2C97"/>
    <w:rsid w:val="00FA47E3"/>
    <w:rsid w:val="00FA539B"/>
    <w:rsid w:val="00FA6483"/>
    <w:rsid w:val="00FA71A2"/>
    <w:rsid w:val="00FA787A"/>
    <w:rsid w:val="00FA7A83"/>
    <w:rsid w:val="00FB13E4"/>
    <w:rsid w:val="00FB1B8D"/>
    <w:rsid w:val="00FB27BF"/>
    <w:rsid w:val="00FB3406"/>
    <w:rsid w:val="00FB3A11"/>
    <w:rsid w:val="00FB3E97"/>
    <w:rsid w:val="00FB415B"/>
    <w:rsid w:val="00FB4278"/>
    <w:rsid w:val="00FB46B5"/>
    <w:rsid w:val="00FB4BFC"/>
    <w:rsid w:val="00FB4D32"/>
    <w:rsid w:val="00FB661D"/>
    <w:rsid w:val="00FB6E48"/>
    <w:rsid w:val="00FB6FF1"/>
    <w:rsid w:val="00FB75B5"/>
    <w:rsid w:val="00FB76B7"/>
    <w:rsid w:val="00FC0060"/>
    <w:rsid w:val="00FC0396"/>
    <w:rsid w:val="00FC1104"/>
    <w:rsid w:val="00FC2C82"/>
    <w:rsid w:val="00FC3615"/>
    <w:rsid w:val="00FC4172"/>
    <w:rsid w:val="00FC458C"/>
    <w:rsid w:val="00FC6DBD"/>
    <w:rsid w:val="00FC77AB"/>
    <w:rsid w:val="00FD1180"/>
    <w:rsid w:val="00FD1F4D"/>
    <w:rsid w:val="00FD4241"/>
    <w:rsid w:val="00FD5832"/>
    <w:rsid w:val="00FD62A3"/>
    <w:rsid w:val="00FD6572"/>
    <w:rsid w:val="00FD7ACA"/>
    <w:rsid w:val="00FE080A"/>
    <w:rsid w:val="00FE0D4B"/>
    <w:rsid w:val="00FE3220"/>
    <w:rsid w:val="00FE4F7C"/>
    <w:rsid w:val="00FE51BD"/>
    <w:rsid w:val="00FE5441"/>
    <w:rsid w:val="00FE59EA"/>
    <w:rsid w:val="00FE5DD0"/>
    <w:rsid w:val="00FE6C67"/>
    <w:rsid w:val="00FE7740"/>
    <w:rsid w:val="00FE7BD4"/>
    <w:rsid w:val="00FF15A5"/>
    <w:rsid w:val="00FF3136"/>
    <w:rsid w:val="00FF3E53"/>
    <w:rsid w:val="00FF4826"/>
    <w:rsid w:val="00FF58CC"/>
    <w:rsid w:val="00FF5A8F"/>
    <w:rsid w:val="00FF6263"/>
    <w:rsid w:val="00FF64D8"/>
    <w:rsid w:val="00FF6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5DD37"/>
  <w15:chartTrackingRefBased/>
  <w15:docId w15:val="{E249EF32-863C-4B84-90E8-53F36C64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45"/>
    <w:pPr>
      <w:spacing w:after="0" w:line="240" w:lineRule="auto"/>
    </w:pPr>
    <w:rPr>
      <w:rFonts w:ascii="Arial" w:hAnsi="Arial"/>
      <w:sz w:val="20"/>
      <w:szCs w:val="20"/>
    </w:rPr>
  </w:style>
  <w:style w:type="paragraph" w:styleId="Ttulo1">
    <w:name w:val="heading 1"/>
    <w:basedOn w:val="Normal"/>
    <w:next w:val="Normal"/>
    <w:link w:val="Ttulo1Car"/>
    <w:uiPriority w:val="9"/>
    <w:qFormat/>
    <w:rsid w:val="002E2F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E30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06B0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41F45"/>
    <w:pPr>
      <w:tabs>
        <w:tab w:val="center" w:pos="4252"/>
        <w:tab w:val="right" w:pos="8504"/>
      </w:tabs>
    </w:pPr>
  </w:style>
  <w:style w:type="character" w:customStyle="1" w:styleId="EncabezadoCar">
    <w:name w:val="Encabezado Car"/>
    <w:basedOn w:val="Fuentedeprrafopredeter"/>
    <w:link w:val="Encabezado"/>
    <w:rsid w:val="00D41F45"/>
    <w:rPr>
      <w:rFonts w:ascii="Arial" w:hAnsi="Arial"/>
      <w:sz w:val="20"/>
      <w:szCs w:val="20"/>
    </w:rPr>
  </w:style>
  <w:style w:type="paragraph" w:styleId="Piedepgina">
    <w:name w:val="footer"/>
    <w:basedOn w:val="Normal"/>
    <w:link w:val="PiedepginaCar"/>
    <w:uiPriority w:val="99"/>
    <w:rsid w:val="00D41F45"/>
    <w:pPr>
      <w:tabs>
        <w:tab w:val="center" w:pos="4252"/>
        <w:tab w:val="right" w:pos="8504"/>
      </w:tabs>
    </w:pPr>
  </w:style>
  <w:style w:type="character" w:customStyle="1" w:styleId="PiedepginaCar">
    <w:name w:val="Pie de página Car"/>
    <w:basedOn w:val="Fuentedeprrafopredeter"/>
    <w:link w:val="Piedepgina"/>
    <w:uiPriority w:val="99"/>
    <w:rsid w:val="00D41F45"/>
    <w:rPr>
      <w:rFonts w:ascii="Arial" w:hAnsi="Arial"/>
      <w:sz w:val="20"/>
      <w:szCs w:val="20"/>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ootnote Reference,ftre"/>
    <w:link w:val="4GChar"/>
    <w:uiPriority w:val="99"/>
    <w:qFormat/>
    <w:rsid w:val="00D41F4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D41F45"/>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41F45"/>
    <w:rPr>
      <w:rFonts w:ascii="Arial" w:hAnsi="Arial"/>
      <w:sz w:val="20"/>
      <w:szCs w:val="20"/>
    </w:rPr>
  </w:style>
  <w:style w:type="table" w:styleId="Tablaconcuadrcula">
    <w:name w:val="Table Grid"/>
    <w:basedOn w:val="Tablanormal"/>
    <w:uiPriority w:val="39"/>
    <w:rsid w:val="00D41F4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Párrafo de lista1,Footnote,List Paragraph2,List Paragraph1,Colorful List - Accent 11,Lista vistosa - Énfasis 11,Parrafo 1,Lista multicolor - Énfasis 11,Cuadrícula media 1 - Énfasis 21,Cita texto,List Paragraph-Thesis"/>
    <w:basedOn w:val="Normal"/>
    <w:link w:val="PrrafodelistaCar"/>
    <w:uiPriority w:val="34"/>
    <w:qFormat/>
    <w:rsid w:val="00D41F45"/>
    <w:pPr>
      <w:ind w:left="708"/>
    </w:pPr>
  </w:style>
  <w:style w:type="paragraph" w:customStyle="1" w:styleId="NUMERADO">
    <w:name w:val="NUMERADO"/>
    <w:basedOn w:val="Normal"/>
    <w:autoRedefine/>
    <w:qFormat/>
    <w:rsid w:val="00870F2E"/>
    <w:pPr>
      <w:numPr>
        <w:numId w:val="2"/>
      </w:numPr>
      <w:spacing w:before="240" w:after="240" w:line="360" w:lineRule="auto"/>
      <w:ind w:left="0" w:firstLine="0"/>
      <w:jc w:val="both"/>
    </w:pPr>
    <w:rPr>
      <w:rFonts w:ascii="Univers" w:eastAsia="Times New Roman" w:hAnsi="Univers" w:cs="Arial"/>
      <w:sz w:val="28"/>
      <w:szCs w:val="28"/>
      <w:lang w:eastAsia="es-MX"/>
    </w:rPr>
  </w:style>
  <w:style w:type="character" w:customStyle="1" w:styleId="apple-converted-space">
    <w:name w:val="apple-converted-space"/>
    <w:basedOn w:val="Fuentedeprrafopredeter"/>
    <w:rsid w:val="004C7265"/>
  </w:style>
  <w:style w:type="paragraph" w:styleId="Textodeglobo">
    <w:name w:val="Balloon Text"/>
    <w:basedOn w:val="Normal"/>
    <w:link w:val="TextodegloboCar"/>
    <w:uiPriority w:val="99"/>
    <w:semiHidden/>
    <w:unhideWhenUsed/>
    <w:rsid w:val="00FA11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113E"/>
    <w:rPr>
      <w:rFonts w:ascii="Segoe UI" w:hAnsi="Segoe UI" w:cs="Segoe UI"/>
      <w:sz w:val="18"/>
      <w:szCs w:val="18"/>
    </w:rPr>
  </w:style>
  <w:style w:type="table" w:customStyle="1" w:styleId="Tablaconcuadrcula3">
    <w:name w:val="Tabla con cuadrícula3"/>
    <w:basedOn w:val="Tablanormal"/>
    <w:next w:val="Tablaconcuadrcula"/>
    <w:uiPriority w:val="39"/>
    <w:rsid w:val="0086479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E2FC4"/>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2E2FC4"/>
    <w:pPr>
      <w:spacing w:line="259" w:lineRule="auto"/>
      <w:outlineLvl w:val="9"/>
    </w:pPr>
    <w:rPr>
      <w:lang w:eastAsia="es-MX"/>
    </w:rPr>
  </w:style>
  <w:style w:type="character" w:customStyle="1" w:styleId="Ttulo2Car">
    <w:name w:val="Título 2 Car"/>
    <w:basedOn w:val="Fuentedeprrafopredeter"/>
    <w:link w:val="Ttulo2"/>
    <w:uiPriority w:val="9"/>
    <w:rsid w:val="007E300A"/>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56399C"/>
    <w:pPr>
      <w:tabs>
        <w:tab w:val="right" w:leader="dot" w:pos="7694"/>
      </w:tabs>
    </w:pPr>
    <w:rPr>
      <w:sz w:val="18"/>
      <w:szCs w:val="18"/>
    </w:rPr>
  </w:style>
  <w:style w:type="paragraph" w:styleId="TDC2">
    <w:name w:val="toc 2"/>
    <w:basedOn w:val="Normal"/>
    <w:next w:val="Normal"/>
    <w:autoRedefine/>
    <w:uiPriority w:val="39"/>
    <w:unhideWhenUsed/>
    <w:rsid w:val="007E300A"/>
    <w:pPr>
      <w:spacing w:after="100"/>
      <w:ind w:left="200"/>
    </w:pPr>
  </w:style>
  <w:style w:type="character" w:styleId="Hipervnculo">
    <w:name w:val="Hyperlink"/>
    <w:basedOn w:val="Fuentedeprrafopredeter"/>
    <w:uiPriority w:val="99"/>
    <w:unhideWhenUsed/>
    <w:rsid w:val="007E300A"/>
    <w:rPr>
      <w:color w:val="0563C1" w:themeColor="hyperlink"/>
      <w:u w:val="single"/>
    </w:rPr>
  </w:style>
  <w:style w:type="paragraph" w:customStyle="1" w:styleId="numerados">
    <w:name w:val="numerados"/>
    <w:basedOn w:val="Normal"/>
    <w:qFormat/>
    <w:rsid w:val="00965D93"/>
    <w:pPr>
      <w:numPr>
        <w:numId w:val="4"/>
      </w:numPr>
      <w:spacing w:after="240" w:line="360" w:lineRule="auto"/>
      <w:ind w:left="0" w:firstLine="0"/>
      <w:jc w:val="both"/>
    </w:pPr>
    <w:rPr>
      <w:rFonts w:ascii="Univers" w:eastAsia="Times New Roman" w:hAnsi="Univers" w:cs="Times New Roman"/>
      <w:sz w:val="28"/>
      <w:szCs w:val="28"/>
    </w:rPr>
  </w:style>
  <w:style w:type="table" w:customStyle="1" w:styleId="Tablaconcuadrcula1">
    <w:name w:val="Tabla con cuadrícula1"/>
    <w:basedOn w:val="Tablanormal"/>
    <w:next w:val="Tablaconcuadrcula"/>
    <w:uiPriority w:val="39"/>
    <w:rsid w:val="00097C5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5F4C5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1,Normal (Web) Car Car,Normal (Web) Car1 Car Car,Normal (Web) Car Car Car Car Car Car Car Car Car Car Car,Normal (Web) Car Car Car Car Car Car, Car Car Car, Car Car Car Car Car,Car,Car Car,Normal (Web) Car Car Car Car Car,C"/>
    <w:basedOn w:val="Normal"/>
    <w:link w:val="NormalWebCar"/>
    <w:uiPriority w:val="99"/>
    <w:unhideWhenUsed/>
    <w:qFormat/>
    <w:rsid w:val="00F8339D"/>
    <w:pPr>
      <w:spacing w:before="100" w:beforeAutospacing="1" w:after="100" w:afterAutospacing="1"/>
    </w:pPr>
    <w:rPr>
      <w:rFonts w:ascii="Times New Roman" w:eastAsia="Times New Roman" w:hAnsi="Times New Roman" w:cs="Times New Roman"/>
      <w:sz w:val="24"/>
      <w:szCs w:val="24"/>
      <w:lang w:eastAsia="es-MX"/>
    </w:rPr>
  </w:style>
  <w:style w:type="table" w:customStyle="1" w:styleId="Tablaconcuadrcula32">
    <w:name w:val="Tabla con cuadrícula32"/>
    <w:basedOn w:val="Tablanormal"/>
    <w:next w:val="Tablaconcuadrcula"/>
    <w:uiPriority w:val="39"/>
    <w:rsid w:val="00B702C7"/>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aliases w:val="Normal (Web) Car1 Car,Normal (Web) Car Car Car,Normal (Web) Car1 Car Car Car,Normal (Web) Car Car Car Car Car Car Car Car Car Car Car Car,Normal (Web) Car Car Car Car Car Car Car, Car Car Car Car, Car Car Car Car Car Car,Car Car1,C Car"/>
    <w:link w:val="NormalWeb"/>
    <w:uiPriority w:val="99"/>
    <w:rsid w:val="001D582D"/>
    <w:rPr>
      <w:rFonts w:ascii="Times New Roman" w:eastAsia="Times New Roman" w:hAnsi="Times New Roman" w:cs="Times New Roman"/>
      <w:sz w:val="24"/>
      <w:szCs w:val="24"/>
      <w:lang w:eastAsia="es-MX"/>
    </w:rPr>
  </w:style>
  <w:style w:type="paragraph" w:customStyle="1" w:styleId="Normalsentencia">
    <w:name w:val="Normal sentencia"/>
    <w:basedOn w:val="Normal"/>
    <w:link w:val="NormalsentenciaCar"/>
    <w:qFormat/>
    <w:rsid w:val="000D257D"/>
    <w:pPr>
      <w:spacing w:before="360" w:after="240" w:line="360" w:lineRule="auto"/>
      <w:ind w:firstLine="709"/>
      <w:jc w:val="both"/>
    </w:pPr>
    <w:rPr>
      <w:rFonts w:ascii="Univers" w:eastAsia="Times New Roman" w:hAnsi="Univers" w:cs="Arial"/>
      <w:sz w:val="28"/>
      <w:szCs w:val="22"/>
      <w:lang w:val="es-ES" w:eastAsia="es-ES"/>
    </w:rPr>
  </w:style>
  <w:style w:type="character" w:customStyle="1" w:styleId="NormalsentenciaCar">
    <w:name w:val="Normal sentencia Car"/>
    <w:basedOn w:val="Fuentedeprrafopredeter"/>
    <w:link w:val="Normalsentencia"/>
    <w:rsid w:val="000D257D"/>
    <w:rPr>
      <w:rFonts w:ascii="Univers" w:eastAsia="Times New Roman" w:hAnsi="Univers" w:cs="Arial"/>
      <w:sz w:val="2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31FD9"/>
    <w:pPr>
      <w:jc w:val="both"/>
    </w:pPr>
    <w:rPr>
      <w:rFonts w:asciiTheme="minorHAnsi" w:hAnsiTheme="minorHAnsi"/>
      <w:sz w:val="22"/>
      <w:szCs w:val="22"/>
      <w:vertAlign w:val="superscript"/>
    </w:rPr>
  </w:style>
  <w:style w:type="character" w:styleId="Refdecomentario">
    <w:name w:val="annotation reference"/>
    <w:basedOn w:val="Fuentedeprrafopredeter"/>
    <w:uiPriority w:val="99"/>
    <w:semiHidden/>
    <w:unhideWhenUsed/>
    <w:rsid w:val="00087DE1"/>
    <w:rPr>
      <w:sz w:val="16"/>
      <w:szCs w:val="16"/>
    </w:rPr>
  </w:style>
  <w:style w:type="paragraph" w:styleId="Textocomentario">
    <w:name w:val="annotation text"/>
    <w:basedOn w:val="Normal"/>
    <w:link w:val="TextocomentarioCar"/>
    <w:uiPriority w:val="99"/>
    <w:semiHidden/>
    <w:unhideWhenUsed/>
    <w:rsid w:val="00087DE1"/>
  </w:style>
  <w:style w:type="character" w:customStyle="1" w:styleId="TextocomentarioCar">
    <w:name w:val="Texto comentario Car"/>
    <w:basedOn w:val="Fuentedeprrafopredeter"/>
    <w:link w:val="Textocomentario"/>
    <w:uiPriority w:val="99"/>
    <w:semiHidden/>
    <w:rsid w:val="00087DE1"/>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087DE1"/>
    <w:rPr>
      <w:b/>
      <w:bCs/>
    </w:rPr>
  </w:style>
  <w:style w:type="character" w:customStyle="1" w:styleId="AsuntodelcomentarioCar">
    <w:name w:val="Asunto del comentario Car"/>
    <w:basedOn w:val="TextocomentarioCar"/>
    <w:link w:val="Asuntodelcomentario"/>
    <w:uiPriority w:val="99"/>
    <w:semiHidden/>
    <w:rsid w:val="00087DE1"/>
    <w:rPr>
      <w:rFonts w:ascii="Arial" w:hAnsi="Arial"/>
      <w:b/>
      <w:bCs/>
      <w:sz w:val="20"/>
      <w:szCs w:val="20"/>
    </w:rPr>
  </w:style>
  <w:style w:type="character" w:customStyle="1" w:styleId="PrrafodelistaCar">
    <w:name w:val="Párrafo de lista Car"/>
    <w:aliases w:val="CNBV Parrafo1 Car,Párrafo de lista1 Car,Footnote Car,List Paragraph2 Car,List Paragraph1 Car,Colorful List - Accent 11 Car,Lista vistosa - Énfasis 11 Car,Parrafo 1 Car,Lista multicolor - Énfasis 11 Car,Cita texto Car"/>
    <w:link w:val="Prrafodelista"/>
    <w:uiPriority w:val="34"/>
    <w:qFormat/>
    <w:rsid w:val="00477427"/>
    <w:rPr>
      <w:rFonts w:ascii="Arial" w:hAnsi="Arial"/>
      <w:sz w:val="20"/>
      <w:szCs w:val="20"/>
    </w:rPr>
  </w:style>
  <w:style w:type="character" w:styleId="Textoennegrita">
    <w:name w:val="Strong"/>
    <w:basedOn w:val="Fuentedeprrafopredeter"/>
    <w:uiPriority w:val="22"/>
    <w:qFormat/>
    <w:rsid w:val="00D37044"/>
    <w:rPr>
      <w:b/>
      <w:bCs/>
    </w:rPr>
  </w:style>
  <w:style w:type="paragraph" w:styleId="Textonotaalfinal">
    <w:name w:val="endnote text"/>
    <w:basedOn w:val="Normal"/>
    <w:link w:val="TextonotaalfinalCar"/>
    <w:uiPriority w:val="99"/>
    <w:semiHidden/>
    <w:unhideWhenUsed/>
    <w:rsid w:val="0018035E"/>
  </w:style>
  <w:style w:type="character" w:customStyle="1" w:styleId="TextonotaalfinalCar">
    <w:name w:val="Texto nota al final Car"/>
    <w:basedOn w:val="Fuentedeprrafopredeter"/>
    <w:link w:val="Textonotaalfinal"/>
    <w:uiPriority w:val="99"/>
    <w:semiHidden/>
    <w:rsid w:val="0018035E"/>
    <w:rPr>
      <w:rFonts w:ascii="Arial" w:hAnsi="Arial"/>
      <w:sz w:val="20"/>
      <w:szCs w:val="20"/>
    </w:rPr>
  </w:style>
  <w:style w:type="character" w:styleId="Refdenotaalfinal">
    <w:name w:val="endnote reference"/>
    <w:basedOn w:val="Fuentedeprrafopredeter"/>
    <w:uiPriority w:val="99"/>
    <w:semiHidden/>
    <w:unhideWhenUsed/>
    <w:rsid w:val="0018035E"/>
    <w:rPr>
      <w:vertAlign w:val="superscript"/>
    </w:rPr>
  </w:style>
  <w:style w:type="character" w:styleId="Mencinsinresolver">
    <w:name w:val="Unresolved Mention"/>
    <w:basedOn w:val="Fuentedeprrafopredeter"/>
    <w:uiPriority w:val="99"/>
    <w:semiHidden/>
    <w:unhideWhenUsed/>
    <w:rsid w:val="00BF75B1"/>
    <w:rPr>
      <w:color w:val="605E5C"/>
      <w:shd w:val="clear" w:color="auto" w:fill="E1DFDD"/>
    </w:rPr>
  </w:style>
  <w:style w:type="character" w:styleId="Hipervnculovisitado">
    <w:name w:val="FollowedHyperlink"/>
    <w:basedOn w:val="Fuentedeprrafopredeter"/>
    <w:uiPriority w:val="99"/>
    <w:semiHidden/>
    <w:unhideWhenUsed/>
    <w:rsid w:val="002D5925"/>
    <w:rPr>
      <w:color w:val="954F72" w:themeColor="followedHyperlink"/>
      <w:u w:val="single"/>
    </w:rPr>
  </w:style>
  <w:style w:type="paragraph" w:customStyle="1" w:styleId="Estilo">
    <w:name w:val="Estilo"/>
    <w:basedOn w:val="Sinespaciado"/>
    <w:link w:val="EstiloCar"/>
    <w:qFormat/>
    <w:rsid w:val="00811D27"/>
    <w:pPr>
      <w:jc w:val="both"/>
    </w:pPr>
    <w:rPr>
      <w:sz w:val="24"/>
      <w:szCs w:val="22"/>
    </w:rPr>
  </w:style>
  <w:style w:type="character" w:customStyle="1" w:styleId="EstiloCar">
    <w:name w:val="Estilo Car"/>
    <w:basedOn w:val="Fuentedeprrafopredeter"/>
    <w:link w:val="Estilo"/>
    <w:rsid w:val="00811D27"/>
    <w:rPr>
      <w:rFonts w:ascii="Arial" w:hAnsi="Arial"/>
      <w:sz w:val="24"/>
    </w:rPr>
  </w:style>
  <w:style w:type="paragraph" w:styleId="Sinespaciado">
    <w:name w:val="No Spacing"/>
    <w:uiPriority w:val="1"/>
    <w:qFormat/>
    <w:rsid w:val="00811D27"/>
    <w:pPr>
      <w:spacing w:after="0" w:line="240" w:lineRule="auto"/>
    </w:pPr>
    <w:rPr>
      <w:rFonts w:ascii="Arial" w:hAnsi="Arial"/>
      <w:sz w:val="20"/>
      <w:szCs w:val="20"/>
    </w:rPr>
  </w:style>
  <w:style w:type="character" w:customStyle="1" w:styleId="red">
    <w:name w:val="red"/>
    <w:basedOn w:val="Fuentedeprrafopredeter"/>
    <w:rsid w:val="002347E4"/>
  </w:style>
  <w:style w:type="paragraph" w:customStyle="1" w:styleId="corte4fondo">
    <w:name w:val="corte4 fondo"/>
    <w:basedOn w:val="Normal"/>
    <w:link w:val="corte4fondoCar1"/>
    <w:qFormat/>
    <w:rsid w:val="00AA67DC"/>
    <w:pPr>
      <w:spacing w:line="360" w:lineRule="auto"/>
      <w:ind w:firstLine="709"/>
      <w:jc w:val="both"/>
    </w:pPr>
    <w:rPr>
      <w:rFonts w:eastAsia="Times New Roman" w:cs="Times New Roman"/>
      <w:sz w:val="30"/>
      <w:lang w:val="es-ES_tradnl" w:eastAsia="es-MX"/>
    </w:rPr>
  </w:style>
  <w:style w:type="character" w:customStyle="1" w:styleId="corte4fondoCar1">
    <w:name w:val="corte4 fondo Car1"/>
    <w:link w:val="corte4fondo"/>
    <w:rsid w:val="00AA67DC"/>
    <w:rPr>
      <w:rFonts w:ascii="Arial" w:eastAsia="Times New Roman" w:hAnsi="Arial" w:cs="Times New Roman"/>
      <w:sz w:val="30"/>
      <w:szCs w:val="20"/>
      <w:lang w:val="es-ES_tradnl" w:eastAsia="es-MX"/>
    </w:rPr>
  </w:style>
  <w:style w:type="paragraph" w:styleId="TDC3">
    <w:name w:val="toc 3"/>
    <w:basedOn w:val="Normal"/>
    <w:next w:val="Normal"/>
    <w:autoRedefine/>
    <w:uiPriority w:val="39"/>
    <w:unhideWhenUsed/>
    <w:rsid w:val="00F30331"/>
    <w:pPr>
      <w:spacing w:after="100"/>
      <w:ind w:left="400"/>
    </w:pPr>
  </w:style>
  <w:style w:type="paragraph" w:styleId="Revisin">
    <w:name w:val="Revision"/>
    <w:hidden/>
    <w:uiPriority w:val="99"/>
    <w:semiHidden/>
    <w:rsid w:val="009F089C"/>
    <w:pPr>
      <w:spacing w:after="0" w:line="240" w:lineRule="auto"/>
    </w:pPr>
    <w:rPr>
      <w:rFonts w:ascii="Arial" w:hAnsi="Arial"/>
      <w:sz w:val="20"/>
      <w:szCs w:val="20"/>
    </w:rPr>
  </w:style>
  <w:style w:type="character" w:customStyle="1" w:styleId="Ttulo3Car">
    <w:name w:val="Título 3 Car"/>
    <w:basedOn w:val="Fuentedeprrafopredeter"/>
    <w:link w:val="Ttulo3"/>
    <w:uiPriority w:val="9"/>
    <w:semiHidden/>
    <w:rsid w:val="00806B0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9332">
      <w:bodyDiv w:val="1"/>
      <w:marLeft w:val="0"/>
      <w:marRight w:val="0"/>
      <w:marTop w:val="0"/>
      <w:marBottom w:val="0"/>
      <w:divBdr>
        <w:top w:val="none" w:sz="0" w:space="0" w:color="auto"/>
        <w:left w:val="none" w:sz="0" w:space="0" w:color="auto"/>
        <w:bottom w:val="none" w:sz="0" w:space="0" w:color="auto"/>
        <w:right w:val="none" w:sz="0" w:space="0" w:color="auto"/>
      </w:divBdr>
    </w:div>
    <w:div w:id="50229296">
      <w:bodyDiv w:val="1"/>
      <w:marLeft w:val="0"/>
      <w:marRight w:val="0"/>
      <w:marTop w:val="0"/>
      <w:marBottom w:val="0"/>
      <w:divBdr>
        <w:top w:val="none" w:sz="0" w:space="0" w:color="auto"/>
        <w:left w:val="none" w:sz="0" w:space="0" w:color="auto"/>
        <w:bottom w:val="none" w:sz="0" w:space="0" w:color="auto"/>
        <w:right w:val="none" w:sz="0" w:space="0" w:color="auto"/>
      </w:divBdr>
    </w:div>
    <w:div w:id="57872551">
      <w:bodyDiv w:val="1"/>
      <w:marLeft w:val="0"/>
      <w:marRight w:val="0"/>
      <w:marTop w:val="0"/>
      <w:marBottom w:val="0"/>
      <w:divBdr>
        <w:top w:val="none" w:sz="0" w:space="0" w:color="auto"/>
        <w:left w:val="none" w:sz="0" w:space="0" w:color="auto"/>
        <w:bottom w:val="none" w:sz="0" w:space="0" w:color="auto"/>
        <w:right w:val="none" w:sz="0" w:space="0" w:color="auto"/>
      </w:divBdr>
    </w:div>
    <w:div w:id="121926721">
      <w:bodyDiv w:val="1"/>
      <w:marLeft w:val="0"/>
      <w:marRight w:val="0"/>
      <w:marTop w:val="0"/>
      <w:marBottom w:val="0"/>
      <w:divBdr>
        <w:top w:val="none" w:sz="0" w:space="0" w:color="auto"/>
        <w:left w:val="none" w:sz="0" w:space="0" w:color="auto"/>
        <w:bottom w:val="none" w:sz="0" w:space="0" w:color="auto"/>
        <w:right w:val="none" w:sz="0" w:space="0" w:color="auto"/>
      </w:divBdr>
    </w:div>
    <w:div w:id="128596118">
      <w:bodyDiv w:val="1"/>
      <w:marLeft w:val="0"/>
      <w:marRight w:val="0"/>
      <w:marTop w:val="0"/>
      <w:marBottom w:val="0"/>
      <w:divBdr>
        <w:top w:val="none" w:sz="0" w:space="0" w:color="auto"/>
        <w:left w:val="none" w:sz="0" w:space="0" w:color="auto"/>
        <w:bottom w:val="none" w:sz="0" w:space="0" w:color="auto"/>
        <w:right w:val="none" w:sz="0" w:space="0" w:color="auto"/>
      </w:divBdr>
    </w:div>
    <w:div w:id="268853400">
      <w:bodyDiv w:val="1"/>
      <w:marLeft w:val="0"/>
      <w:marRight w:val="0"/>
      <w:marTop w:val="0"/>
      <w:marBottom w:val="0"/>
      <w:divBdr>
        <w:top w:val="none" w:sz="0" w:space="0" w:color="auto"/>
        <w:left w:val="none" w:sz="0" w:space="0" w:color="auto"/>
        <w:bottom w:val="none" w:sz="0" w:space="0" w:color="auto"/>
        <w:right w:val="none" w:sz="0" w:space="0" w:color="auto"/>
      </w:divBdr>
    </w:div>
    <w:div w:id="292173420">
      <w:bodyDiv w:val="1"/>
      <w:marLeft w:val="0"/>
      <w:marRight w:val="0"/>
      <w:marTop w:val="0"/>
      <w:marBottom w:val="0"/>
      <w:divBdr>
        <w:top w:val="none" w:sz="0" w:space="0" w:color="auto"/>
        <w:left w:val="none" w:sz="0" w:space="0" w:color="auto"/>
        <w:bottom w:val="none" w:sz="0" w:space="0" w:color="auto"/>
        <w:right w:val="none" w:sz="0" w:space="0" w:color="auto"/>
      </w:divBdr>
    </w:div>
    <w:div w:id="338198147">
      <w:bodyDiv w:val="1"/>
      <w:marLeft w:val="0"/>
      <w:marRight w:val="0"/>
      <w:marTop w:val="0"/>
      <w:marBottom w:val="0"/>
      <w:divBdr>
        <w:top w:val="none" w:sz="0" w:space="0" w:color="auto"/>
        <w:left w:val="none" w:sz="0" w:space="0" w:color="auto"/>
        <w:bottom w:val="none" w:sz="0" w:space="0" w:color="auto"/>
        <w:right w:val="none" w:sz="0" w:space="0" w:color="auto"/>
      </w:divBdr>
    </w:div>
    <w:div w:id="354814719">
      <w:bodyDiv w:val="1"/>
      <w:marLeft w:val="0"/>
      <w:marRight w:val="0"/>
      <w:marTop w:val="0"/>
      <w:marBottom w:val="0"/>
      <w:divBdr>
        <w:top w:val="none" w:sz="0" w:space="0" w:color="auto"/>
        <w:left w:val="none" w:sz="0" w:space="0" w:color="auto"/>
        <w:bottom w:val="none" w:sz="0" w:space="0" w:color="auto"/>
        <w:right w:val="none" w:sz="0" w:space="0" w:color="auto"/>
      </w:divBdr>
    </w:div>
    <w:div w:id="365300947">
      <w:bodyDiv w:val="1"/>
      <w:marLeft w:val="0"/>
      <w:marRight w:val="0"/>
      <w:marTop w:val="0"/>
      <w:marBottom w:val="0"/>
      <w:divBdr>
        <w:top w:val="none" w:sz="0" w:space="0" w:color="auto"/>
        <w:left w:val="none" w:sz="0" w:space="0" w:color="auto"/>
        <w:bottom w:val="none" w:sz="0" w:space="0" w:color="auto"/>
        <w:right w:val="none" w:sz="0" w:space="0" w:color="auto"/>
      </w:divBdr>
    </w:div>
    <w:div w:id="500896441">
      <w:bodyDiv w:val="1"/>
      <w:marLeft w:val="0"/>
      <w:marRight w:val="0"/>
      <w:marTop w:val="0"/>
      <w:marBottom w:val="0"/>
      <w:divBdr>
        <w:top w:val="none" w:sz="0" w:space="0" w:color="auto"/>
        <w:left w:val="none" w:sz="0" w:space="0" w:color="auto"/>
        <w:bottom w:val="none" w:sz="0" w:space="0" w:color="auto"/>
        <w:right w:val="none" w:sz="0" w:space="0" w:color="auto"/>
      </w:divBdr>
    </w:div>
    <w:div w:id="523129562">
      <w:bodyDiv w:val="1"/>
      <w:marLeft w:val="0"/>
      <w:marRight w:val="0"/>
      <w:marTop w:val="0"/>
      <w:marBottom w:val="0"/>
      <w:divBdr>
        <w:top w:val="none" w:sz="0" w:space="0" w:color="auto"/>
        <w:left w:val="none" w:sz="0" w:space="0" w:color="auto"/>
        <w:bottom w:val="none" w:sz="0" w:space="0" w:color="auto"/>
        <w:right w:val="none" w:sz="0" w:space="0" w:color="auto"/>
      </w:divBdr>
    </w:div>
    <w:div w:id="553270801">
      <w:bodyDiv w:val="1"/>
      <w:marLeft w:val="0"/>
      <w:marRight w:val="0"/>
      <w:marTop w:val="0"/>
      <w:marBottom w:val="0"/>
      <w:divBdr>
        <w:top w:val="none" w:sz="0" w:space="0" w:color="auto"/>
        <w:left w:val="none" w:sz="0" w:space="0" w:color="auto"/>
        <w:bottom w:val="none" w:sz="0" w:space="0" w:color="auto"/>
        <w:right w:val="none" w:sz="0" w:space="0" w:color="auto"/>
      </w:divBdr>
    </w:div>
    <w:div w:id="553859349">
      <w:bodyDiv w:val="1"/>
      <w:marLeft w:val="0"/>
      <w:marRight w:val="0"/>
      <w:marTop w:val="0"/>
      <w:marBottom w:val="0"/>
      <w:divBdr>
        <w:top w:val="none" w:sz="0" w:space="0" w:color="auto"/>
        <w:left w:val="none" w:sz="0" w:space="0" w:color="auto"/>
        <w:bottom w:val="none" w:sz="0" w:space="0" w:color="auto"/>
        <w:right w:val="none" w:sz="0" w:space="0" w:color="auto"/>
      </w:divBdr>
      <w:divsChild>
        <w:div w:id="306863807">
          <w:marLeft w:val="0"/>
          <w:marRight w:val="0"/>
          <w:marTop w:val="0"/>
          <w:marBottom w:val="101"/>
          <w:divBdr>
            <w:top w:val="none" w:sz="0" w:space="0" w:color="auto"/>
            <w:left w:val="none" w:sz="0" w:space="0" w:color="auto"/>
            <w:bottom w:val="none" w:sz="0" w:space="0" w:color="auto"/>
            <w:right w:val="none" w:sz="0" w:space="0" w:color="auto"/>
          </w:divBdr>
        </w:div>
        <w:div w:id="768353738">
          <w:marLeft w:val="0"/>
          <w:marRight w:val="0"/>
          <w:marTop w:val="0"/>
          <w:marBottom w:val="101"/>
          <w:divBdr>
            <w:top w:val="none" w:sz="0" w:space="0" w:color="auto"/>
            <w:left w:val="none" w:sz="0" w:space="0" w:color="auto"/>
            <w:bottom w:val="none" w:sz="0" w:space="0" w:color="auto"/>
            <w:right w:val="none" w:sz="0" w:space="0" w:color="auto"/>
          </w:divBdr>
        </w:div>
        <w:div w:id="840585419">
          <w:marLeft w:val="0"/>
          <w:marRight w:val="0"/>
          <w:marTop w:val="0"/>
          <w:marBottom w:val="101"/>
          <w:divBdr>
            <w:top w:val="none" w:sz="0" w:space="0" w:color="auto"/>
            <w:left w:val="none" w:sz="0" w:space="0" w:color="auto"/>
            <w:bottom w:val="none" w:sz="0" w:space="0" w:color="auto"/>
            <w:right w:val="none" w:sz="0" w:space="0" w:color="auto"/>
          </w:divBdr>
        </w:div>
        <w:div w:id="1031297280">
          <w:marLeft w:val="0"/>
          <w:marRight w:val="0"/>
          <w:marTop w:val="0"/>
          <w:marBottom w:val="101"/>
          <w:divBdr>
            <w:top w:val="none" w:sz="0" w:space="0" w:color="auto"/>
            <w:left w:val="none" w:sz="0" w:space="0" w:color="auto"/>
            <w:bottom w:val="none" w:sz="0" w:space="0" w:color="auto"/>
            <w:right w:val="none" w:sz="0" w:space="0" w:color="auto"/>
          </w:divBdr>
        </w:div>
        <w:div w:id="1053773611">
          <w:marLeft w:val="0"/>
          <w:marRight w:val="0"/>
          <w:marTop w:val="0"/>
          <w:marBottom w:val="101"/>
          <w:divBdr>
            <w:top w:val="none" w:sz="0" w:space="0" w:color="auto"/>
            <w:left w:val="none" w:sz="0" w:space="0" w:color="auto"/>
            <w:bottom w:val="none" w:sz="0" w:space="0" w:color="auto"/>
            <w:right w:val="none" w:sz="0" w:space="0" w:color="auto"/>
          </w:divBdr>
        </w:div>
        <w:div w:id="1143888216">
          <w:marLeft w:val="0"/>
          <w:marRight w:val="0"/>
          <w:marTop w:val="0"/>
          <w:marBottom w:val="101"/>
          <w:divBdr>
            <w:top w:val="none" w:sz="0" w:space="0" w:color="auto"/>
            <w:left w:val="none" w:sz="0" w:space="0" w:color="auto"/>
            <w:bottom w:val="none" w:sz="0" w:space="0" w:color="auto"/>
            <w:right w:val="none" w:sz="0" w:space="0" w:color="auto"/>
          </w:divBdr>
        </w:div>
        <w:div w:id="1264146099">
          <w:marLeft w:val="0"/>
          <w:marRight w:val="0"/>
          <w:marTop w:val="0"/>
          <w:marBottom w:val="101"/>
          <w:divBdr>
            <w:top w:val="none" w:sz="0" w:space="0" w:color="auto"/>
            <w:left w:val="none" w:sz="0" w:space="0" w:color="auto"/>
            <w:bottom w:val="none" w:sz="0" w:space="0" w:color="auto"/>
            <w:right w:val="none" w:sz="0" w:space="0" w:color="auto"/>
          </w:divBdr>
        </w:div>
        <w:div w:id="1759599250">
          <w:marLeft w:val="0"/>
          <w:marRight w:val="0"/>
          <w:marTop w:val="0"/>
          <w:marBottom w:val="101"/>
          <w:divBdr>
            <w:top w:val="none" w:sz="0" w:space="0" w:color="auto"/>
            <w:left w:val="none" w:sz="0" w:space="0" w:color="auto"/>
            <w:bottom w:val="none" w:sz="0" w:space="0" w:color="auto"/>
            <w:right w:val="none" w:sz="0" w:space="0" w:color="auto"/>
          </w:divBdr>
        </w:div>
        <w:div w:id="2078354871">
          <w:marLeft w:val="0"/>
          <w:marRight w:val="0"/>
          <w:marTop w:val="0"/>
          <w:marBottom w:val="101"/>
          <w:divBdr>
            <w:top w:val="none" w:sz="0" w:space="0" w:color="auto"/>
            <w:left w:val="none" w:sz="0" w:space="0" w:color="auto"/>
            <w:bottom w:val="none" w:sz="0" w:space="0" w:color="auto"/>
            <w:right w:val="none" w:sz="0" w:space="0" w:color="auto"/>
          </w:divBdr>
        </w:div>
      </w:divsChild>
    </w:div>
    <w:div w:id="562374822">
      <w:bodyDiv w:val="1"/>
      <w:marLeft w:val="0"/>
      <w:marRight w:val="0"/>
      <w:marTop w:val="0"/>
      <w:marBottom w:val="0"/>
      <w:divBdr>
        <w:top w:val="none" w:sz="0" w:space="0" w:color="auto"/>
        <w:left w:val="none" w:sz="0" w:space="0" w:color="auto"/>
        <w:bottom w:val="none" w:sz="0" w:space="0" w:color="auto"/>
        <w:right w:val="none" w:sz="0" w:space="0" w:color="auto"/>
      </w:divBdr>
    </w:div>
    <w:div w:id="589704372">
      <w:bodyDiv w:val="1"/>
      <w:marLeft w:val="0"/>
      <w:marRight w:val="0"/>
      <w:marTop w:val="0"/>
      <w:marBottom w:val="0"/>
      <w:divBdr>
        <w:top w:val="none" w:sz="0" w:space="0" w:color="auto"/>
        <w:left w:val="none" w:sz="0" w:space="0" w:color="auto"/>
        <w:bottom w:val="none" w:sz="0" w:space="0" w:color="auto"/>
        <w:right w:val="none" w:sz="0" w:space="0" w:color="auto"/>
      </w:divBdr>
      <w:divsChild>
        <w:div w:id="537085308">
          <w:marLeft w:val="0"/>
          <w:marRight w:val="0"/>
          <w:marTop w:val="0"/>
          <w:marBottom w:val="101"/>
          <w:divBdr>
            <w:top w:val="none" w:sz="0" w:space="0" w:color="auto"/>
            <w:left w:val="none" w:sz="0" w:space="0" w:color="auto"/>
            <w:bottom w:val="none" w:sz="0" w:space="0" w:color="auto"/>
            <w:right w:val="none" w:sz="0" w:space="0" w:color="auto"/>
          </w:divBdr>
        </w:div>
        <w:div w:id="813105900">
          <w:marLeft w:val="0"/>
          <w:marRight w:val="0"/>
          <w:marTop w:val="0"/>
          <w:marBottom w:val="101"/>
          <w:divBdr>
            <w:top w:val="none" w:sz="0" w:space="0" w:color="auto"/>
            <w:left w:val="none" w:sz="0" w:space="0" w:color="auto"/>
            <w:bottom w:val="none" w:sz="0" w:space="0" w:color="auto"/>
            <w:right w:val="none" w:sz="0" w:space="0" w:color="auto"/>
          </w:divBdr>
        </w:div>
        <w:div w:id="1678770787">
          <w:marLeft w:val="0"/>
          <w:marRight w:val="0"/>
          <w:marTop w:val="0"/>
          <w:marBottom w:val="80"/>
          <w:divBdr>
            <w:top w:val="none" w:sz="0" w:space="0" w:color="auto"/>
            <w:left w:val="none" w:sz="0" w:space="0" w:color="auto"/>
            <w:bottom w:val="none" w:sz="0" w:space="0" w:color="auto"/>
            <w:right w:val="none" w:sz="0" w:space="0" w:color="auto"/>
          </w:divBdr>
        </w:div>
      </w:divsChild>
    </w:div>
    <w:div w:id="718476745">
      <w:bodyDiv w:val="1"/>
      <w:marLeft w:val="0"/>
      <w:marRight w:val="0"/>
      <w:marTop w:val="0"/>
      <w:marBottom w:val="0"/>
      <w:divBdr>
        <w:top w:val="none" w:sz="0" w:space="0" w:color="auto"/>
        <w:left w:val="none" w:sz="0" w:space="0" w:color="auto"/>
        <w:bottom w:val="none" w:sz="0" w:space="0" w:color="auto"/>
        <w:right w:val="none" w:sz="0" w:space="0" w:color="auto"/>
      </w:divBdr>
    </w:div>
    <w:div w:id="841554188">
      <w:bodyDiv w:val="1"/>
      <w:marLeft w:val="0"/>
      <w:marRight w:val="0"/>
      <w:marTop w:val="0"/>
      <w:marBottom w:val="0"/>
      <w:divBdr>
        <w:top w:val="none" w:sz="0" w:space="0" w:color="auto"/>
        <w:left w:val="none" w:sz="0" w:space="0" w:color="auto"/>
        <w:bottom w:val="none" w:sz="0" w:space="0" w:color="auto"/>
        <w:right w:val="none" w:sz="0" w:space="0" w:color="auto"/>
      </w:divBdr>
    </w:div>
    <w:div w:id="908077528">
      <w:bodyDiv w:val="1"/>
      <w:marLeft w:val="0"/>
      <w:marRight w:val="0"/>
      <w:marTop w:val="0"/>
      <w:marBottom w:val="0"/>
      <w:divBdr>
        <w:top w:val="none" w:sz="0" w:space="0" w:color="auto"/>
        <w:left w:val="none" w:sz="0" w:space="0" w:color="auto"/>
        <w:bottom w:val="none" w:sz="0" w:space="0" w:color="auto"/>
        <w:right w:val="none" w:sz="0" w:space="0" w:color="auto"/>
      </w:divBdr>
    </w:div>
    <w:div w:id="926111423">
      <w:bodyDiv w:val="1"/>
      <w:marLeft w:val="0"/>
      <w:marRight w:val="0"/>
      <w:marTop w:val="0"/>
      <w:marBottom w:val="0"/>
      <w:divBdr>
        <w:top w:val="none" w:sz="0" w:space="0" w:color="auto"/>
        <w:left w:val="none" w:sz="0" w:space="0" w:color="auto"/>
        <w:bottom w:val="none" w:sz="0" w:space="0" w:color="auto"/>
        <w:right w:val="none" w:sz="0" w:space="0" w:color="auto"/>
      </w:divBdr>
    </w:div>
    <w:div w:id="936406941">
      <w:bodyDiv w:val="1"/>
      <w:marLeft w:val="0"/>
      <w:marRight w:val="0"/>
      <w:marTop w:val="0"/>
      <w:marBottom w:val="0"/>
      <w:divBdr>
        <w:top w:val="none" w:sz="0" w:space="0" w:color="auto"/>
        <w:left w:val="none" w:sz="0" w:space="0" w:color="auto"/>
        <w:bottom w:val="none" w:sz="0" w:space="0" w:color="auto"/>
        <w:right w:val="none" w:sz="0" w:space="0" w:color="auto"/>
      </w:divBdr>
      <w:divsChild>
        <w:div w:id="1323849630">
          <w:marLeft w:val="0"/>
          <w:marRight w:val="0"/>
          <w:marTop w:val="0"/>
          <w:marBottom w:val="101"/>
          <w:divBdr>
            <w:top w:val="none" w:sz="0" w:space="0" w:color="auto"/>
            <w:left w:val="none" w:sz="0" w:space="0" w:color="auto"/>
            <w:bottom w:val="none" w:sz="0" w:space="0" w:color="auto"/>
            <w:right w:val="none" w:sz="0" w:space="0" w:color="auto"/>
          </w:divBdr>
        </w:div>
        <w:div w:id="1672488454">
          <w:marLeft w:val="0"/>
          <w:marRight w:val="0"/>
          <w:marTop w:val="0"/>
          <w:marBottom w:val="101"/>
          <w:divBdr>
            <w:top w:val="none" w:sz="0" w:space="0" w:color="auto"/>
            <w:left w:val="none" w:sz="0" w:space="0" w:color="auto"/>
            <w:bottom w:val="none" w:sz="0" w:space="0" w:color="auto"/>
            <w:right w:val="none" w:sz="0" w:space="0" w:color="auto"/>
          </w:divBdr>
        </w:div>
        <w:div w:id="1799061397">
          <w:marLeft w:val="0"/>
          <w:marRight w:val="0"/>
          <w:marTop w:val="0"/>
          <w:marBottom w:val="101"/>
          <w:divBdr>
            <w:top w:val="none" w:sz="0" w:space="0" w:color="auto"/>
            <w:left w:val="none" w:sz="0" w:space="0" w:color="auto"/>
            <w:bottom w:val="none" w:sz="0" w:space="0" w:color="auto"/>
            <w:right w:val="none" w:sz="0" w:space="0" w:color="auto"/>
          </w:divBdr>
        </w:div>
      </w:divsChild>
    </w:div>
    <w:div w:id="990400203">
      <w:bodyDiv w:val="1"/>
      <w:marLeft w:val="0"/>
      <w:marRight w:val="0"/>
      <w:marTop w:val="0"/>
      <w:marBottom w:val="0"/>
      <w:divBdr>
        <w:top w:val="none" w:sz="0" w:space="0" w:color="auto"/>
        <w:left w:val="none" w:sz="0" w:space="0" w:color="auto"/>
        <w:bottom w:val="none" w:sz="0" w:space="0" w:color="auto"/>
        <w:right w:val="none" w:sz="0" w:space="0" w:color="auto"/>
      </w:divBdr>
    </w:div>
    <w:div w:id="1049308788">
      <w:bodyDiv w:val="1"/>
      <w:marLeft w:val="0"/>
      <w:marRight w:val="0"/>
      <w:marTop w:val="0"/>
      <w:marBottom w:val="0"/>
      <w:divBdr>
        <w:top w:val="none" w:sz="0" w:space="0" w:color="auto"/>
        <w:left w:val="none" w:sz="0" w:space="0" w:color="auto"/>
        <w:bottom w:val="none" w:sz="0" w:space="0" w:color="auto"/>
        <w:right w:val="none" w:sz="0" w:space="0" w:color="auto"/>
      </w:divBdr>
    </w:div>
    <w:div w:id="1053045724">
      <w:bodyDiv w:val="1"/>
      <w:marLeft w:val="0"/>
      <w:marRight w:val="0"/>
      <w:marTop w:val="0"/>
      <w:marBottom w:val="0"/>
      <w:divBdr>
        <w:top w:val="none" w:sz="0" w:space="0" w:color="auto"/>
        <w:left w:val="none" w:sz="0" w:space="0" w:color="auto"/>
        <w:bottom w:val="none" w:sz="0" w:space="0" w:color="auto"/>
        <w:right w:val="none" w:sz="0" w:space="0" w:color="auto"/>
      </w:divBdr>
    </w:div>
    <w:div w:id="1116173526">
      <w:bodyDiv w:val="1"/>
      <w:marLeft w:val="0"/>
      <w:marRight w:val="0"/>
      <w:marTop w:val="0"/>
      <w:marBottom w:val="0"/>
      <w:divBdr>
        <w:top w:val="none" w:sz="0" w:space="0" w:color="auto"/>
        <w:left w:val="none" w:sz="0" w:space="0" w:color="auto"/>
        <w:bottom w:val="none" w:sz="0" w:space="0" w:color="auto"/>
        <w:right w:val="none" w:sz="0" w:space="0" w:color="auto"/>
      </w:divBdr>
    </w:div>
    <w:div w:id="1160391049">
      <w:bodyDiv w:val="1"/>
      <w:marLeft w:val="0"/>
      <w:marRight w:val="0"/>
      <w:marTop w:val="0"/>
      <w:marBottom w:val="0"/>
      <w:divBdr>
        <w:top w:val="none" w:sz="0" w:space="0" w:color="auto"/>
        <w:left w:val="none" w:sz="0" w:space="0" w:color="auto"/>
        <w:bottom w:val="none" w:sz="0" w:space="0" w:color="auto"/>
        <w:right w:val="none" w:sz="0" w:space="0" w:color="auto"/>
      </w:divBdr>
    </w:div>
    <w:div w:id="1219166459">
      <w:bodyDiv w:val="1"/>
      <w:marLeft w:val="0"/>
      <w:marRight w:val="0"/>
      <w:marTop w:val="0"/>
      <w:marBottom w:val="0"/>
      <w:divBdr>
        <w:top w:val="none" w:sz="0" w:space="0" w:color="auto"/>
        <w:left w:val="none" w:sz="0" w:space="0" w:color="auto"/>
        <w:bottom w:val="none" w:sz="0" w:space="0" w:color="auto"/>
        <w:right w:val="none" w:sz="0" w:space="0" w:color="auto"/>
      </w:divBdr>
    </w:div>
    <w:div w:id="1260718059">
      <w:bodyDiv w:val="1"/>
      <w:marLeft w:val="0"/>
      <w:marRight w:val="0"/>
      <w:marTop w:val="0"/>
      <w:marBottom w:val="0"/>
      <w:divBdr>
        <w:top w:val="none" w:sz="0" w:space="0" w:color="auto"/>
        <w:left w:val="none" w:sz="0" w:space="0" w:color="auto"/>
        <w:bottom w:val="none" w:sz="0" w:space="0" w:color="auto"/>
        <w:right w:val="none" w:sz="0" w:space="0" w:color="auto"/>
      </w:divBdr>
    </w:div>
    <w:div w:id="1332029616">
      <w:bodyDiv w:val="1"/>
      <w:marLeft w:val="0"/>
      <w:marRight w:val="0"/>
      <w:marTop w:val="0"/>
      <w:marBottom w:val="0"/>
      <w:divBdr>
        <w:top w:val="none" w:sz="0" w:space="0" w:color="auto"/>
        <w:left w:val="none" w:sz="0" w:space="0" w:color="auto"/>
        <w:bottom w:val="none" w:sz="0" w:space="0" w:color="auto"/>
        <w:right w:val="none" w:sz="0" w:space="0" w:color="auto"/>
      </w:divBdr>
    </w:div>
    <w:div w:id="1408383276">
      <w:bodyDiv w:val="1"/>
      <w:marLeft w:val="0"/>
      <w:marRight w:val="0"/>
      <w:marTop w:val="0"/>
      <w:marBottom w:val="0"/>
      <w:divBdr>
        <w:top w:val="none" w:sz="0" w:space="0" w:color="auto"/>
        <w:left w:val="none" w:sz="0" w:space="0" w:color="auto"/>
        <w:bottom w:val="none" w:sz="0" w:space="0" w:color="auto"/>
        <w:right w:val="none" w:sz="0" w:space="0" w:color="auto"/>
      </w:divBdr>
    </w:div>
    <w:div w:id="1715808569">
      <w:bodyDiv w:val="1"/>
      <w:marLeft w:val="0"/>
      <w:marRight w:val="0"/>
      <w:marTop w:val="0"/>
      <w:marBottom w:val="0"/>
      <w:divBdr>
        <w:top w:val="none" w:sz="0" w:space="0" w:color="auto"/>
        <w:left w:val="none" w:sz="0" w:space="0" w:color="auto"/>
        <w:bottom w:val="none" w:sz="0" w:space="0" w:color="auto"/>
        <w:right w:val="none" w:sz="0" w:space="0" w:color="auto"/>
      </w:divBdr>
    </w:div>
    <w:div w:id="1716539585">
      <w:bodyDiv w:val="1"/>
      <w:marLeft w:val="0"/>
      <w:marRight w:val="0"/>
      <w:marTop w:val="0"/>
      <w:marBottom w:val="0"/>
      <w:divBdr>
        <w:top w:val="none" w:sz="0" w:space="0" w:color="auto"/>
        <w:left w:val="none" w:sz="0" w:space="0" w:color="auto"/>
        <w:bottom w:val="none" w:sz="0" w:space="0" w:color="auto"/>
        <w:right w:val="none" w:sz="0" w:space="0" w:color="auto"/>
      </w:divBdr>
      <w:divsChild>
        <w:div w:id="39209391">
          <w:marLeft w:val="0"/>
          <w:marRight w:val="0"/>
          <w:marTop w:val="0"/>
          <w:marBottom w:val="80"/>
          <w:divBdr>
            <w:top w:val="none" w:sz="0" w:space="0" w:color="auto"/>
            <w:left w:val="none" w:sz="0" w:space="0" w:color="auto"/>
            <w:bottom w:val="none" w:sz="0" w:space="0" w:color="auto"/>
            <w:right w:val="none" w:sz="0" w:space="0" w:color="auto"/>
          </w:divBdr>
        </w:div>
        <w:div w:id="82802826">
          <w:marLeft w:val="0"/>
          <w:marRight w:val="0"/>
          <w:marTop w:val="0"/>
          <w:marBottom w:val="101"/>
          <w:divBdr>
            <w:top w:val="none" w:sz="0" w:space="0" w:color="auto"/>
            <w:left w:val="none" w:sz="0" w:space="0" w:color="auto"/>
            <w:bottom w:val="none" w:sz="0" w:space="0" w:color="auto"/>
            <w:right w:val="none" w:sz="0" w:space="0" w:color="auto"/>
          </w:divBdr>
        </w:div>
        <w:div w:id="180513915">
          <w:marLeft w:val="0"/>
          <w:marRight w:val="0"/>
          <w:marTop w:val="0"/>
          <w:marBottom w:val="101"/>
          <w:divBdr>
            <w:top w:val="none" w:sz="0" w:space="0" w:color="auto"/>
            <w:left w:val="none" w:sz="0" w:space="0" w:color="auto"/>
            <w:bottom w:val="none" w:sz="0" w:space="0" w:color="auto"/>
            <w:right w:val="none" w:sz="0" w:space="0" w:color="auto"/>
          </w:divBdr>
        </w:div>
        <w:div w:id="184943563">
          <w:marLeft w:val="0"/>
          <w:marRight w:val="0"/>
          <w:marTop w:val="0"/>
          <w:marBottom w:val="101"/>
          <w:divBdr>
            <w:top w:val="none" w:sz="0" w:space="0" w:color="auto"/>
            <w:left w:val="none" w:sz="0" w:space="0" w:color="auto"/>
            <w:bottom w:val="none" w:sz="0" w:space="0" w:color="auto"/>
            <w:right w:val="none" w:sz="0" w:space="0" w:color="auto"/>
          </w:divBdr>
        </w:div>
        <w:div w:id="324283676">
          <w:marLeft w:val="0"/>
          <w:marRight w:val="0"/>
          <w:marTop w:val="0"/>
          <w:marBottom w:val="86"/>
          <w:divBdr>
            <w:top w:val="none" w:sz="0" w:space="0" w:color="auto"/>
            <w:left w:val="none" w:sz="0" w:space="0" w:color="auto"/>
            <w:bottom w:val="none" w:sz="0" w:space="0" w:color="auto"/>
            <w:right w:val="none" w:sz="0" w:space="0" w:color="auto"/>
          </w:divBdr>
        </w:div>
        <w:div w:id="418872260">
          <w:marLeft w:val="0"/>
          <w:marRight w:val="0"/>
          <w:marTop w:val="0"/>
          <w:marBottom w:val="101"/>
          <w:divBdr>
            <w:top w:val="none" w:sz="0" w:space="0" w:color="auto"/>
            <w:left w:val="none" w:sz="0" w:space="0" w:color="auto"/>
            <w:bottom w:val="none" w:sz="0" w:space="0" w:color="auto"/>
            <w:right w:val="none" w:sz="0" w:space="0" w:color="auto"/>
          </w:divBdr>
        </w:div>
        <w:div w:id="446631569">
          <w:marLeft w:val="0"/>
          <w:marRight w:val="0"/>
          <w:marTop w:val="0"/>
          <w:marBottom w:val="101"/>
          <w:divBdr>
            <w:top w:val="none" w:sz="0" w:space="0" w:color="auto"/>
            <w:left w:val="none" w:sz="0" w:space="0" w:color="auto"/>
            <w:bottom w:val="none" w:sz="0" w:space="0" w:color="auto"/>
            <w:right w:val="none" w:sz="0" w:space="0" w:color="auto"/>
          </w:divBdr>
        </w:div>
        <w:div w:id="466361017">
          <w:marLeft w:val="0"/>
          <w:marRight w:val="0"/>
          <w:marTop w:val="0"/>
          <w:marBottom w:val="101"/>
          <w:divBdr>
            <w:top w:val="none" w:sz="0" w:space="0" w:color="auto"/>
            <w:left w:val="none" w:sz="0" w:space="0" w:color="auto"/>
            <w:bottom w:val="none" w:sz="0" w:space="0" w:color="auto"/>
            <w:right w:val="none" w:sz="0" w:space="0" w:color="auto"/>
          </w:divBdr>
        </w:div>
        <w:div w:id="479931240">
          <w:marLeft w:val="0"/>
          <w:marRight w:val="0"/>
          <w:marTop w:val="0"/>
          <w:marBottom w:val="80"/>
          <w:divBdr>
            <w:top w:val="none" w:sz="0" w:space="0" w:color="auto"/>
            <w:left w:val="none" w:sz="0" w:space="0" w:color="auto"/>
            <w:bottom w:val="none" w:sz="0" w:space="0" w:color="auto"/>
            <w:right w:val="none" w:sz="0" w:space="0" w:color="auto"/>
          </w:divBdr>
        </w:div>
        <w:div w:id="499122878">
          <w:marLeft w:val="0"/>
          <w:marRight w:val="0"/>
          <w:marTop w:val="0"/>
          <w:marBottom w:val="80"/>
          <w:divBdr>
            <w:top w:val="none" w:sz="0" w:space="0" w:color="auto"/>
            <w:left w:val="none" w:sz="0" w:space="0" w:color="auto"/>
            <w:bottom w:val="none" w:sz="0" w:space="0" w:color="auto"/>
            <w:right w:val="none" w:sz="0" w:space="0" w:color="auto"/>
          </w:divBdr>
        </w:div>
        <w:div w:id="591428605">
          <w:marLeft w:val="0"/>
          <w:marRight w:val="0"/>
          <w:marTop w:val="0"/>
          <w:marBottom w:val="80"/>
          <w:divBdr>
            <w:top w:val="none" w:sz="0" w:space="0" w:color="auto"/>
            <w:left w:val="none" w:sz="0" w:space="0" w:color="auto"/>
            <w:bottom w:val="none" w:sz="0" w:space="0" w:color="auto"/>
            <w:right w:val="none" w:sz="0" w:space="0" w:color="auto"/>
          </w:divBdr>
        </w:div>
        <w:div w:id="645477502">
          <w:marLeft w:val="0"/>
          <w:marRight w:val="0"/>
          <w:marTop w:val="0"/>
          <w:marBottom w:val="101"/>
          <w:divBdr>
            <w:top w:val="none" w:sz="0" w:space="0" w:color="auto"/>
            <w:left w:val="none" w:sz="0" w:space="0" w:color="auto"/>
            <w:bottom w:val="none" w:sz="0" w:space="0" w:color="auto"/>
            <w:right w:val="none" w:sz="0" w:space="0" w:color="auto"/>
          </w:divBdr>
        </w:div>
        <w:div w:id="677855530">
          <w:marLeft w:val="0"/>
          <w:marRight w:val="0"/>
          <w:marTop w:val="0"/>
          <w:marBottom w:val="101"/>
          <w:divBdr>
            <w:top w:val="none" w:sz="0" w:space="0" w:color="auto"/>
            <w:left w:val="none" w:sz="0" w:space="0" w:color="auto"/>
            <w:bottom w:val="none" w:sz="0" w:space="0" w:color="auto"/>
            <w:right w:val="none" w:sz="0" w:space="0" w:color="auto"/>
          </w:divBdr>
        </w:div>
        <w:div w:id="681518194">
          <w:marLeft w:val="0"/>
          <w:marRight w:val="0"/>
          <w:marTop w:val="0"/>
          <w:marBottom w:val="80"/>
          <w:divBdr>
            <w:top w:val="none" w:sz="0" w:space="0" w:color="auto"/>
            <w:left w:val="none" w:sz="0" w:space="0" w:color="auto"/>
            <w:bottom w:val="none" w:sz="0" w:space="0" w:color="auto"/>
            <w:right w:val="none" w:sz="0" w:space="0" w:color="auto"/>
          </w:divBdr>
        </w:div>
        <w:div w:id="758527274">
          <w:marLeft w:val="0"/>
          <w:marRight w:val="0"/>
          <w:marTop w:val="101"/>
          <w:marBottom w:val="80"/>
          <w:divBdr>
            <w:top w:val="none" w:sz="0" w:space="0" w:color="auto"/>
            <w:left w:val="none" w:sz="0" w:space="0" w:color="auto"/>
            <w:bottom w:val="none" w:sz="0" w:space="0" w:color="auto"/>
            <w:right w:val="none" w:sz="0" w:space="0" w:color="auto"/>
          </w:divBdr>
        </w:div>
        <w:div w:id="805046860">
          <w:marLeft w:val="0"/>
          <w:marRight w:val="0"/>
          <w:marTop w:val="0"/>
          <w:marBottom w:val="101"/>
          <w:divBdr>
            <w:top w:val="none" w:sz="0" w:space="0" w:color="auto"/>
            <w:left w:val="none" w:sz="0" w:space="0" w:color="auto"/>
            <w:bottom w:val="none" w:sz="0" w:space="0" w:color="auto"/>
            <w:right w:val="none" w:sz="0" w:space="0" w:color="auto"/>
          </w:divBdr>
        </w:div>
        <w:div w:id="813058739">
          <w:marLeft w:val="0"/>
          <w:marRight w:val="0"/>
          <w:marTop w:val="0"/>
          <w:marBottom w:val="101"/>
          <w:divBdr>
            <w:top w:val="none" w:sz="0" w:space="0" w:color="auto"/>
            <w:left w:val="none" w:sz="0" w:space="0" w:color="auto"/>
            <w:bottom w:val="none" w:sz="0" w:space="0" w:color="auto"/>
            <w:right w:val="none" w:sz="0" w:space="0" w:color="auto"/>
          </w:divBdr>
        </w:div>
        <w:div w:id="845905147">
          <w:marLeft w:val="0"/>
          <w:marRight w:val="0"/>
          <w:marTop w:val="0"/>
          <w:marBottom w:val="101"/>
          <w:divBdr>
            <w:top w:val="none" w:sz="0" w:space="0" w:color="auto"/>
            <w:left w:val="none" w:sz="0" w:space="0" w:color="auto"/>
            <w:bottom w:val="none" w:sz="0" w:space="0" w:color="auto"/>
            <w:right w:val="none" w:sz="0" w:space="0" w:color="auto"/>
          </w:divBdr>
        </w:div>
        <w:div w:id="943734956">
          <w:marLeft w:val="0"/>
          <w:marRight w:val="0"/>
          <w:marTop w:val="0"/>
          <w:marBottom w:val="101"/>
          <w:divBdr>
            <w:top w:val="none" w:sz="0" w:space="0" w:color="auto"/>
            <w:left w:val="none" w:sz="0" w:space="0" w:color="auto"/>
            <w:bottom w:val="none" w:sz="0" w:space="0" w:color="auto"/>
            <w:right w:val="none" w:sz="0" w:space="0" w:color="auto"/>
          </w:divBdr>
        </w:div>
        <w:div w:id="968513770">
          <w:marLeft w:val="0"/>
          <w:marRight w:val="0"/>
          <w:marTop w:val="0"/>
          <w:marBottom w:val="80"/>
          <w:divBdr>
            <w:top w:val="none" w:sz="0" w:space="0" w:color="auto"/>
            <w:left w:val="none" w:sz="0" w:space="0" w:color="auto"/>
            <w:bottom w:val="none" w:sz="0" w:space="0" w:color="auto"/>
            <w:right w:val="none" w:sz="0" w:space="0" w:color="auto"/>
          </w:divBdr>
        </w:div>
        <w:div w:id="972371927">
          <w:marLeft w:val="0"/>
          <w:marRight w:val="0"/>
          <w:marTop w:val="0"/>
          <w:marBottom w:val="80"/>
          <w:divBdr>
            <w:top w:val="none" w:sz="0" w:space="0" w:color="auto"/>
            <w:left w:val="none" w:sz="0" w:space="0" w:color="auto"/>
            <w:bottom w:val="none" w:sz="0" w:space="0" w:color="auto"/>
            <w:right w:val="none" w:sz="0" w:space="0" w:color="auto"/>
          </w:divBdr>
        </w:div>
        <w:div w:id="1067263404">
          <w:marLeft w:val="0"/>
          <w:marRight w:val="0"/>
          <w:marTop w:val="0"/>
          <w:marBottom w:val="101"/>
          <w:divBdr>
            <w:top w:val="none" w:sz="0" w:space="0" w:color="auto"/>
            <w:left w:val="none" w:sz="0" w:space="0" w:color="auto"/>
            <w:bottom w:val="none" w:sz="0" w:space="0" w:color="auto"/>
            <w:right w:val="none" w:sz="0" w:space="0" w:color="auto"/>
          </w:divBdr>
        </w:div>
        <w:div w:id="1212115314">
          <w:marLeft w:val="0"/>
          <w:marRight w:val="0"/>
          <w:marTop w:val="0"/>
          <w:marBottom w:val="101"/>
          <w:divBdr>
            <w:top w:val="none" w:sz="0" w:space="0" w:color="auto"/>
            <w:left w:val="none" w:sz="0" w:space="0" w:color="auto"/>
            <w:bottom w:val="none" w:sz="0" w:space="0" w:color="auto"/>
            <w:right w:val="none" w:sz="0" w:space="0" w:color="auto"/>
          </w:divBdr>
        </w:div>
        <w:div w:id="1225606350">
          <w:marLeft w:val="0"/>
          <w:marRight w:val="0"/>
          <w:marTop w:val="0"/>
          <w:marBottom w:val="80"/>
          <w:divBdr>
            <w:top w:val="none" w:sz="0" w:space="0" w:color="auto"/>
            <w:left w:val="none" w:sz="0" w:space="0" w:color="auto"/>
            <w:bottom w:val="none" w:sz="0" w:space="0" w:color="auto"/>
            <w:right w:val="none" w:sz="0" w:space="0" w:color="auto"/>
          </w:divBdr>
        </w:div>
        <w:div w:id="1268122732">
          <w:marLeft w:val="0"/>
          <w:marRight w:val="0"/>
          <w:marTop w:val="0"/>
          <w:marBottom w:val="101"/>
          <w:divBdr>
            <w:top w:val="none" w:sz="0" w:space="0" w:color="auto"/>
            <w:left w:val="none" w:sz="0" w:space="0" w:color="auto"/>
            <w:bottom w:val="none" w:sz="0" w:space="0" w:color="auto"/>
            <w:right w:val="none" w:sz="0" w:space="0" w:color="auto"/>
          </w:divBdr>
        </w:div>
        <w:div w:id="1276863498">
          <w:marLeft w:val="0"/>
          <w:marRight w:val="0"/>
          <w:marTop w:val="0"/>
          <w:marBottom w:val="80"/>
          <w:divBdr>
            <w:top w:val="none" w:sz="0" w:space="0" w:color="auto"/>
            <w:left w:val="none" w:sz="0" w:space="0" w:color="auto"/>
            <w:bottom w:val="none" w:sz="0" w:space="0" w:color="auto"/>
            <w:right w:val="none" w:sz="0" w:space="0" w:color="auto"/>
          </w:divBdr>
        </w:div>
        <w:div w:id="1443837176">
          <w:marLeft w:val="0"/>
          <w:marRight w:val="0"/>
          <w:marTop w:val="0"/>
          <w:marBottom w:val="101"/>
          <w:divBdr>
            <w:top w:val="none" w:sz="0" w:space="0" w:color="auto"/>
            <w:left w:val="none" w:sz="0" w:space="0" w:color="auto"/>
            <w:bottom w:val="none" w:sz="0" w:space="0" w:color="auto"/>
            <w:right w:val="none" w:sz="0" w:space="0" w:color="auto"/>
          </w:divBdr>
        </w:div>
        <w:div w:id="1518495645">
          <w:marLeft w:val="0"/>
          <w:marRight w:val="0"/>
          <w:marTop w:val="0"/>
          <w:marBottom w:val="80"/>
          <w:divBdr>
            <w:top w:val="none" w:sz="0" w:space="0" w:color="auto"/>
            <w:left w:val="none" w:sz="0" w:space="0" w:color="auto"/>
            <w:bottom w:val="none" w:sz="0" w:space="0" w:color="auto"/>
            <w:right w:val="none" w:sz="0" w:space="0" w:color="auto"/>
          </w:divBdr>
        </w:div>
        <w:div w:id="1585988507">
          <w:marLeft w:val="0"/>
          <w:marRight w:val="0"/>
          <w:marTop w:val="0"/>
          <w:marBottom w:val="101"/>
          <w:divBdr>
            <w:top w:val="none" w:sz="0" w:space="0" w:color="auto"/>
            <w:left w:val="none" w:sz="0" w:space="0" w:color="auto"/>
            <w:bottom w:val="none" w:sz="0" w:space="0" w:color="auto"/>
            <w:right w:val="none" w:sz="0" w:space="0" w:color="auto"/>
          </w:divBdr>
        </w:div>
        <w:div w:id="1630629916">
          <w:marLeft w:val="0"/>
          <w:marRight w:val="0"/>
          <w:marTop w:val="0"/>
          <w:marBottom w:val="101"/>
          <w:divBdr>
            <w:top w:val="none" w:sz="0" w:space="0" w:color="auto"/>
            <w:left w:val="none" w:sz="0" w:space="0" w:color="auto"/>
            <w:bottom w:val="none" w:sz="0" w:space="0" w:color="auto"/>
            <w:right w:val="none" w:sz="0" w:space="0" w:color="auto"/>
          </w:divBdr>
        </w:div>
        <w:div w:id="1639454509">
          <w:marLeft w:val="0"/>
          <w:marRight w:val="0"/>
          <w:marTop w:val="0"/>
          <w:marBottom w:val="101"/>
          <w:divBdr>
            <w:top w:val="none" w:sz="0" w:space="0" w:color="auto"/>
            <w:left w:val="none" w:sz="0" w:space="0" w:color="auto"/>
            <w:bottom w:val="none" w:sz="0" w:space="0" w:color="auto"/>
            <w:right w:val="none" w:sz="0" w:space="0" w:color="auto"/>
          </w:divBdr>
        </w:div>
        <w:div w:id="1772356358">
          <w:marLeft w:val="0"/>
          <w:marRight w:val="0"/>
          <w:marTop w:val="0"/>
          <w:marBottom w:val="80"/>
          <w:divBdr>
            <w:top w:val="none" w:sz="0" w:space="0" w:color="auto"/>
            <w:left w:val="none" w:sz="0" w:space="0" w:color="auto"/>
            <w:bottom w:val="none" w:sz="0" w:space="0" w:color="auto"/>
            <w:right w:val="none" w:sz="0" w:space="0" w:color="auto"/>
          </w:divBdr>
        </w:div>
        <w:div w:id="1817989240">
          <w:marLeft w:val="0"/>
          <w:marRight w:val="0"/>
          <w:marTop w:val="0"/>
          <w:marBottom w:val="101"/>
          <w:divBdr>
            <w:top w:val="none" w:sz="0" w:space="0" w:color="auto"/>
            <w:left w:val="none" w:sz="0" w:space="0" w:color="auto"/>
            <w:bottom w:val="none" w:sz="0" w:space="0" w:color="auto"/>
            <w:right w:val="none" w:sz="0" w:space="0" w:color="auto"/>
          </w:divBdr>
        </w:div>
        <w:div w:id="2075809339">
          <w:marLeft w:val="0"/>
          <w:marRight w:val="0"/>
          <w:marTop w:val="0"/>
          <w:marBottom w:val="101"/>
          <w:divBdr>
            <w:top w:val="none" w:sz="0" w:space="0" w:color="auto"/>
            <w:left w:val="none" w:sz="0" w:space="0" w:color="auto"/>
            <w:bottom w:val="none" w:sz="0" w:space="0" w:color="auto"/>
            <w:right w:val="none" w:sz="0" w:space="0" w:color="auto"/>
          </w:divBdr>
        </w:div>
        <w:div w:id="2145586580">
          <w:marLeft w:val="0"/>
          <w:marRight w:val="0"/>
          <w:marTop w:val="0"/>
          <w:marBottom w:val="80"/>
          <w:divBdr>
            <w:top w:val="none" w:sz="0" w:space="0" w:color="auto"/>
            <w:left w:val="none" w:sz="0" w:space="0" w:color="auto"/>
            <w:bottom w:val="none" w:sz="0" w:space="0" w:color="auto"/>
            <w:right w:val="none" w:sz="0" w:space="0" w:color="auto"/>
          </w:divBdr>
        </w:div>
      </w:divsChild>
    </w:div>
    <w:div w:id="1720934668">
      <w:bodyDiv w:val="1"/>
      <w:marLeft w:val="0"/>
      <w:marRight w:val="0"/>
      <w:marTop w:val="0"/>
      <w:marBottom w:val="0"/>
      <w:divBdr>
        <w:top w:val="none" w:sz="0" w:space="0" w:color="auto"/>
        <w:left w:val="none" w:sz="0" w:space="0" w:color="auto"/>
        <w:bottom w:val="none" w:sz="0" w:space="0" w:color="auto"/>
        <w:right w:val="none" w:sz="0" w:space="0" w:color="auto"/>
      </w:divBdr>
    </w:div>
    <w:div w:id="1726875358">
      <w:bodyDiv w:val="1"/>
      <w:marLeft w:val="0"/>
      <w:marRight w:val="0"/>
      <w:marTop w:val="0"/>
      <w:marBottom w:val="0"/>
      <w:divBdr>
        <w:top w:val="none" w:sz="0" w:space="0" w:color="auto"/>
        <w:left w:val="none" w:sz="0" w:space="0" w:color="auto"/>
        <w:bottom w:val="none" w:sz="0" w:space="0" w:color="auto"/>
        <w:right w:val="none" w:sz="0" w:space="0" w:color="auto"/>
      </w:divBdr>
    </w:div>
    <w:div w:id="1740396703">
      <w:bodyDiv w:val="1"/>
      <w:marLeft w:val="0"/>
      <w:marRight w:val="0"/>
      <w:marTop w:val="0"/>
      <w:marBottom w:val="0"/>
      <w:divBdr>
        <w:top w:val="none" w:sz="0" w:space="0" w:color="auto"/>
        <w:left w:val="none" w:sz="0" w:space="0" w:color="auto"/>
        <w:bottom w:val="none" w:sz="0" w:space="0" w:color="auto"/>
        <w:right w:val="none" w:sz="0" w:space="0" w:color="auto"/>
      </w:divBdr>
    </w:div>
    <w:div w:id="1797868863">
      <w:bodyDiv w:val="1"/>
      <w:marLeft w:val="0"/>
      <w:marRight w:val="0"/>
      <w:marTop w:val="0"/>
      <w:marBottom w:val="0"/>
      <w:divBdr>
        <w:top w:val="none" w:sz="0" w:space="0" w:color="auto"/>
        <w:left w:val="none" w:sz="0" w:space="0" w:color="auto"/>
        <w:bottom w:val="none" w:sz="0" w:space="0" w:color="auto"/>
        <w:right w:val="none" w:sz="0" w:space="0" w:color="auto"/>
      </w:divBdr>
      <w:divsChild>
        <w:div w:id="444542638">
          <w:marLeft w:val="0"/>
          <w:marRight w:val="0"/>
          <w:marTop w:val="0"/>
          <w:marBottom w:val="0"/>
          <w:divBdr>
            <w:top w:val="none" w:sz="0" w:space="0" w:color="auto"/>
            <w:left w:val="none" w:sz="0" w:space="0" w:color="auto"/>
            <w:bottom w:val="none" w:sz="0" w:space="0" w:color="auto"/>
            <w:right w:val="none" w:sz="0" w:space="0" w:color="auto"/>
          </w:divBdr>
        </w:div>
      </w:divsChild>
    </w:div>
    <w:div w:id="1843465726">
      <w:bodyDiv w:val="1"/>
      <w:marLeft w:val="0"/>
      <w:marRight w:val="0"/>
      <w:marTop w:val="0"/>
      <w:marBottom w:val="0"/>
      <w:divBdr>
        <w:top w:val="none" w:sz="0" w:space="0" w:color="auto"/>
        <w:left w:val="none" w:sz="0" w:space="0" w:color="auto"/>
        <w:bottom w:val="none" w:sz="0" w:space="0" w:color="auto"/>
        <w:right w:val="none" w:sz="0" w:space="0" w:color="auto"/>
      </w:divBdr>
    </w:div>
    <w:div w:id="1961960773">
      <w:bodyDiv w:val="1"/>
      <w:marLeft w:val="0"/>
      <w:marRight w:val="0"/>
      <w:marTop w:val="0"/>
      <w:marBottom w:val="0"/>
      <w:divBdr>
        <w:top w:val="none" w:sz="0" w:space="0" w:color="auto"/>
        <w:left w:val="none" w:sz="0" w:space="0" w:color="auto"/>
        <w:bottom w:val="none" w:sz="0" w:space="0" w:color="auto"/>
        <w:right w:val="none" w:sz="0" w:space="0" w:color="auto"/>
      </w:divBdr>
    </w:div>
    <w:div w:id="1969629572">
      <w:bodyDiv w:val="1"/>
      <w:marLeft w:val="0"/>
      <w:marRight w:val="0"/>
      <w:marTop w:val="0"/>
      <w:marBottom w:val="0"/>
      <w:divBdr>
        <w:top w:val="none" w:sz="0" w:space="0" w:color="auto"/>
        <w:left w:val="none" w:sz="0" w:space="0" w:color="auto"/>
        <w:bottom w:val="none" w:sz="0" w:space="0" w:color="auto"/>
        <w:right w:val="none" w:sz="0" w:space="0" w:color="auto"/>
      </w:divBdr>
    </w:div>
    <w:div w:id="2027100838">
      <w:bodyDiv w:val="1"/>
      <w:marLeft w:val="0"/>
      <w:marRight w:val="0"/>
      <w:marTop w:val="0"/>
      <w:marBottom w:val="0"/>
      <w:divBdr>
        <w:top w:val="none" w:sz="0" w:space="0" w:color="auto"/>
        <w:left w:val="none" w:sz="0" w:space="0" w:color="auto"/>
        <w:bottom w:val="none" w:sz="0" w:space="0" w:color="auto"/>
        <w:right w:val="none" w:sz="0" w:space="0" w:color="auto"/>
      </w:divBdr>
      <w:divsChild>
        <w:div w:id="194513489">
          <w:marLeft w:val="0"/>
          <w:marRight w:val="0"/>
          <w:marTop w:val="0"/>
          <w:marBottom w:val="60"/>
          <w:divBdr>
            <w:top w:val="none" w:sz="0" w:space="0" w:color="auto"/>
            <w:left w:val="none" w:sz="0" w:space="0" w:color="auto"/>
            <w:bottom w:val="none" w:sz="0" w:space="0" w:color="auto"/>
            <w:right w:val="none" w:sz="0" w:space="0" w:color="auto"/>
          </w:divBdr>
        </w:div>
        <w:div w:id="318579380">
          <w:marLeft w:val="0"/>
          <w:marRight w:val="0"/>
          <w:marTop w:val="0"/>
          <w:marBottom w:val="86"/>
          <w:divBdr>
            <w:top w:val="none" w:sz="0" w:space="0" w:color="auto"/>
            <w:left w:val="none" w:sz="0" w:space="0" w:color="auto"/>
            <w:bottom w:val="none" w:sz="0" w:space="0" w:color="auto"/>
            <w:right w:val="none" w:sz="0" w:space="0" w:color="auto"/>
          </w:divBdr>
        </w:div>
        <w:div w:id="437261000">
          <w:marLeft w:val="0"/>
          <w:marRight w:val="0"/>
          <w:marTop w:val="0"/>
          <w:marBottom w:val="60"/>
          <w:divBdr>
            <w:top w:val="none" w:sz="0" w:space="0" w:color="auto"/>
            <w:left w:val="none" w:sz="0" w:space="0" w:color="auto"/>
            <w:bottom w:val="none" w:sz="0" w:space="0" w:color="auto"/>
            <w:right w:val="none" w:sz="0" w:space="0" w:color="auto"/>
          </w:divBdr>
        </w:div>
        <w:div w:id="446511572">
          <w:marLeft w:val="0"/>
          <w:marRight w:val="0"/>
          <w:marTop w:val="0"/>
          <w:marBottom w:val="86"/>
          <w:divBdr>
            <w:top w:val="none" w:sz="0" w:space="0" w:color="auto"/>
            <w:left w:val="none" w:sz="0" w:space="0" w:color="auto"/>
            <w:bottom w:val="none" w:sz="0" w:space="0" w:color="auto"/>
            <w:right w:val="none" w:sz="0" w:space="0" w:color="auto"/>
          </w:divBdr>
        </w:div>
        <w:div w:id="761995352">
          <w:marLeft w:val="0"/>
          <w:marRight w:val="0"/>
          <w:marTop w:val="0"/>
          <w:marBottom w:val="86"/>
          <w:divBdr>
            <w:top w:val="none" w:sz="0" w:space="0" w:color="auto"/>
            <w:left w:val="none" w:sz="0" w:space="0" w:color="auto"/>
            <w:bottom w:val="none" w:sz="0" w:space="0" w:color="auto"/>
            <w:right w:val="none" w:sz="0" w:space="0" w:color="auto"/>
          </w:divBdr>
        </w:div>
        <w:div w:id="858466947">
          <w:marLeft w:val="1008"/>
          <w:marRight w:val="720"/>
          <w:marTop w:val="0"/>
          <w:marBottom w:val="60"/>
          <w:divBdr>
            <w:top w:val="none" w:sz="0" w:space="0" w:color="auto"/>
            <w:left w:val="none" w:sz="0" w:space="0" w:color="auto"/>
            <w:bottom w:val="none" w:sz="0" w:space="0" w:color="auto"/>
            <w:right w:val="none" w:sz="0" w:space="0" w:color="auto"/>
          </w:divBdr>
        </w:div>
        <w:div w:id="1349213495">
          <w:marLeft w:val="1008"/>
          <w:marRight w:val="720"/>
          <w:marTop w:val="0"/>
          <w:marBottom w:val="60"/>
          <w:divBdr>
            <w:top w:val="none" w:sz="0" w:space="0" w:color="auto"/>
            <w:left w:val="none" w:sz="0" w:space="0" w:color="auto"/>
            <w:bottom w:val="none" w:sz="0" w:space="0" w:color="auto"/>
            <w:right w:val="none" w:sz="0" w:space="0" w:color="auto"/>
          </w:divBdr>
        </w:div>
        <w:div w:id="1501583379">
          <w:marLeft w:val="0"/>
          <w:marRight w:val="0"/>
          <w:marTop w:val="0"/>
          <w:marBottom w:val="86"/>
          <w:divBdr>
            <w:top w:val="none" w:sz="0" w:space="0" w:color="auto"/>
            <w:left w:val="none" w:sz="0" w:space="0" w:color="auto"/>
            <w:bottom w:val="none" w:sz="0" w:space="0" w:color="auto"/>
            <w:right w:val="none" w:sz="0" w:space="0" w:color="auto"/>
          </w:divBdr>
        </w:div>
        <w:div w:id="1600720461">
          <w:marLeft w:val="0"/>
          <w:marRight w:val="0"/>
          <w:marTop w:val="0"/>
          <w:marBottom w:val="60"/>
          <w:divBdr>
            <w:top w:val="none" w:sz="0" w:space="0" w:color="auto"/>
            <w:left w:val="none" w:sz="0" w:space="0" w:color="auto"/>
            <w:bottom w:val="none" w:sz="0" w:space="0" w:color="auto"/>
            <w:right w:val="none" w:sz="0" w:space="0" w:color="auto"/>
          </w:divBdr>
        </w:div>
        <w:div w:id="1814984491">
          <w:marLeft w:val="0"/>
          <w:marRight w:val="0"/>
          <w:marTop w:val="0"/>
          <w:marBottom w:val="60"/>
          <w:divBdr>
            <w:top w:val="none" w:sz="0" w:space="0" w:color="auto"/>
            <w:left w:val="none" w:sz="0" w:space="0" w:color="auto"/>
            <w:bottom w:val="none" w:sz="0" w:space="0" w:color="auto"/>
            <w:right w:val="none" w:sz="0" w:space="0" w:color="auto"/>
          </w:divBdr>
        </w:div>
        <w:div w:id="1818498450">
          <w:marLeft w:val="0"/>
          <w:marRight w:val="0"/>
          <w:marTop w:val="0"/>
          <w:marBottom w:val="86"/>
          <w:divBdr>
            <w:top w:val="none" w:sz="0" w:space="0" w:color="auto"/>
            <w:left w:val="none" w:sz="0" w:space="0" w:color="auto"/>
            <w:bottom w:val="none" w:sz="0" w:space="0" w:color="auto"/>
            <w:right w:val="none" w:sz="0" w:space="0" w:color="auto"/>
          </w:divBdr>
        </w:div>
      </w:divsChild>
    </w:div>
    <w:div w:id="2045710242">
      <w:bodyDiv w:val="1"/>
      <w:marLeft w:val="0"/>
      <w:marRight w:val="0"/>
      <w:marTop w:val="0"/>
      <w:marBottom w:val="0"/>
      <w:divBdr>
        <w:top w:val="none" w:sz="0" w:space="0" w:color="auto"/>
        <w:left w:val="none" w:sz="0" w:space="0" w:color="auto"/>
        <w:bottom w:val="none" w:sz="0" w:space="0" w:color="auto"/>
        <w:right w:val="none" w:sz="0" w:space="0" w:color="auto"/>
      </w:divBdr>
    </w:div>
    <w:div w:id="2051490686">
      <w:bodyDiv w:val="1"/>
      <w:marLeft w:val="0"/>
      <w:marRight w:val="0"/>
      <w:marTop w:val="0"/>
      <w:marBottom w:val="0"/>
      <w:divBdr>
        <w:top w:val="none" w:sz="0" w:space="0" w:color="auto"/>
        <w:left w:val="none" w:sz="0" w:space="0" w:color="auto"/>
        <w:bottom w:val="none" w:sz="0" w:space="0" w:color="auto"/>
        <w:right w:val="none" w:sz="0" w:space="0" w:color="auto"/>
      </w:divBdr>
    </w:div>
    <w:div w:id="2063408769">
      <w:bodyDiv w:val="1"/>
      <w:marLeft w:val="0"/>
      <w:marRight w:val="0"/>
      <w:marTop w:val="0"/>
      <w:marBottom w:val="0"/>
      <w:divBdr>
        <w:top w:val="none" w:sz="0" w:space="0" w:color="auto"/>
        <w:left w:val="none" w:sz="0" w:space="0" w:color="auto"/>
        <w:bottom w:val="none" w:sz="0" w:space="0" w:color="auto"/>
        <w:right w:val="none" w:sz="0" w:space="0" w:color="auto"/>
      </w:divBdr>
    </w:div>
    <w:div w:id="21239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rebeca.vences@gmail.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ebeca.vences@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te.gob.mx/media/files/57bc0604529e0297dc056bff88dd4ccd0.pdf" TargetMode="External"/><Relationship Id="rId3" Type="http://schemas.openxmlformats.org/officeDocument/2006/relationships/hyperlink" Target="http://www.csg.gob.mx/descargas/pdf/index/informacion_relevante/COVID19_-_Presentacion_CSG_-_Medidas_Seguridad_Sanitaria.pdf" TargetMode="External"/><Relationship Id="rId7" Type="http://schemas.openxmlformats.org/officeDocument/2006/relationships/hyperlink" Target="https://www.te.gob.mx/media/files/6c171fe4406c4c9a9f6f8b28566445890.pdf" TargetMode="External"/><Relationship Id="rId2" Type="http://schemas.openxmlformats.org/officeDocument/2006/relationships/hyperlink" Target="https://www.te.gob.mx/IUSEapp/" TargetMode="External"/><Relationship Id="rId1" Type="http://schemas.openxmlformats.org/officeDocument/2006/relationships/hyperlink" Target="https://www.te.gob.mx/media/files/69745c931d3996661b4f0460d0dbc77e0.pdf" TargetMode="External"/><Relationship Id="rId6" Type="http://schemas.openxmlformats.org/officeDocument/2006/relationships/hyperlink" Target="https://www.te.gob.mx/media/files/ec743f97d2cfead6c8a2a77daf9f923a0.pdf" TargetMode="External"/><Relationship Id="rId5" Type="http://schemas.openxmlformats.org/officeDocument/2006/relationships/hyperlink" Target="https://www.te.gob.mx/media/files/57806537c3a755b5d28d37d0e5a1e9fb0.pdf" TargetMode="External"/><Relationship Id="rId4" Type="http://schemas.openxmlformats.org/officeDocument/2006/relationships/hyperlink" Target="http://dof.gob.mx/nota_detalle.php?codigo=5593313&amp;fecha=14/05/20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E4F833D66A9C441BEFFDF660CDCC106" ma:contentTypeVersion="8" ma:contentTypeDescription="Crear nuevo documento." ma:contentTypeScope="" ma:versionID="c7ad63613a925e3035ce97c41e06bed1">
  <xsd:schema xmlns:xsd="http://www.w3.org/2001/XMLSchema" xmlns:xs="http://www.w3.org/2001/XMLSchema" xmlns:p="http://schemas.microsoft.com/office/2006/metadata/properties" xmlns:ns3="9561dc8d-92e6-47b3-8a46-2e17c6a1fdeb" targetNamespace="http://schemas.microsoft.com/office/2006/metadata/properties" ma:root="true" ma:fieldsID="0379d0c4a5a31fc4cee23efd7cb273ba" ns3:_="">
    <xsd:import namespace="9561dc8d-92e6-47b3-8a46-2e17c6a1f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1dc8d-92e6-47b3-8a46-2e17c6a1f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2B2F7-94F8-49A4-B42C-B131643726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70AE33-CCF8-4527-8D10-F73F99F94E37}">
  <ds:schemaRefs>
    <ds:schemaRef ds:uri="http://schemas.microsoft.com/sharepoint/v3/contenttype/forms"/>
  </ds:schemaRefs>
</ds:datastoreItem>
</file>

<file path=customXml/itemProps3.xml><?xml version="1.0" encoding="utf-8"?>
<ds:datastoreItem xmlns:ds="http://schemas.openxmlformats.org/officeDocument/2006/customXml" ds:itemID="{659B0B90-81E4-454D-B428-9E334540D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1dc8d-92e6-47b3-8a46-2e17c6a1f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56C5A1-52B4-4DC4-97A8-64CD901B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30</Pages>
  <Words>7756</Words>
  <Characters>42664</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Isaías Trejo Sánchez</dc:creator>
  <cp:keywords/>
  <dc:description/>
  <cp:lastModifiedBy>María Cristal Aguilar Saldaña</cp:lastModifiedBy>
  <cp:revision>45</cp:revision>
  <cp:lastPrinted>2020-06-22T21:46:00Z</cp:lastPrinted>
  <dcterms:created xsi:type="dcterms:W3CDTF">2020-08-13T23:24:00Z</dcterms:created>
  <dcterms:modified xsi:type="dcterms:W3CDTF">2020-08-19T19:13:00Z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0x0101004E4F833D66A9C441BEFFDF660CDCC106</vt:lpwstr>
  </property>
</Properties>
</file>