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C8A" w:rsidRDefault="00B84C8A" w:rsidP="00B84C8A">
      <w:pPr>
        <w:spacing w:before="100" w:beforeAutospacing="1" w:after="100" w:afterAutospacing="1"/>
        <w:jc w:val="both"/>
        <w:rPr>
          <w:rFonts w:cs="Arial"/>
          <w:b/>
          <w:sz w:val="26"/>
          <w:szCs w:val="26"/>
        </w:rPr>
      </w:pPr>
      <w:r w:rsidRPr="00B84C8A">
        <w:drawing>
          <wp:inline distT="0" distB="0" distL="0" distR="0" wp14:anchorId="7EBC50E5" wp14:editId="3D58A45A">
            <wp:extent cx="5701665" cy="7688096"/>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01665" cy="7688096"/>
                    </a:xfrm>
                    <a:prstGeom prst="rect">
                      <a:avLst/>
                    </a:prstGeom>
                    <a:noFill/>
                    <a:ln>
                      <a:noFill/>
                    </a:ln>
                  </pic:spPr>
                </pic:pic>
              </a:graphicData>
            </a:graphic>
          </wp:inline>
        </w:drawing>
      </w:r>
    </w:p>
    <w:p w:rsidR="00B1451F" w:rsidRPr="00B84C8A" w:rsidRDefault="00B1451F" w:rsidP="00B84C8A">
      <w:pPr>
        <w:rPr>
          <w:rFonts w:cs="Arial"/>
          <w:sz w:val="26"/>
          <w:szCs w:val="26"/>
        </w:rPr>
        <w:sectPr w:rsidR="00B1451F" w:rsidRPr="00B84C8A" w:rsidSect="00B1451F">
          <w:headerReference w:type="even" r:id="rId12"/>
          <w:headerReference w:type="default" r:id="rId13"/>
          <w:footerReference w:type="even" r:id="rId14"/>
          <w:footerReference w:type="default" r:id="rId15"/>
          <w:footerReference w:type="first" r:id="rId16"/>
          <w:pgSz w:w="12240" w:h="18720" w:code="14"/>
          <w:pgMar w:top="2552" w:right="1418" w:bottom="1418" w:left="1843" w:header="1559" w:footer="1213" w:gutter="0"/>
          <w:cols w:space="708"/>
          <w:titlePg/>
          <w:docGrid w:linePitch="360"/>
        </w:sectPr>
      </w:pPr>
    </w:p>
    <w:p w:rsidR="00D41F45" w:rsidRPr="003E7D28" w:rsidRDefault="00D41F45" w:rsidP="00220688">
      <w:pPr>
        <w:spacing w:before="100" w:beforeAutospacing="1" w:after="100" w:afterAutospacing="1"/>
        <w:ind w:left="3119"/>
        <w:jc w:val="both"/>
        <w:rPr>
          <w:rFonts w:cs="Arial"/>
          <w:sz w:val="26"/>
          <w:szCs w:val="26"/>
        </w:rPr>
      </w:pPr>
      <w:r w:rsidRPr="003E7D28">
        <w:rPr>
          <w:rFonts w:cs="Arial"/>
          <w:b/>
          <w:sz w:val="26"/>
          <w:szCs w:val="26"/>
        </w:rPr>
        <w:t>EXPEDIENTE:</w:t>
      </w:r>
      <w:r w:rsidR="007E4B9B" w:rsidRPr="003E7D28">
        <w:rPr>
          <w:rFonts w:cs="Arial"/>
          <w:b/>
          <w:sz w:val="26"/>
          <w:szCs w:val="26"/>
        </w:rPr>
        <w:t xml:space="preserve"> </w:t>
      </w:r>
      <w:r w:rsidR="007E4B9B" w:rsidRPr="003E7D28">
        <w:rPr>
          <w:rFonts w:cs="Arial"/>
          <w:sz w:val="26"/>
          <w:szCs w:val="26"/>
        </w:rPr>
        <w:t>SUP-</w:t>
      </w:r>
      <w:r w:rsidR="001F0E0C">
        <w:rPr>
          <w:rFonts w:cs="Arial"/>
          <w:sz w:val="26"/>
          <w:szCs w:val="26"/>
        </w:rPr>
        <w:t>JE-</w:t>
      </w:r>
      <w:r w:rsidR="00E16199">
        <w:rPr>
          <w:rFonts w:cs="Arial"/>
          <w:sz w:val="26"/>
          <w:szCs w:val="26"/>
        </w:rPr>
        <w:t>26</w:t>
      </w:r>
      <w:r w:rsidRPr="003E7D28">
        <w:rPr>
          <w:rFonts w:cs="Arial"/>
          <w:sz w:val="26"/>
          <w:szCs w:val="26"/>
        </w:rPr>
        <w:t>/20</w:t>
      </w:r>
      <w:r w:rsidR="00B0238E" w:rsidRPr="003E7D28">
        <w:rPr>
          <w:rFonts w:cs="Arial"/>
          <w:sz w:val="26"/>
          <w:szCs w:val="26"/>
        </w:rPr>
        <w:t>20</w:t>
      </w:r>
      <w:r w:rsidR="000A0750" w:rsidRPr="003E7D28">
        <w:rPr>
          <w:rFonts w:cs="Arial"/>
          <w:b/>
          <w:sz w:val="26"/>
          <w:szCs w:val="26"/>
        </w:rPr>
        <w:t xml:space="preserve"> </w:t>
      </w:r>
      <w:r w:rsidR="00B46062" w:rsidRPr="003E7D28">
        <w:rPr>
          <w:rFonts w:cs="Arial"/>
          <w:b/>
          <w:sz w:val="26"/>
          <w:szCs w:val="26"/>
        </w:rPr>
        <w:t xml:space="preserve">MAGISTRADO </w:t>
      </w:r>
      <w:r w:rsidRPr="003E7D28">
        <w:rPr>
          <w:rFonts w:cs="Arial"/>
          <w:b/>
          <w:sz w:val="26"/>
          <w:szCs w:val="26"/>
        </w:rPr>
        <w:t xml:space="preserve">PONENTE: </w:t>
      </w:r>
      <w:r w:rsidRPr="003E7D28">
        <w:rPr>
          <w:rFonts w:cs="Arial"/>
          <w:sz w:val="26"/>
          <w:szCs w:val="26"/>
        </w:rPr>
        <w:t>FELIPE DE LA MATA PIZAÑA</w:t>
      </w:r>
      <w:r w:rsidR="00C570FA" w:rsidRPr="003E7D28">
        <w:rPr>
          <w:rStyle w:val="Refdenotaalpie"/>
          <w:rFonts w:cs="Arial"/>
          <w:sz w:val="26"/>
          <w:szCs w:val="26"/>
        </w:rPr>
        <w:footnoteReference w:id="1"/>
      </w:r>
    </w:p>
    <w:p w:rsidR="00D41F45" w:rsidRPr="004D235E" w:rsidRDefault="00512951" w:rsidP="00910A18">
      <w:pPr>
        <w:spacing w:before="100" w:beforeAutospacing="1" w:after="100" w:afterAutospacing="1" w:line="360" w:lineRule="auto"/>
        <w:jc w:val="both"/>
        <w:rPr>
          <w:rFonts w:eastAsia="Times New Roman" w:cs="Arial"/>
          <w:sz w:val="25"/>
          <w:szCs w:val="25"/>
          <w:lang w:eastAsia="es-MX"/>
        </w:rPr>
      </w:pPr>
      <w:r w:rsidRPr="004D235E">
        <w:rPr>
          <w:rFonts w:eastAsia="Times New Roman" w:cs="Arial"/>
          <w:sz w:val="25"/>
          <w:szCs w:val="25"/>
          <w:lang w:eastAsia="es-MX"/>
        </w:rPr>
        <w:t>Ciudad de M</w:t>
      </w:r>
      <w:r w:rsidR="00AA7267" w:rsidRPr="004D235E">
        <w:rPr>
          <w:rFonts w:eastAsia="Times New Roman" w:cs="Arial"/>
          <w:sz w:val="25"/>
          <w:szCs w:val="25"/>
          <w:lang w:eastAsia="es-MX"/>
        </w:rPr>
        <w:t>éxico,</w:t>
      </w:r>
      <w:r w:rsidR="00C570FA" w:rsidRPr="004D235E">
        <w:rPr>
          <w:rFonts w:eastAsia="Times New Roman" w:cs="Arial"/>
          <w:sz w:val="25"/>
          <w:szCs w:val="25"/>
          <w:lang w:eastAsia="es-MX"/>
        </w:rPr>
        <w:t xml:space="preserve"> </w:t>
      </w:r>
      <w:r w:rsidR="00E16199" w:rsidRPr="004D235E">
        <w:rPr>
          <w:rFonts w:eastAsia="Times New Roman" w:cs="Arial"/>
          <w:sz w:val="25"/>
          <w:szCs w:val="25"/>
          <w:lang w:eastAsia="es-MX"/>
        </w:rPr>
        <w:t>dieciséis</w:t>
      </w:r>
      <w:r w:rsidR="00CD430B" w:rsidRPr="004D235E">
        <w:rPr>
          <w:rFonts w:eastAsia="Times New Roman" w:cs="Arial"/>
          <w:sz w:val="25"/>
          <w:szCs w:val="25"/>
          <w:lang w:eastAsia="es-MX"/>
        </w:rPr>
        <w:t xml:space="preserve"> </w:t>
      </w:r>
      <w:r w:rsidR="007E4B9B" w:rsidRPr="004D235E">
        <w:rPr>
          <w:rFonts w:eastAsia="Times New Roman" w:cs="Arial"/>
          <w:sz w:val="25"/>
          <w:szCs w:val="25"/>
          <w:lang w:eastAsia="es-MX"/>
        </w:rPr>
        <w:t xml:space="preserve">de </w:t>
      </w:r>
      <w:r w:rsidR="00B0238E" w:rsidRPr="004D235E">
        <w:rPr>
          <w:rFonts w:eastAsia="Times New Roman" w:cs="Arial"/>
          <w:sz w:val="25"/>
          <w:szCs w:val="25"/>
          <w:lang w:eastAsia="es-MX"/>
        </w:rPr>
        <w:t>abril</w:t>
      </w:r>
      <w:r w:rsidR="00CD430B" w:rsidRPr="004D235E">
        <w:rPr>
          <w:rFonts w:eastAsia="Times New Roman" w:cs="Arial"/>
          <w:sz w:val="25"/>
          <w:szCs w:val="25"/>
          <w:lang w:eastAsia="es-MX"/>
        </w:rPr>
        <w:t xml:space="preserve"> </w:t>
      </w:r>
      <w:r w:rsidR="00D41F45" w:rsidRPr="004D235E">
        <w:rPr>
          <w:rFonts w:eastAsia="Times New Roman" w:cs="Arial"/>
          <w:sz w:val="25"/>
          <w:szCs w:val="25"/>
          <w:lang w:eastAsia="es-MX"/>
        </w:rPr>
        <w:t xml:space="preserve">de dos mil </w:t>
      </w:r>
      <w:r w:rsidR="00B0238E" w:rsidRPr="004D235E">
        <w:rPr>
          <w:rFonts w:eastAsia="Times New Roman" w:cs="Arial"/>
          <w:sz w:val="25"/>
          <w:szCs w:val="25"/>
          <w:lang w:eastAsia="es-MX"/>
        </w:rPr>
        <w:t>veinte</w:t>
      </w:r>
      <w:r w:rsidR="00D41F45" w:rsidRPr="004D235E">
        <w:rPr>
          <w:rFonts w:eastAsia="Times New Roman" w:cs="Arial"/>
          <w:sz w:val="25"/>
          <w:szCs w:val="25"/>
          <w:lang w:eastAsia="es-MX"/>
        </w:rPr>
        <w:t>.</w:t>
      </w:r>
    </w:p>
    <w:p w:rsidR="00F80423" w:rsidRPr="004D235E" w:rsidRDefault="00516968" w:rsidP="00F80423">
      <w:pPr>
        <w:spacing w:before="100" w:beforeAutospacing="1" w:after="100" w:afterAutospacing="1" w:line="360" w:lineRule="auto"/>
        <w:mirrorIndents/>
        <w:jc w:val="both"/>
        <w:rPr>
          <w:rFonts w:cs="Arial"/>
          <w:sz w:val="25"/>
          <w:szCs w:val="25"/>
        </w:rPr>
      </w:pPr>
      <w:r w:rsidRPr="004D235E">
        <w:rPr>
          <w:rFonts w:eastAsia="Times New Roman" w:cs="Arial"/>
          <w:b/>
          <w:sz w:val="25"/>
          <w:szCs w:val="25"/>
          <w:lang w:eastAsia="es-MX"/>
        </w:rPr>
        <w:t xml:space="preserve">Sentencia </w:t>
      </w:r>
      <w:r w:rsidRPr="004D235E">
        <w:rPr>
          <w:rFonts w:eastAsia="Times New Roman" w:cs="Arial"/>
          <w:sz w:val="25"/>
          <w:szCs w:val="25"/>
          <w:lang w:eastAsia="es-MX"/>
        </w:rPr>
        <w:t>que</w:t>
      </w:r>
      <w:r w:rsidR="001A7E4F" w:rsidRPr="004D235E">
        <w:rPr>
          <w:rFonts w:eastAsia="Times New Roman" w:cs="Arial"/>
          <w:sz w:val="25"/>
          <w:szCs w:val="25"/>
          <w:lang w:eastAsia="es-MX"/>
        </w:rPr>
        <w:t xml:space="preserve">: </w:t>
      </w:r>
      <w:r w:rsidR="001A7E4F" w:rsidRPr="004D235E">
        <w:rPr>
          <w:rFonts w:eastAsia="Times New Roman" w:cs="Arial"/>
          <w:b/>
          <w:sz w:val="25"/>
          <w:szCs w:val="25"/>
          <w:lang w:eastAsia="es-MX"/>
        </w:rPr>
        <w:t>a)</w:t>
      </w:r>
      <w:r w:rsidRPr="004D235E">
        <w:rPr>
          <w:rFonts w:eastAsia="Times New Roman" w:cs="Arial"/>
          <w:sz w:val="25"/>
          <w:szCs w:val="25"/>
          <w:lang w:eastAsia="es-MX"/>
        </w:rPr>
        <w:t xml:space="preserve"> </w:t>
      </w:r>
      <w:r w:rsidR="00322A00" w:rsidRPr="004D235E">
        <w:rPr>
          <w:rFonts w:eastAsia="Times New Roman" w:cs="Arial"/>
          <w:sz w:val="25"/>
          <w:szCs w:val="25"/>
          <w:lang w:eastAsia="es-MX"/>
        </w:rPr>
        <w:t xml:space="preserve">considera </w:t>
      </w:r>
      <w:r w:rsidR="00322A00" w:rsidRPr="004D235E">
        <w:rPr>
          <w:rFonts w:eastAsia="Times New Roman" w:cs="Arial"/>
          <w:b/>
          <w:sz w:val="25"/>
          <w:szCs w:val="25"/>
          <w:lang w:eastAsia="es-MX"/>
        </w:rPr>
        <w:t xml:space="preserve">fundada la omisión </w:t>
      </w:r>
      <w:r w:rsidR="00322A00" w:rsidRPr="004D235E">
        <w:rPr>
          <w:rFonts w:eastAsia="Times New Roman" w:cs="Arial"/>
          <w:sz w:val="25"/>
          <w:szCs w:val="25"/>
          <w:lang w:eastAsia="es-MX"/>
        </w:rPr>
        <w:t>de</w:t>
      </w:r>
      <w:r w:rsidRPr="004D235E">
        <w:rPr>
          <w:rFonts w:eastAsia="Times New Roman" w:cs="Arial"/>
          <w:sz w:val="25"/>
          <w:szCs w:val="25"/>
          <w:lang w:eastAsia="es-MX"/>
        </w:rPr>
        <w:t xml:space="preserve">l </w:t>
      </w:r>
      <w:r w:rsidRPr="004D235E">
        <w:rPr>
          <w:rFonts w:eastAsia="Times New Roman" w:cs="Arial"/>
          <w:b/>
          <w:sz w:val="25"/>
          <w:szCs w:val="25"/>
          <w:lang w:eastAsia="es-MX"/>
        </w:rPr>
        <w:t>Tribunal Electoral del Estado de Oaxaca</w:t>
      </w:r>
      <w:r w:rsidRPr="004D235E">
        <w:rPr>
          <w:rFonts w:eastAsia="Times New Roman" w:cs="Arial"/>
          <w:sz w:val="25"/>
          <w:szCs w:val="25"/>
          <w:lang w:eastAsia="es-MX"/>
        </w:rPr>
        <w:t xml:space="preserve"> </w:t>
      </w:r>
      <w:r w:rsidR="00322A00" w:rsidRPr="004D235E">
        <w:rPr>
          <w:rFonts w:eastAsia="Times New Roman" w:cs="Arial"/>
          <w:b/>
          <w:sz w:val="25"/>
          <w:szCs w:val="25"/>
          <w:lang w:eastAsia="es-MX"/>
        </w:rPr>
        <w:t>de</w:t>
      </w:r>
      <w:r w:rsidR="002648A7" w:rsidRPr="004D235E">
        <w:rPr>
          <w:rFonts w:eastAsia="Times New Roman" w:cs="Arial"/>
          <w:b/>
          <w:sz w:val="25"/>
          <w:szCs w:val="25"/>
          <w:lang w:eastAsia="es-MX"/>
        </w:rPr>
        <w:t xml:space="preserve"> emit</w:t>
      </w:r>
      <w:r w:rsidR="00322A00" w:rsidRPr="004D235E">
        <w:rPr>
          <w:rFonts w:eastAsia="Times New Roman" w:cs="Arial"/>
          <w:b/>
          <w:sz w:val="25"/>
          <w:szCs w:val="25"/>
          <w:lang w:eastAsia="es-MX"/>
        </w:rPr>
        <w:t>ir</w:t>
      </w:r>
      <w:r w:rsidR="002648A7" w:rsidRPr="004D235E">
        <w:rPr>
          <w:rFonts w:eastAsia="Times New Roman" w:cs="Arial"/>
          <w:b/>
          <w:sz w:val="25"/>
          <w:szCs w:val="25"/>
          <w:lang w:eastAsia="es-MX"/>
        </w:rPr>
        <w:t xml:space="preserve"> la regulación </w:t>
      </w:r>
      <w:r w:rsidR="005C1759" w:rsidRPr="004D235E">
        <w:rPr>
          <w:rFonts w:eastAsia="Times New Roman" w:cs="Arial"/>
          <w:sz w:val="25"/>
          <w:szCs w:val="25"/>
          <w:lang w:eastAsia="es-MX"/>
        </w:rPr>
        <w:t>que permita operar</w:t>
      </w:r>
      <w:r w:rsidRPr="004D235E">
        <w:rPr>
          <w:rFonts w:eastAsia="Times New Roman" w:cs="Arial"/>
          <w:sz w:val="25"/>
          <w:szCs w:val="25"/>
          <w:lang w:eastAsia="es-MX"/>
        </w:rPr>
        <w:t xml:space="preserve"> las </w:t>
      </w:r>
      <w:r w:rsidRPr="004D235E">
        <w:rPr>
          <w:rFonts w:eastAsia="Times New Roman" w:cs="Arial"/>
          <w:b/>
          <w:sz w:val="25"/>
          <w:szCs w:val="25"/>
          <w:lang w:eastAsia="es-MX"/>
        </w:rPr>
        <w:t>notificaciones electrónicas</w:t>
      </w:r>
      <w:r w:rsidR="00322A00" w:rsidRPr="004D235E">
        <w:rPr>
          <w:rFonts w:eastAsia="Times New Roman" w:cs="Arial"/>
          <w:b/>
          <w:sz w:val="25"/>
          <w:szCs w:val="25"/>
          <w:lang w:eastAsia="es-MX"/>
        </w:rPr>
        <w:t xml:space="preserve"> </w:t>
      </w:r>
      <w:r w:rsidR="005C1759" w:rsidRPr="004D235E">
        <w:rPr>
          <w:rFonts w:eastAsia="Times New Roman" w:cs="Arial"/>
          <w:sz w:val="25"/>
          <w:szCs w:val="25"/>
          <w:lang w:eastAsia="es-MX"/>
        </w:rPr>
        <w:t>en</w:t>
      </w:r>
      <w:r w:rsidRPr="004D235E">
        <w:rPr>
          <w:rFonts w:eastAsia="Times New Roman" w:cs="Arial"/>
          <w:sz w:val="25"/>
          <w:szCs w:val="25"/>
          <w:lang w:eastAsia="es-MX"/>
        </w:rPr>
        <w:t xml:space="preserve"> las actuaciones judiciales realizadas por ese órgano judicial</w:t>
      </w:r>
      <w:r w:rsidR="001A7E4F" w:rsidRPr="004D235E">
        <w:rPr>
          <w:rFonts w:eastAsia="Times New Roman" w:cs="Arial"/>
          <w:sz w:val="25"/>
          <w:szCs w:val="25"/>
          <w:lang w:eastAsia="es-MX"/>
        </w:rPr>
        <w:t xml:space="preserve">; </w:t>
      </w:r>
      <w:r w:rsidR="001A7E4F" w:rsidRPr="004D235E">
        <w:rPr>
          <w:rFonts w:eastAsia="Times New Roman" w:cs="Arial"/>
          <w:b/>
          <w:sz w:val="25"/>
          <w:szCs w:val="25"/>
          <w:lang w:eastAsia="es-MX"/>
        </w:rPr>
        <w:t xml:space="preserve">b) </w:t>
      </w:r>
      <w:r w:rsidR="00C028D1" w:rsidRPr="004D235E">
        <w:rPr>
          <w:rFonts w:eastAsia="Times New Roman" w:cs="Arial"/>
          <w:b/>
          <w:sz w:val="25"/>
          <w:szCs w:val="25"/>
          <w:lang w:eastAsia="es-MX"/>
        </w:rPr>
        <w:t xml:space="preserve">ordena </w:t>
      </w:r>
      <w:r w:rsidR="001A7E4F" w:rsidRPr="004D235E">
        <w:rPr>
          <w:rFonts w:eastAsia="Times New Roman" w:cs="Arial"/>
          <w:sz w:val="25"/>
          <w:szCs w:val="25"/>
          <w:lang w:eastAsia="es-MX"/>
        </w:rPr>
        <w:t xml:space="preserve">al Tribunal local que expida dicha </w:t>
      </w:r>
      <w:r w:rsidR="003C0A55" w:rsidRPr="004D235E">
        <w:rPr>
          <w:rFonts w:eastAsia="Times New Roman" w:cs="Arial"/>
          <w:sz w:val="25"/>
          <w:szCs w:val="25"/>
          <w:lang w:eastAsia="es-MX"/>
        </w:rPr>
        <w:t>reglamentación</w:t>
      </w:r>
      <w:r w:rsidR="00D568A5" w:rsidRPr="004D235E">
        <w:rPr>
          <w:rFonts w:eastAsia="Times New Roman" w:cs="Arial"/>
          <w:sz w:val="25"/>
          <w:szCs w:val="25"/>
          <w:lang w:eastAsia="es-MX"/>
        </w:rPr>
        <w:t xml:space="preserve"> para que puedan operar las notificaciones</w:t>
      </w:r>
      <w:r w:rsidR="00B94DAB" w:rsidRPr="004D235E">
        <w:rPr>
          <w:rFonts w:eastAsia="Times New Roman" w:cs="Arial"/>
          <w:sz w:val="25"/>
          <w:szCs w:val="25"/>
          <w:lang w:eastAsia="es-MX"/>
        </w:rPr>
        <w:t xml:space="preserve"> electrónicas </w:t>
      </w:r>
      <w:r w:rsidR="005C3020" w:rsidRPr="004D235E">
        <w:rPr>
          <w:rFonts w:eastAsia="Times New Roman" w:cs="Arial"/>
          <w:sz w:val="25"/>
          <w:szCs w:val="25"/>
          <w:lang w:eastAsia="es-MX"/>
        </w:rPr>
        <w:t>hasta que se contenga la pandemia del coronavirus COVID-19</w:t>
      </w:r>
      <w:r w:rsidR="00500F66" w:rsidRPr="004D235E">
        <w:rPr>
          <w:rFonts w:eastAsia="Times New Roman" w:cs="Arial"/>
          <w:sz w:val="25"/>
          <w:szCs w:val="25"/>
          <w:lang w:eastAsia="es-MX"/>
        </w:rPr>
        <w:t xml:space="preserve"> o lo que determine el órgano jurisdiccional estatal</w:t>
      </w:r>
      <w:r w:rsidR="001A7E4F" w:rsidRPr="004D235E">
        <w:rPr>
          <w:rFonts w:eastAsia="Times New Roman" w:cs="Arial"/>
          <w:sz w:val="25"/>
          <w:szCs w:val="25"/>
          <w:lang w:eastAsia="es-MX"/>
        </w:rPr>
        <w:t xml:space="preserve">; </w:t>
      </w:r>
      <w:r w:rsidR="003C0A55" w:rsidRPr="004D235E">
        <w:rPr>
          <w:rFonts w:eastAsia="Times New Roman" w:cs="Arial"/>
          <w:sz w:val="25"/>
          <w:szCs w:val="25"/>
          <w:lang w:eastAsia="es-MX"/>
        </w:rPr>
        <w:t xml:space="preserve">en el juicio promovido </w:t>
      </w:r>
      <w:r w:rsidR="00B14049" w:rsidRPr="004D235E">
        <w:rPr>
          <w:rFonts w:eastAsia="Times New Roman" w:cs="Arial"/>
          <w:sz w:val="25"/>
          <w:szCs w:val="25"/>
          <w:lang w:eastAsia="es-MX"/>
        </w:rPr>
        <w:t xml:space="preserve">por </w:t>
      </w:r>
      <w:r w:rsidR="00F80423" w:rsidRPr="004D235E">
        <w:rPr>
          <w:rFonts w:cs="Arial"/>
          <w:b/>
          <w:sz w:val="25"/>
          <w:szCs w:val="25"/>
          <w:lang w:eastAsia="es-MX"/>
        </w:rPr>
        <w:t>Gisela Lilia Pérez García</w:t>
      </w:r>
      <w:r w:rsidR="00322A00" w:rsidRPr="004D235E">
        <w:rPr>
          <w:rFonts w:cs="Arial"/>
          <w:b/>
          <w:sz w:val="25"/>
          <w:szCs w:val="25"/>
          <w:lang w:eastAsia="es-MX"/>
        </w:rPr>
        <w:t xml:space="preserve"> </w:t>
      </w:r>
      <w:r w:rsidR="00322A00" w:rsidRPr="004D235E">
        <w:rPr>
          <w:rFonts w:cs="Arial"/>
          <w:sz w:val="25"/>
          <w:szCs w:val="25"/>
          <w:lang w:eastAsia="es-MX"/>
        </w:rPr>
        <w:t xml:space="preserve">contra el acuerdo </w:t>
      </w:r>
      <w:r w:rsidR="003C0A55" w:rsidRPr="004D235E">
        <w:rPr>
          <w:rFonts w:cs="Arial"/>
          <w:sz w:val="25"/>
          <w:szCs w:val="25"/>
          <w:lang w:eastAsia="es-MX"/>
        </w:rPr>
        <w:t xml:space="preserve">de la Magistrada Instructora local </w:t>
      </w:r>
      <w:r w:rsidR="00B14049" w:rsidRPr="004D235E">
        <w:rPr>
          <w:rFonts w:cs="Arial"/>
          <w:sz w:val="25"/>
          <w:szCs w:val="25"/>
          <w:lang w:eastAsia="es-MX"/>
        </w:rPr>
        <w:t>que negó las notificaciones electrónicas a la actora</w:t>
      </w:r>
      <w:r w:rsidR="00F80423" w:rsidRPr="004D235E">
        <w:rPr>
          <w:rFonts w:cs="Arial"/>
          <w:sz w:val="25"/>
          <w:szCs w:val="25"/>
          <w:lang w:eastAsia="es-MX"/>
        </w:rPr>
        <w:t>.</w:t>
      </w:r>
    </w:p>
    <w:sdt>
      <w:sdtPr>
        <w:rPr>
          <w:rFonts w:ascii="Arial" w:eastAsiaTheme="minorHAnsi" w:hAnsi="Arial" w:cs="Arial"/>
          <w:b/>
          <w:color w:val="auto"/>
          <w:sz w:val="24"/>
          <w:szCs w:val="24"/>
          <w:lang w:val="es-ES" w:eastAsia="en-US"/>
        </w:rPr>
        <w:id w:val="-1362895272"/>
        <w:docPartObj>
          <w:docPartGallery w:val="Table of Contents"/>
          <w:docPartUnique/>
        </w:docPartObj>
      </w:sdtPr>
      <w:sdtEndPr>
        <w:rPr>
          <w:bCs/>
          <w:sz w:val="18"/>
          <w:szCs w:val="18"/>
        </w:rPr>
      </w:sdtEndPr>
      <w:sdtContent>
        <w:p w:rsidR="00B953CB" w:rsidRPr="003E7D28" w:rsidRDefault="00B953CB" w:rsidP="005F7529">
          <w:pPr>
            <w:pStyle w:val="TtuloTDC"/>
            <w:spacing w:before="0" w:line="240" w:lineRule="auto"/>
            <w:jc w:val="center"/>
            <w:rPr>
              <w:rFonts w:ascii="Arial" w:hAnsi="Arial" w:cs="Arial"/>
              <w:b/>
              <w:color w:val="auto"/>
              <w:sz w:val="24"/>
              <w:szCs w:val="24"/>
            </w:rPr>
          </w:pPr>
          <w:r w:rsidRPr="003E7D28">
            <w:rPr>
              <w:rFonts w:ascii="Arial" w:eastAsiaTheme="minorHAnsi" w:hAnsi="Arial" w:cs="Arial"/>
              <w:b/>
              <w:color w:val="auto"/>
              <w:sz w:val="24"/>
              <w:szCs w:val="24"/>
              <w:lang w:val="es-ES" w:eastAsia="en-US"/>
            </w:rPr>
            <w:t>ÍNDICE</w:t>
          </w:r>
        </w:p>
        <w:p w:rsidR="004D235E" w:rsidRDefault="00B953CB">
          <w:pPr>
            <w:pStyle w:val="TDC1"/>
            <w:rPr>
              <w:rFonts w:asciiTheme="minorHAnsi" w:eastAsiaTheme="minorEastAsia" w:hAnsiTheme="minorHAnsi"/>
              <w:noProof/>
              <w:sz w:val="22"/>
              <w:szCs w:val="22"/>
              <w:lang w:eastAsia="es-MX"/>
            </w:rPr>
          </w:pPr>
          <w:r w:rsidRPr="00F30331">
            <w:rPr>
              <w:rFonts w:cs="Arial"/>
            </w:rPr>
            <w:fldChar w:fldCharType="begin"/>
          </w:r>
          <w:r w:rsidRPr="00F30331">
            <w:rPr>
              <w:rFonts w:cs="Arial"/>
            </w:rPr>
            <w:instrText xml:space="preserve"> TOC \o "1-3" \h \z \u </w:instrText>
          </w:r>
          <w:r w:rsidRPr="00F30331">
            <w:rPr>
              <w:rFonts w:cs="Arial"/>
            </w:rPr>
            <w:fldChar w:fldCharType="separate"/>
          </w:r>
          <w:hyperlink w:anchor="_Toc37945902" w:history="1">
            <w:r w:rsidR="004D235E" w:rsidRPr="00322066">
              <w:rPr>
                <w:rStyle w:val="Hipervnculo"/>
                <w:rFonts w:cs="Arial"/>
                <w:b/>
                <w:noProof/>
              </w:rPr>
              <w:t>GLOSARIO</w:t>
            </w:r>
            <w:r w:rsidR="004D235E">
              <w:rPr>
                <w:noProof/>
                <w:webHidden/>
              </w:rPr>
              <w:tab/>
            </w:r>
            <w:r w:rsidR="004D235E">
              <w:rPr>
                <w:noProof/>
                <w:webHidden/>
              </w:rPr>
              <w:fldChar w:fldCharType="begin"/>
            </w:r>
            <w:r w:rsidR="004D235E">
              <w:rPr>
                <w:noProof/>
                <w:webHidden/>
              </w:rPr>
              <w:instrText xml:space="preserve"> PAGEREF _Toc37945902 \h </w:instrText>
            </w:r>
            <w:r w:rsidR="004D235E">
              <w:rPr>
                <w:noProof/>
                <w:webHidden/>
              </w:rPr>
            </w:r>
            <w:r w:rsidR="004D235E">
              <w:rPr>
                <w:noProof/>
                <w:webHidden/>
              </w:rPr>
              <w:fldChar w:fldCharType="separate"/>
            </w:r>
            <w:r w:rsidR="0005355F">
              <w:rPr>
                <w:noProof/>
                <w:webHidden/>
              </w:rPr>
              <w:t>1</w:t>
            </w:r>
            <w:r w:rsidR="004D235E">
              <w:rPr>
                <w:noProof/>
                <w:webHidden/>
              </w:rPr>
              <w:fldChar w:fldCharType="end"/>
            </w:r>
          </w:hyperlink>
        </w:p>
        <w:p w:rsidR="004D235E" w:rsidRDefault="009B005A">
          <w:pPr>
            <w:pStyle w:val="TDC1"/>
            <w:rPr>
              <w:rFonts w:asciiTheme="minorHAnsi" w:eastAsiaTheme="minorEastAsia" w:hAnsiTheme="minorHAnsi"/>
              <w:noProof/>
              <w:sz w:val="22"/>
              <w:szCs w:val="22"/>
              <w:lang w:eastAsia="es-MX"/>
            </w:rPr>
          </w:pPr>
          <w:hyperlink w:anchor="_Toc37945903" w:history="1">
            <w:r w:rsidR="004D235E" w:rsidRPr="00322066">
              <w:rPr>
                <w:rStyle w:val="Hipervnculo"/>
                <w:rFonts w:eastAsia="Times New Roman" w:cs="Arial"/>
                <w:b/>
                <w:noProof/>
                <w:lang w:eastAsia="es-MX"/>
              </w:rPr>
              <w:t>ANTECEDENTES</w:t>
            </w:r>
            <w:r w:rsidR="004D235E">
              <w:rPr>
                <w:noProof/>
                <w:webHidden/>
              </w:rPr>
              <w:tab/>
            </w:r>
            <w:r w:rsidR="004D235E">
              <w:rPr>
                <w:noProof/>
                <w:webHidden/>
              </w:rPr>
              <w:fldChar w:fldCharType="begin"/>
            </w:r>
            <w:r w:rsidR="004D235E">
              <w:rPr>
                <w:noProof/>
                <w:webHidden/>
              </w:rPr>
              <w:instrText xml:space="preserve"> PAGEREF _Toc37945903 \h </w:instrText>
            </w:r>
            <w:r w:rsidR="004D235E">
              <w:rPr>
                <w:noProof/>
                <w:webHidden/>
              </w:rPr>
            </w:r>
            <w:r w:rsidR="004D235E">
              <w:rPr>
                <w:noProof/>
                <w:webHidden/>
              </w:rPr>
              <w:fldChar w:fldCharType="separate"/>
            </w:r>
            <w:r w:rsidR="0005355F">
              <w:rPr>
                <w:noProof/>
                <w:webHidden/>
              </w:rPr>
              <w:t>2</w:t>
            </w:r>
            <w:r w:rsidR="004D235E">
              <w:rPr>
                <w:noProof/>
                <w:webHidden/>
              </w:rPr>
              <w:fldChar w:fldCharType="end"/>
            </w:r>
          </w:hyperlink>
        </w:p>
        <w:p w:rsidR="004D235E" w:rsidRDefault="009B005A">
          <w:pPr>
            <w:pStyle w:val="TDC1"/>
            <w:rPr>
              <w:rFonts w:asciiTheme="minorHAnsi" w:eastAsiaTheme="minorEastAsia" w:hAnsiTheme="minorHAnsi"/>
              <w:noProof/>
              <w:sz w:val="22"/>
              <w:szCs w:val="22"/>
              <w:lang w:eastAsia="es-MX"/>
            </w:rPr>
          </w:pPr>
          <w:hyperlink w:anchor="_Toc37945904" w:history="1">
            <w:r w:rsidR="004D235E" w:rsidRPr="00322066">
              <w:rPr>
                <w:rStyle w:val="Hipervnculo"/>
                <w:rFonts w:eastAsia="Times New Roman" w:cs="Arial"/>
                <w:b/>
                <w:noProof/>
                <w:lang w:eastAsia="es-MX"/>
              </w:rPr>
              <w:t>COMPETENCIA</w:t>
            </w:r>
            <w:r w:rsidR="004D235E">
              <w:rPr>
                <w:noProof/>
                <w:webHidden/>
              </w:rPr>
              <w:tab/>
            </w:r>
            <w:r w:rsidR="004D235E">
              <w:rPr>
                <w:noProof/>
                <w:webHidden/>
              </w:rPr>
              <w:fldChar w:fldCharType="begin"/>
            </w:r>
            <w:r w:rsidR="004D235E">
              <w:rPr>
                <w:noProof/>
                <w:webHidden/>
              </w:rPr>
              <w:instrText xml:space="preserve"> PAGEREF _Toc37945904 \h </w:instrText>
            </w:r>
            <w:r w:rsidR="004D235E">
              <w:rPr>
                <w:noProof/>
                <w:webHidden/>
              </w:rPr>
            </w:r>
            <w:r w:rsidR="004D235E">
              <w:rPr>
                <w:noProof/>
                <w:webHidden/>
              </w:rPr>
              <w:fldChar w:fldCharType="separate"/>
            </w:r>
            <w:r w:rsidR="0005355F">
              <w:rPr>
                <w:noProof/>
                <w:webHidden/>
              </w:rPr>
              <w:t>3</w:t>
            </w:r>
            <w:r w:rsidR="004D235E">
              <w:rPr>
                <w:noProof/>
                <w:webHidden/>
              </w:rPr>
              <w:fldChar w:fldCharType="end"/>
            </w:r>
          </w:hyperlink>
        </w:p>
        <w:p w:rsidR="004D235E" w:rsidRDefault="009B005A">
          <w:pPr>
            <w:pStyle w:val="TDC1"/>
            <w:rPr>
              <w:rFonts w:asciiTheme="minorHAnsi" w:eastAsiaTheme="minorEastAsia" w:hAnsiTheme="minorHAnsi"/>
              <w:noProof/>
              <w:sz w:val="22"/>
              <w:szCs w:val="22"/>
              <w:lang w:eastAsia="es-MX"/>
            </w:rPr>
          </w:pPr>
          <w:hyperlink w:anchor="_Toc37945905" w:history="1">
            <w:r w:rsidR="004D235E" w:rsidRPr="00322066">
              <w:rPr>
                <w:rStyle w:val="Hipervnculo"/>
                <w:rFonts w:eastAsia="Times New Roman" w:cs="Arial"/>
                <w:b/>
                <w:noProof/>
                <w:lang w:eastAsia="es-MX"/>
              </w:rPr>
              <w:t>URGENCIA DE RESOLVER EL ASUNTO</w:t>
            </w:r>
            <w:r w:rsidR="004D235E">
              <w:rPr>
                <w:noProof/>
                <w:webHidden/>
              </w:rPr>
              <w:tab/>
            </w:r>
            <w:r w:rsidR="004D235E">
              <w:rPr>
                <w:noProof/>
                <w:webHidden/>
              </w:rPr>
              <w:fldChar w:fldCharType="begin"/>
            </w:r>
            <w:r w:rsidR="004D235E">
              <w:rPr>
                <w:noProof/>
                <w:webHidden/>
              </w:rPr>
              <w:instrText xml:space="preserve"> PAGEREF _Toc37945905 \h </w:instrText>
            </w:r>
            <w:r w:rsidR="004D235E">
              <w:rPr>
                <w:noProof/>
                <w:webHidden/>
              </w:rPr>
            </w:r>
            <w:r w:rsidR="004D235E">
              <w:rPr>
                <w:noProof/>
                <w:webHidden/>
              </w:rPr>
              <w:fldChar w:fldCharType="separate"/>
            </w:r>
            <w:r w:rsidR="0005355F">
              <w:rPr>
                <w:noProof/>
                <w:webHidden/>
              </w:rPr>
              <w:t>3</w:t>
            </w:r>
            <w:r w:rsidR="004D235E">
              <w:rPr>
                <w:noProof/>
                <w:webHidden/>
              </w:rPr>
              <w:fldChar w:fldCharType="end"/>
            </w:r>
          </w:hyperlink>
        </w:p>
        <w:p w:rsidR="004D235E" w:rsidRDefault="009B005A">
          <w:pPr>
            <w:pStyle w:val="TDC1"/>
            <w:rPr>
              <w:rFonts w:asciiTheme="minorHAnsi" w:eastAsiaTheme="minorEastAsia" w:hAnsiTheme="minorHAnsi"/>
              <w:noProof/>
              <w:sz w:val="22"/>
              <w:szCs w:val="22"/>
              <w:lang w:eastAsia="es-MX"/>
            </w:rPr>
          </w:pPr>
          <w:hyperlink w:anchor="_Toc37945906" w:history="1">
            <w:r w:rsidR="004D235E" w:rsidRPr="00322066">
              <w:rPr>
                <w:rStyle w:val="Hipervnculo"/>
                <w:rFonts w:eastAsia="Times New Roman" w:cs="Arial"/>
                <w:b/>
                <w:noProof/>
                <w:lang w:eastAsia="es-MX"/>
              </w:rPr>
              <w:t>PROCEDENCIA</w:t>
            </w:r>
            <w:r w:rsidR="004D235E">
              <w:rPr>
                <w:noProof/>
                <w:webHidden/>
              </w:rPr>
              <w:tab/>
            </w:r>
            <w:r w:rsidR="004D235E">
              <w:rPr>
                <w:noProof/>
                <w:webHidden/>
              </w:rPr>
              <w:fldChar w:fldCharType="begin"/>
            </w:r>
            <w:r w:rsidR="004D235E">
              <w:rPr>
                <w:noProof/>
                <w:webHidden/>
              </w:rPr>
              <w:instrText xml:space="preserve"> PAGEREF _Toc37945906 \h </w:instrText>
            </w:r>
            <w:r w:rsidR="004D235E">
              <w:rPr>
                <w:noProof/>
                <w:webHidden/>
              </w:rPr>
            </w:r>
            <w:r w:rsidR="004D235E">
              <w:rPr>
                <w:noProof/>
                <w:webHidden/>
              </w:rPr>
              <w:fldChar w:fldCharType="separate"/>
            </w:r>
            <w:r w:rsidR="0005355F">
              <w:rPr>
                <w:noProof/>
                <w:webHidden/>
              </w:rPr>
              <w:t>5</w:t>
            </w:r>
            <w:r w:rsidR="004D235E">
              <w:rPr>
                <w:noProof/>
                <w:webHidden/>
              </w:rPr>
              <w:fldChar w:fldCharType="end"/>
            </w:r>
          </w:hyperlink>
        </w:p>
        <w:p w:rsidR="004D235E" w:rsidRDefault="009B005A">
          <w:pPr>
            <w:pStyle w:val="TDC1"/>
            <w:rPr>
              <w:rFonts w:asciiTheme="minorHAnsi" w:eastAsiaTheme="minorEastAsia" w:hAnsiTheme="minorHAnsi"/>
              <w:noProof/>
              <w:sz w:val="22"/>
              <w:szCs w:val="22"/>
              <w:lang w:eastAsia="es-MX"/>
            </w:rPr>
          </w:pPr>
          <w:hyperlink w:anchor="_Toc37945907" w:history="1">
            <w:r w:rsidR="004D235E" w:rsidRPr="00322066">
              <w:rPr>
                <w:rStyle w:val="Hipervnculo"/>
                <w:rFonts w:cs="Arial"/>
                <w:b/>
                <w:noProof/>
              </w:rPr>
              <w:t>ESTUDIO DE FONDO</w:t>
            </w:r>
            <w:r w:rsidR="004D235E">
              <w:rPr>
                <w:noProof/>
                <w:webHidden/>
              </w:rPr>
              <w:tab/>
            </w:r>
            <w:r w:rsidR="004D235E">
              <w:rPr>
                <w:noProof/>
                <w:webHidden/>
              </w:rPr>
              <w:fldChar w:fldCharType="begin"/>
            </w:r>
            <w:r w:rsidR="004D235E">
              <w:rPr>
                <w:noProof/>
                <w:webHidden/>
              </w:rPr>
              <w:instrText xml:space="preserve"> PAGEREF _Toc37945907 \h </w:instrText>
            </w:r>
            <w:r w:rsidR="004D235E">
              <w:rPr>
                <w:noProof/>
                <w:webHidden/>
              </w:rPr>
            </w:r>
            <w:r w:rsidR="004D235E">
              <w:rPr>
                <w:noProof/>
                <w:webHidden/>
              </w:rPr>
              <w:fldChar w:fldCharType="separate"/>
            </w:r>
            <w:r w:rsidR="0005355F">
              <w:rPr>
                <w:noProof/>
                <w:webHidden/>
              </w:rPr>
              <w:t>6</w:t>
            </w:r>
            <w:r w:rsidR="004D235E">
              <w:rPr>
                <w:noProof/>
                <w:webHidden/>
              </w:rPr>
              <w:fldChar w:fldCharType="end"/>
            </w:r>
          </w:hyperlink>
        </w:p>
        <w:p w:rsidR="004D235E" w:rsidRDefault="009B005A">
          <w:pPr>
            <w:pStyle w:val="TDC2"/>
            <w:tabs>
              <w:tab w:val="right" w:leader="dot" w:pos="7694"/>
            </w:tabs>
            <w:rPr>
              <w:rFonts w:asciiTheme="minorHAnsi" w:eastAsiaTheme="minorEastAsia" w:hAnsiTheme="minorHAnsi"/>
              <w:noProof/>
              <w:sz w:val="22"/>
              <w:szCs w:val="22"/>
              <w:lang w:eastAsia="es-MX"/>
            </w:rPr>
          </w:pPr>
          <w:hyperlink w:anchor="_Toc37945908" w:history="1">
            <w:r w:rsidR="004D235E" w:rsidRPr="00322066">
              <w:rPr>
                <w:rStyle w:val="Hipervnculo"/>
                <w:rFonts w:cs="Arial"/>
                <w:b/>
                <w:noProof/>
              </w:rPr>
              <w:t>I. Controversia</w:t>
            </w:r>
            <w:r w:rsidR="004D235E">
              <w:rPr>
                <w:noProof/>
                <w:webHidden/>
              </w:rPr>
              <w:tab/>
            </w:r>
            <w:r w:rsidR="004D235E">
              <w:rPr>
                <w:noProof/>
                <w:webHidden/>
              </w:rPr>
              <w:fldChar w:fldCharType="begin"/>
            </w:r>
            <w:r w:rsidR="004D235E">
              <w:rPr>
                <w:noProof/>
                <w:webHidden/>
              </w:rPr>
              <w:instrText xml:space="preserve"> PAGEREF _Toc37945908 \h </w:instrText>
            </w:r>
            <w:r w:rsidR="004D235E">
              <w:rPr>
                <w:noProof/>
                <w:webHidden/>
              </w:rPr>
            </w:r>
            <w:r w:rsidR="004D235E">
              <w:rPr>
                <w:noProof/>
                <w:webHidden/>
              </w:rPr>
              <w:fldChar w:fldCharType="separate"/>
            </w:r>
            <w:r w:rsidR="0005355F">
              <w:rPr>
                <w:noProof/>
                <w:webHidden/>
              </w:rPr>
              <w:t>6</w:t>
            </w:r>
            <w:r w:rsidR="004D235E">
              <w:rPr>
                <w:noProof/>
                <w:webHidden/>
              </w:rPr>
              <w:fldChar w:fldCharType="end"/>
            </w:r>
          </w:hyperlink>
        </w:p>
        <w:p w:rsidR="004D235E" w:rsidRDefault="009B005A">
          <w:pPr>
            <w:pStyle w:val="TDC2"/>
            <w:tabs>
              <w:tab w:val="right" w:leader="dot" w:pos="7694"/>
            </w:tabs>
            <w:rPr>
              <w:rFonts w:asciiTheme="minorHAnsi" w:eastAsiaTheme="minorEastAsia" w:hAnsiTheme="minorHAnsi"/>
              <w:noProof/>
              <w:sz w:val="22"/>
              <w:szCs w:val="22"/>
              <w:lang w:eastAsia="es-MX"/>
            </w:rPr>
          </w:pPr>
          <w:hyperlink w:anchor="_Toc37945909" w:history="1">
            <w:r w:rsidR="004D235E" w:rsidRPr="00322066">
              <w:rPr>
                <w:rStyle w:val="Hipervnculo"/>
                <w:rFonts w:cs="Arial"/>
                <w:b/>
                <w:noProof/>
              </w:rPr>
              <w:t>II. Decisión</w:t>
            </w:r>
            <w:r w:rsidR="004D235E">
              <w:rPr>
                <w:noProof/>
                <w:webHidden/>
              </w:rPr>
              <w:tab/>
            </w:r>
            <w:r w:rsidR="004D235E">
              <w:rPr>
                <w:noProof/>
                <w:webHidden/>
              </w:rPr>
              <w:fldChar w:fldCharType="begin"/>
            </w:r>
            <w:r w:rsidR="004D235E">
              <w:rPr>
                <w:noProof/>
                <w:webHidden/>
              </w:rPr>
              <w:instrText xml:space="preserve"> PAGEREF _Toc37945909 \h </w:instrText>
            </w:r>
            <w:r w:rsidR="004D235E">
              <w:rPr>
                <w:noProof/>
                <w:webHidden/>
              </w:rPr>
            </w:r>
            <w:r w:rsidR="004D235E">
              <w:rPr>
                <w:noProof/>
                <w:webHidden/>
              </w:rPr>
              <w:fldChar w:fldCharType="separate"/>
            </w:r>
            <w:r w:rsidR="0005355F">
              <w:rPr>
                <w:noProof/>
                <w:webHidden/>
              </w:rPr>
              <w:t>7</w:t>
            </w:r>
            <w:r w:rsidR="004D235E">
              <w:rPr>
                <w:noProof/>
                <w:webHidden/>
              </w:rPr>
              <w:fldChar w:fldCharType="end"/>
            </w:r>
          </w:hyperlink>
        </w:p>
        <w:p w:rsidR="004D235E" w:rsidRDefault="009B005A">
          <w:pPr>
            <w:pStyle w:val="TDC2"/>
            <w:tabs>
              <w:tab w:val="right" w:leader="dot" w:pos="7694"/>
            </w:tabs>
            <w:rPr>
              <w:rFonts w:asciiTheme="minorHAnsi" w:eastAsiaTheme="minorEastAsia" w:hAnsiTheme="minorHAnsi"/>
              <w:noProof/>
              <w:sz w:val="22"/>
              <w:szCs w:val="22"/>
              <w:lang w:eastAsia="es-MX"/>
            </w:rPr>
          </w:pPr>
          <w:hyperlink w:anchor="_Toc37945910" w:history="1">
            <w:r w:rsidR="004D235E" w:rsidRPr="00322066">
              <w:rPr>
                <w:rStyle w:val="Hipervnculo"/>
                <w:rFonts w:cs="Arial"/>
                <w:b/>
                <w:noProof/>
              </w:rPr>
              <w:t>III. Justificación</w:t>
            </w:r>
            <w:r w:rsidR="004D235E">
              <w:rPr>
                <w:noProof/>
                <w:webHidden/>
              </w:rPr>
              <w:tab/>
            </w:r>
            <w:r w:rsidR="004D235E">
              <w:rPr>
                <w:noProof/>
                <w:webHidden/>
              </w:rPr>
              <w:fldChar w:fldCharType="begin"/>
            </w:r>
            <w:r w:rsidR="004D235E">
              <w:rPr>
                <w:noProof/>
                <w:webHidden/>
              </w:rPr>
              <w:instrText xml:space="preserve"> PAGEREF _Toc37945910 \h </w:instrText>
            </w:r>
            <w:r w:rsidR="004D235E">
              <w:rPr>
                <w:noProof/>
                <w:webHidden/>
              </w:rPr>
            </w:r>
            <w:r w:rsidR="004D235E">
              <w:rPr>
                <w:noProof/>
                <w:webHidden/>
              </w:rPr>
              <w:fldChar w:fldCharType="separate"/>
            </w:r>
            <w:r w:rsidR="0005355F">
              <w:rPr>
                <w:noProof/>
                <w:webHidden/>
              </w:rPr>
              <w:t>8</w:t>
            </w:r>
            <w:r w:rsidR="004D235E">
              <w:rPr>
                <w:noProof/>
                <w:webHidden/>
              </w:rPr>
              <w:fldChar w:fldCharType="end"/>
            </w:r>
          </w:hyperlink>
        </w:p>
        <w:p w:rsidR="004D235E" w:rsidRDefault="009B005A">
          <w:pPr>
            <w:pStyle w:val="TDC3"/>
            <w:tabs>
              <w:tab w:val="right" w:leader="dot" w:pos="7694"/>
            </w:tabs>
            <w:rPr>
              <w:rFonts w:asciiTheme="minorHAnsi" w:eastAsiaTheme="minorEastAsia" w:hAnsiTheme="minorHAnsi"/>
              <w:noProof/>
              <w:sz w:val="22"/>
              <w:szCs w:val="22"/>
              <w:lang w:eastAsia="es-MX"/>
            </w:rPr>
          </w:pPr>
          <w:hyperlink w:anchor="_Toc37945911" w:history="1">
            <w:r w:rsidR="004D235E" w:rsidRPr="00322066">
              <w:rPr>
                <w:rStyle w:val="Hipervnculo"/>
                <w:rFonts w:cs="Arial"/>
                <w:b/>
                <w:noProof/>
              </w:rPr>
              <w:t>a) Marco normativo en torno a las notificaciones electrónicas</w:t>
            </w:r>
            <w:r w:rsidR="004D235E">
              <w:rPr>
                <w:noProof/>
                <w:webHidden/>
              </w:rPr>
              <w:tab/>
            </w:r>
            <w:r w:rsidR="004D235E">
              <w:rPr>
                <w:noProof/>
                <w:webHidden/>
              </w:rPr>
              <w:fldChar w:fldCharType="begin"/>
            </w:r>
            <w:r w:rsidR="004D235E">
              <w:rPr>
                <w:noProof/>
                <w:webHidden/>
              </w:rPr>
              <w:instrText xml:space="preserve"> PAGEREF _Toc37945911 \h </w:instrText>
            </w:r>
            <w:r w:rsidR="004D235E">
              <w:rPr>
                <w:noProof/>
                <w:webHidden/>
              </w:rPr>
            </w:r>
            <w:r w:rsidR="004D235E">
              <w:rPr>
                <w:noProof/>
                <w:webHidden/>
              </w:rPr>
              <w:fldChar w:fldCharType="separate"/>
            </w:r>
            <w:r w:rsidR="0005355F">
              <w:rPr>
                <w:noProof/>
                <w:webHidden/>
              </w:rPr>
              <w:t>8</w:t>
            </w:r>
            <w:r w:rsidR="004D235E">
              <w:rPr>
                <w:noProof/>
                <w:webHidden/>
              </w:rPr>
              <w:fldChar w:fldCharType="end"/>
            </w:r>
          </w:hyperlink>
        </w:p>
        <w:p w:rsidR="004D235E" w:rsidRDefault="009B005A">
          <w:pPr>
            <w:pStyle w:val="TDC3"/>
            <w:tabs>
              <w:tab w:val="right" w:leader="dot" w:pos="7694"/>
            </w:tabs>
            <w:rPr>
              <w:rFonts w:asciiTheme="minorHAnsi" w:eastAsiaTheme="minorEastAsia" w:hAnsiTheme="minorHAnsi"/>
              <w:noProof/>
              <w:sz w:val="22"/>
              <w:szCs w:val="22"/>
              <w:lang w:eastAsia="es-MX"/>
            </w:rPr>
          </w:pPr>
          <w:hyperlink w:anchor="_Toc37945912" w:history="1">
            <w:r w:rsidR="004D235E" w:rsidRPr="00322066">
              <w:rPr>
                <w:rStyle w:val="Hipervnculo"/>
                <w:rFonts w:cs="Arial"/>
                <w:b/>
                <w:noProof/>
              </w:rPr>
              <w:t>b) Contingencia sanitaria</w:t>
            </w:r>
            <w:r w:rsidR="004D235E">
              <w:rPr>
                <w:noProof/>
                <w:webHidden/>
              </w:rPr>
              <w:tab/>
            </w:r>
            <w:r w:rsidR="004D235E">
              <w:rPr>
                <w:noProof/>
                <w:webHidden/>
              </w:rPr>
              <w:fldChar w:fldCharType="begin"/>
            </w:r>
            <w:r w:rsidR="004D235E">
              <w:rPr>
                <w:noProof/>
                <w:webHidden/>
              </w:rPr>
              <w:instrText xml:space="preserve"> PAGEREF _Toc37945912 \h </w:instrText>
            </w:r>
            <w:r w:rsidR="004D235E">
              <w:rPr>
                <w:noProof/>
                <w:webHidden/>
              </w:rPr>
            </w:r>
            <w:r w:rsidR="004D235E">
              <w:rPr>
                <w:noProof/>
                <w:webHidden/>
              </w:rPr>
              <w:fldChar w:fldCharType="separate"/>
            </w:r>
            <w:r w:rsidR="0005355F">
              <w:rPr>
                <w:noProof/>
                <w:webHidden/>
              </w:rPr>
              <w:t>10</w:t>
            </w:r>
            <w:r w:rsidR="004D235E">
              <w:rPr>
                <w:noProof/>
                <w:webHidden/>
              </w:rPr>
              <w:fldChar w:fldCharType="end"/>
            </w:r>
          </w:hyperlink>
        </w:p>
        <w:p w:rsidR="004D235E" w:rsidRDefault="009B005A">
          <w:pPr>
            <w:pStyle w:val="TDC3"/>
            <w:tabs>
              <w:tab w:val="right" w:leader="dot" w:pos="7694"/>
            </w:tabs>
            <w:rPr>
              <w:rFonts w:asciiTheme="minorHAnsi" w:eastAsiaTheme="minorEastAsia" w:hAnsiTheme="minorHAnsi"/>
              <w:noProof/>
              <w:sz w:val="22"/>
              <w:szCs w:val="22"/>
              <w:lang w:eastAsia="es-MX"/>
            </w:rPr>
          </w:pPr>
          <w:hyperlink w:anchor="_Toc37945913" w:history="1">
            <w:r w:rsidR="004D235E" w:rsidRPr="00322066">
              <w:rPr>
                <w:rStyle w:val="Hipervnculo"/>
                <w:rFonts w:cs="Arial"/>
                <w:b/>
                <w:noProof/>
              </w:rPr>
              <w:t>c) El derecho a la salud</w:t>
            </w:r>
            <w:r w:rsidR="004D235E">
              <w:rPr>
                <w:noProof/>
                <w:webHidden/>
              </w:rPr>
              <w:tab/>
            </w:r>
            <w:r w:rsidR="004D235E">
              <w:rPr>
                <w:noProof/>
                <w:webHidden/>
              </w:rPr>
              <w:fldChar w:fldCharType="begin"/>
            </w:r>
            <w:r w:rsidR="004D235E">
              <w:rPr>
                <w:noProof/>
                <w:webHidden/>
              </w:rPr>
              <w:instrText xml:space="preserve"> PAGEREF _Toc37945913 \h </w:instrText>
            </w:r>
            <w:r w:rsidR="004D235E">
              <w:rPr>
                <w:noProof/>
                <w:webHidden/>
              </w:rPr>
            </w:r>
            <w:r w:rsidR="004D235E">
              <w:rPr>
                <w:noProof/>
                <w:webHidden/>
              </w:rPr>
              <w:fldChar w:fldCharType="separate"/>
            </w:r>
            <w:r w:rsidR="0005355F">
              <w:rPr>
                <w:noProof/>
                <w:webHidden/>
              </w:rPr>
              <w:t>13</w:t>
            </w:r>
            <w:r w:rsidR="004D235E">
              <w:rPr>
                <w:noProof/>
                <w:webHidden/>
              </w:rPr>
              <w:fldChar w:fldCharType="end"/>
            </w:r>
          </w:hyperlink>
        </w:p>
        <w:p w:rsidR="004D235E" w:rsidRDefault="009B005A">
          <w:pPr>
            <w:pStyle w:val="TDC3"/>
            <w:tabs>
              <w:tab w:val="right" w:leader="dot" w:pos="7694"/>
            </w:tabs>
            <w:rPr>
              <w:rFonts w:asciiTheme="minorHAnsi" w:eastAsiaTheme="minorEastAsia" w:hAnsiTheme="minorHAnsi"/>
              <w:noProof/>
              <w:sz w:val="22"/>
              <w:szCs w:val="22"/>
              <w:lang w:eastAsia="es-MX"/>
            </w:rPr>
          </w:pPr>
          <w:hyperlink w:anchor="_Toc37945914" w:history="1">
            <w:r w:rsidR="004D235E" w:rsidRPr="00322066">
              <w:rPr>
                <w:rStyle w:val="Hipervnculo"/>
                <w:rFonts w:cs="Arial"/>
                <w:b/>
                <w:noProof/>
              </w:rPr>
              <w:t>d) Caso concreto</w:t>
            </w:r>
            <w:r w:rsidR="004D235E">
              <w:rPr>
                <w:noProof/>
                <w:webHidden/>
              </w:rPr>
              <w:tab/>
            </w:r>
            <w:r w:rsidR="004D235E">
              <w:rPr>
                <w:noProof/>
                <w:webHidden/>
              </w:rPr>
              <w:fldChar w:fldCharType="begin"/>
            </w:r>
            <w:r w:rsidR="004D235E">
              <w:rPr>
                <w:noProof/>
                <w:webHidden/>
              </w:rPr>
              <w:instrText xml:space="preserve"> PAGEREF _Toc37945914 \h </w:instrText>
            </w:r>
            <w:r w:rsidR="004D235E">
              <w:rPr>
                <w:noProof/>
                <w:webHidden/>
              </w:rPr>
            </w:r>
            <w:r w:rsidR="004D235E">
              <w:rPr>
                <w:noProof/>
                <w:webHidden/>
              </w:rPr>
              <w:fldChar w:fldCharType="separate"/>
            </w:r>
            <w:r w:rsidR="0005355F">
              <w:rPr>
                <w:noProof/>
                <w:webHidden/>
              </w:rPr>
              <w:t>14</w:t>
            </w:r>
            <w:r w:rsidR="004D235E">
              <w:rPr>
                <w:noProof/>
                <w:webHidden/>
              </w:rPr>
              <w:fldChar w:fldCharType="end"/>
            </w:r>
          </w:hyperlink>
        </w:p>
        <w:p w:rsidR="004D235E" w:rsidRDefault="009B005A">
          <w:pPr>
            <w:pStyle w:val="TDC3"/>
            <w:tabs>
              <w:tab w:val="right" w:leader="dot" w:pos="7694"/>
            </w:tabs>
            <w:rPr>
              <w:rFonts w:asciiTheme="minorHAnsi" w:eastAsiaTheme="minorEastAsia" w:hAnsiTheme="minorHAnsi"/>
              <w:noProof/>
              <w:sz w:val="22"/>
              <w:szCs w:val="22"/>
              <w:lang w:eastAsia="es-MX"/>
            </w:rPr>
          </w:pPr>
          <w:hyperlink w:anchor="_Toc37945915" w:history="1">
            <w:r w:rsidR="004D235E" w:rsidRPr="00322066">
              <w:rPr>
                <w:rStyle w:val="Hipervnculo"/>
                <w:rFonts w:cs="Arial"/>
                <w:b/>
                <w:noProof/>
              </w:rPr>
              <w:t>e) Decisión</w:t>
            </w:r>
            <w:r w:rsidR="004D235E">
              <w:rPr>
                <w:noProof/>
                <w:webHidden/>
              </w:rPr>
              <w:tab/>
            </w:r>
            <w:r w:rsidR="004D235E">
              <w:rPr>
                <w:noProof/>
                <w:webHidden/>
              </w:rPr>
              <w:fldChar w:fldCharType="begin"/>
            </w:r>
            <w:r w:rsidR="004D235E">
              <w:rPr>
                <w:noProof/>
                <w:webHidden/>
              </w:rPr>
              <w:instrText xml:space="preserve"> PAGEREF _Toc37945915 \h </w:instrText>
            </w:r>
            <w:r w:rsidR="004D235E">
              <w:rPr>
                <w:noProof/>
                <w:webHidden/>
              </w:rPr>
            </w:r>
            <w:r w:rsidR="004D235E">
              <w:rPr>
                <w:noProof/>
                <w:webHidden/>
              </w:rPr>
              <w:fldChar w:fldCharType="separate"/>
            </w:r>
            <w:r w:rsidR="0005355F">
              <w:rPr>
                <w:noProof/>
                <w:webHidden/>
              </w:rPr>
              <w:t>14</w:t>
            </w:r>
            <w:r w:rsidR="004D235E">
              <w:rPr>
                <w:noProof/>
                <w:webHidden/>
              </w:rPr>
              <w:fldChar w:fldCharType="end"/>
            </w:r>
          </w:hyperlink>
        </w:p>
        <w:p w:rsidR="004D235E" w:rsidRDefault="009B005A">
          <w:pPr>
            <w:pStyle w:val="TDC2"/>
            <w:tabs>
              <w:tab w:val="right" w:leader="dot" w:pos="7694"/>
            </w:tabs>
            <w:rPr>
              <w:rFonts w:asciiTheme="minorHAnsi" w:eastAsiaTheme="minorEastAsia" w:hAnsiTheme="minorHAnsi"/>
              <w:noProof/>
              <w:sz w:val="22"/>
              <w:szCs w:val="22"/>
              <w:lang w:eastAsia="es-MX"/>
            </w:rPr>
          </w:pPr>
          <w:hyperlink w:anchor="_Toc37945916" w:history="1">
            <w:r w:rsidR="004D235E" w:rsidRPr="00322066">
              <w:rPr>
                <w:rStyle w:val="Hipervnculo"/>
                <w:rFonts w:cs="Arial"/>
                <w:b/>
                <w:bCs/>
                <w:noProof/>
              </w:rPr>
              <w:t>IV. Efectos</w:t>
            </w:r>
            <w:r w:rsidR="004D235E">
              <w:rPr>
                <w:noProof/>
                <w:webHidden/>
              </w:rPr>
              <w:tab/>
            </w:r>
            <w:r w:rsidR="004D235E">
              <w:rPr>
                <w:noProof/>
                <w:webHidden/>
              </w:rPr>
              <w:fldChar w:fldCharType="begin"/>
            </w:r>
            <w:r w:rsidR="004D235E">
              <w:rPr>
                <w:noProof/>
                <w:webHidden/>
              </w:rPr>
              <w:instrText xml:space="preserve"> PAGEREF _Toc37945916 \h </w:instrText>
            </w:r>
            <w:r w:rsidR="004D235E">
              <w:rPr>
                <w:noProof/>
                <w:webHidden/>
              </w:rPr>
            </w:r>
            <w:r w:rsidR="004D235E">
              <w:rPr>
                <w:noProof/>
                <w:webHidden/>
              </w:rPr>
              <w:fldChar w:fldCharType="separate"/>
            </w:r>
            <w:r w:rsidR="0005355F">
              <w:rPr>
                <w:noProof/>
                <w:webHidden/>
              </w:rPr>
              <w:t>18</w:t>
            </w:r>
            <w:r w:rsidR="004D235E">
              <w:rPr>
                <w:noProof/>
                <w:webHidden/>
              </w:rPr>
              <w:fldChar w:fldCharType="end"/>
            </w:r>
          </w:hyperlink>
        </w:p>
        <w:p w:rsidR="004D235E" w:rsidRDefault="009B005A">
          <w:pPr>
            <w:pStyle w:val="TDC1"/>
            <w:rPr>
              <w:rFonts w:asciiTheme="minorHAnsi" w:eastAsiaTheme="minorEastAsia" w:hAnsiTheme="minorHAnsi"/>
              <w:noProof/>
              <w:sz w:val="22"/>
              <w:szCs w:val="22"/>
              <w:lang w:eastAsia="es-MX"/>
            </w:rPr>
          </w:pPr>
          <w:hyperlink w:anchor="_Toc37945917" w:history="1">
            <w:r w:rsidR="004D235E" w:rsidRPr="00322066">
              <w:rPr>
                <w:rStyle w:val="Hipervnculo"/>
                <w:rFonts w:eastAsia="Times New Roman" w:cs="Arial"/>
                <w:b/>
                <w:noProof/>
                <w:lang w:eastAsia="es-MX"/>
              </w:rPr>
              <w:t>RESUELVE</w:t>
            </w:r>
            <w:r w:rsidR="004D235E">
              <w:rPr>
                <w:noProof/>
                <w:webHidden/>
              </w:rPr>
              <w:tab/>
            </w:r>
            <w:r w:rsidR="004D235E">
              <w:rPr>
                <w:noProof/>
                <w:webHidden/>
              </w:rPr>
              <w:fldChar w:fldCharType="begin"/>
            </w:r>
            <w:r w:rsidR="004D235E">
              <w:rPr>
                <w:noProof/>
                <w:webHidden/>
              </w:rPr>
              <w:instrText xml:space="preserve"> PAGEREF _Toc37945917 \h </w:instrText>
            </w:r>
            <w:r w:rsidR="004D235E">
              <w:rPr>
                <w:noProof/>
                <w:webHidden/>
              </w:rPr>
            </w:r>
            <w:r w:rsidR="004D235E">
              <w:rPr>
                <w:noProof/>
                <w:webHidden/>
              </w:rPr>
              <w:fldChar w:fldCharType="separate"/>
            </w:r>
            <w:r w:rsidR="0005355F">
              <w:rPr>
                <w:noProof/>
                <w:webHidden/>
              </w:rPr>
              <w:t>19</w:t>
            </w:r>
            <w:r w:rsidR="004D235E">
              <w:rPr>
                <w:noProof/>
                <w:webHidden/>
              </w:rPr>
              <w:fldChar w:fldCharType="end"/>
            </w:r>
          </w:hyperlink>
        </w:p>
        <w:p w:rsidR="00B953CB" w:rsidRPr="00F30331" w:rsidRDefault="00B953CB" w:rsidP="00CC1509">
          <w:pPr>
            <w:pStyle w:val="TDC1"/>
            <w:rPr>
              <w:rFonts w:cs="Arial"/>
            </w:rPr>
          </w:pPr>
          <w:r w:rsidRPr="00F30331">
            <w:rPr>
              <w:rFonts w:cs="Arial"/>
              <w:b/>
              <w:bCs/>
              <w:lang w:val="es-ES"/>
            </w:rPr>
            <w:fldChar w:fldCharType="end"/>
          </w:r>
        </w:p>
      </w:sdtContent>
    </w:sdt>
    <w:p w:rsidR="00B953CB" w:rsidRPr="00F30331" w:rsidRDefault="00B953CB" w:rsidP="00F30331">
      <w:pPr>
        <w:pStyle w:val="Ttulo1"/>
        <w:spacing w:before="0"/>
        <w:jc w:val="center"/>
        <w:rPr>
          <w:rFonts w:ascii="Arial" w:hAnsi="Arial" w:cs="Arial"/>
          <w:b/>
          <w:color w:val="auto"/>
          <w:sz w:val="18"/>
          <w:szCs w:val="18"/>
        </w:rPr>
      </w:pPr>
      <w:bookmarkStart w:id="0" w:name="_Toc37945902"/>
      <w:r w:rsidRPr="00F30331">
        <w:rPr>
          <w:rFonts w:ascii="Arial" w:hAnsi="Arial" w:cs="Arial"/>
          <w:b/>
          <w:color w:val="auto"/>
          <w:sz w:val="18"/>
          <w:szCs w:val="18"/>
        </w:rPr>
        <w:t>GLOSARIO</w:t>
      </w:r>
      <w:bookmarkEnd w:id="0"/>
    </w:p>
    <w:p w:rsidR="005F7529" w:rsidRPr="003E7D28" w:rsidRDefault="005F7529" w:rsidP="005F7529"/>
    <w:tbl>
      <w:tblPr>
        <w:tblW w:w="7797" w:type="dxa"/>
        <w:tblInd w:w="-5" w:type="dxa"/>
        <w:tblLook w:val="01E0" w:firstRow="1" w:lastRow="1" w:firstColumn="1" w:lastColumn="1" w:noHBand="0" w:noVBand="0"/>
      </w:tblPr>
      <w:tblGrid>
        <w:gridCol w:w="1985"/>
        <w:gridCol w:w="5812"/>
      </w:tblGrid>
      <w:tr w:rsidR="003E7D28" w:rsidRPr="003E7D28" w:rsidTr="004E3BFA">
        <w:trPr>
          <w:trHeight w:val="284"/>
        </w:trPr>
        <w:tc>
          <w:tcPr>
            <w:tcW w:w="1985" w:type="dxa"/>
            <w:vAlign w:val="center"/>
          </w:tcPr>
          <w:p w:rsidR="009A371E" w:rsidRPr="003E7D28" w:rsidRDefault="009A371E" w:rsidP="007A1513">
            <w:pPr>
              <w:ind w:left="-108"/>
              <w:jc w:val="both"/>
              <w:rPr>
                <w:rFonts w:cs="Arial"/>
                <w:b/>
                <w:sz w:val="18"/>
                <w:szCs w:val="18"/>
              </w:rPr>
            </w:pPr>
            <w:r w:rsidRPr="003E7D28">
              <w:rPr>
                <w:rFonts w:cs="Arial"/>
                <w:b/>
                <w:sz w:val="18"/>
                <w:szCs w:val="18"/>
              </w:rPr>
              <w:t>Constitución:</w:t>
            </w:r>
          </w:p>
        </w:tc>
        <w:tc>
          <w:tcPr>
            <w:tcW w:w="5812" w:type="dxa"/>
            <w:vAlign w:val="center"/>
          </w:tcPr>
          <w:p w:rsidR="009A371E" w:rsidRPr="003E7D28" w:rsidRDefault="009A371E" w:rsidP="00675766">
            <w:pPr>
              <w:jc w:val="both"/>
              <w:rPr>
                <w:rFonts w:cs="Arial"/>
                <w:sz w:val="18"/>
                <w:szCs w:val="18"/>
                <w:lang w:eastAsia="es-MX"/>
              </w:rPr>
            </w:pPr>
            <w:r w:rsidRPr="003E7D28">
              <w:rPr>
                <w:rFonts w:cs="Arial"/>
                <w:sz w:val="18"/>
                <w:szCs w:val="18"/>
                <w:lang w:eastAsia="es-MX"/>
              </w:rPr>
              <w:t>Constitución Política de los Estados Unidos Mexicanos.</w:t>
            </w:r>
          </w:p>
        </w:tc>
      </w:tr>
      <w:tr w:rsidR="003E7D28" w:rsidRPr="003E7D28" w:rsidTr="004E3BFA">
        <w:trPr>
          <w:trHeight w:val="284"/>
        </w:trPr>
        <w:tc>
          <w:tcPr>
            <w:tcW w:w="1985" w:type="dxa"/>
            <w:vAlign w:val="center"/>
          </w:tcPr>
          <w:p w:rsidR="009A371E" w:rsidRPr="003E7D28" w:rsidRDefault="009A371E" w:rsidP="00675766">
            <w:pPr>
              <w:ind w:left="-91"/>
              <w:jc w:val="both"/>
              <w:rPr>
                <w:rFonts w:cs="Arial"/>
                <w:b/>
                <w:sz w:val="18"/>
                <w:szCs w:val="18"/>
              </w:rPr>
            </w:pPr>
            <w:r w:rsidRPr="003E7D28">
              <w:rPr>
                <w:rFonts w:cs="Arial"/>
                <w:b/>
                <w:sz w:val="18"/>
                <w:szCs w:val="18"/>
              </w:rPr>
              <w:t>Ley de Medios:</w:t>
            </w:r>
          </w:p>
        </w:tc>
        <w:tc>
          <w:tcPr>
            <w:tcW w:w="5812" w:type="dxa"/>
            <w:vAlign w:val="center"/>
          </w:tcPr>
          <w:p w:rsidR="009A371E" w:rsidRPr="003E7D28" w:rsidRDefault="009A371E" w:rsidP="00675766">
            <w:pPr>
              <w:jc w:val="both"/>
              <w:rPr>
                <w:rFonts w:cs="Arial"/>
                <w:sz w:val="18"/>
                <w:szCs w:val="18"/>
                <w:lang w:eastAsia="es-MX"/>
              </w:rPr>
            </w:pPr>
            <w:r w:rsidRPr="003E7D28">
              <w:rPr>
                <w:rFonts w:cs="Arial"/>
                <w:sz w:val="18"/>
                <w:szCs w:val="18"/>
                <w:lang w:eastAsia="es-MX"/>
              </w:rPr>
              <w:t>Ley General del Sistema de Medios de Impugnación en Materia Electoral.</w:t>
            </w:r>
          </w:p>
        </w:tc>
      </w:tr>
      <w:tr w:rsidR="003E7D28" w:rsidRPr="003E7D28" w:rsidTr="004E3BFA">
        <w:trPr>
          <w:trHeight w:val="284"/>
        </w:trPr>
        <w:tc>
          <w:tcPr>
            <w:tcW w:w="1985" w:type="dxa"/>
            <w:vAlign w:val="center"/>
          </w:tcPr>
          <w:p w:rsidR="009A371E" w:rsidRPr="003E7D28" w:rsidRDefault="009A371E" w:rsidP="00675766">
            <w:pPr>
              <w:ind w:left="-91"/>
              <w:jc w:val="both"/>
              <w:rPr>
                <w:rFonts w:cs="Arial"/>
                <w:b/>
                <w:sz w:val="18"/>
                <w:szCs w:val="18"/>
              </w:rPr>
            </w:pPr>
            <w:r w:rsidRPr="003E7D28">
              <w:rPr>
                <w:rFonts w:cs="Arial"/>
                <w:b/>
                <w:sz w:val="18"/>
                <w:szCs w:val="18"/>
              </w:rPr>
              <w:t>Ley Orgánica</w:t>
            </w:r>
            <w:r w:rsidR="00AB434F" w:rsidRPr="003E7D28">
              <w:rPr>
                <w:rFonts w:cs="Arial"/>
                <w:b/>
                <w:sz w:val="18"/>
                <w:szCs w:val="18"/>
              </w:rPr>
              <w:t>:</w:t>
            </w:r>
          </w:p>
        </w:tc>
        <w:tc>
          <w:tcPr>
            <w:tcW w:w="5812" w:type="dxa"/>
            <w:vAlign w:val="center"/>
          </w:tcPr>
          <w:p w:rsidR="009A371E" w:rsidRPr="003E7D28" w:rsidRDefault="009A371E" w:rsidP="00675766">
            <w:pPr>
              <w:jc w:val="both"/>
              <w:rPr>
                <w:rFonts w:cs="Arial"/>
                <w:sz w:val="18"/>
                <w:szCs w:val="18"/>
                <w:lang w:eastAsia="es-MX"/>
              </w:rPr>
            </w:pPr>
            <w:r w:rsidRPr="003E7D28">
              <w:rPr>
                <w:rFonts w:cs="Arial"/>
                <w:sz w:val="18"/>
                <w:szCs w:val="18"/>
                <w:lang w:eastAsia="es-MX"/>
              </w:rPr>
              <w:t>Ley Orgánica del Poder Judicial de la Federación.</w:t>
            </w:r>
          </w:p>
        </w:tc>
      </w:tr>
      <w:tr w:rsidR="003E7D28" w:rsidRPr="003E7D28" w:rsidTr="004E3BFA">
        <w:trPr>
          <w:trHeight w:val="284"/>
        </w:trPr>
        <w:tc>
          <w:tcPr>
            <w:tcW w:w="1985" w:type="dxa"/>
            <w:vAlign w:val="center"/>
          </w:tcPr>
          <w:p w:rsidR="00121623" w:rsidRPr="003E7D28" w:rsidRDefault="00121623" w:rsidP="00675766">
            <w:pPr>
              <w:ind w:left="-91"/>
              <w:jc w:val="both"/>
              <w:rPr>
                <w:rFonts w:cs="Arial"/>
                <w:b/>
                <w:sz w:val="18"/>
                <w:szCs w:val="18"/>
              </w:rPr>
            </w:pPr>
            <w:r w:rsidRPr="003E7D28">
              <w:rPr>
                <w:rFonts w:cs="Arial"/>
                <w:b/>
                <w:sz w:val="18"/>
                <w:szCs w:val="18"/>
              </w:rPr>
              <w:t>Ley</w:t>
            </w:r>
            <w:r w:rsidR="000840BE" w:rsidRPr="003E7D28">
              <w:rPr>
                <w:rFonts w:cs="Arial"/>
                <w:b/>
                <w:sz w:val="18"/>
                <w:szCs w:val="18"/>
              </w:rPr>
              <w:t xml:space="preserve"> de Medios local:</w:t>
            </w:r>
          </w:p>
        </w:tc>
        <w:tc>
          <w:tcPr>
            <w:tcW w:w="5812" w:type="dxa"/>
            <w:vAlign w:val="center"/>
          </w:tcPr>
          <w:p w:rsidR="00121623" w:rsidRPr="003E7D28" w:rsidRDefault="00121623" w:rsidP="00675766">
            <w:pPr>
              <w:jc w:val="both"/>
              <w:rPr>
                <w:rFonts w:cs="Arial"/>
                <w:sz w:val="18"/>
                <w:szCs w:val="18"/>
                <w:lang w:eastAsia="es-MX"/>
              </w:rPr>
            </w:pPr>
            <w:r w:rsidRPr="003E7D28">
              <w:rPr>
                <w:rFonts w:cs="Arial"/>
                <w:sz w:val="18"/>
                <w:szCs w:val="18"/>
                <w:lang w:eastAsia="es-MX"/>
              </w:rPr>
              <w:t>Ley del Sistema de Medios de Impugnación en Materia Electoral y de Participación Ciudadana para el Estado de Oaxaca.</w:t>
            </w:r>
          </w:p>
        </w:tc>
      </w:tr>
      <w:tr w:rsidR="003E7D28" w:rsidRPr="003E7D28" w:rsidTr="004E3BFA">
        <w:trPr>
          <w:trHeight w:val="284"/>
        </w:trPr>
        <w:tc>
          <w:tcPr>
            <w:tcW w:w="1985" w:type="dxa"/>
            <w:vAlign w:val="center"/>
          </w:tcPr>
          <w:p w:rsidR="000D257D" w:rsidRPr="003E7D28" w:rsidRDefault="0015303D" w:rsidP="00675766">
            <w:pPr>
              <w:ind w:left="-91"/>
              <w:jc w:val="both"/>
              <w:rPr>
                <w:rFonts w:cs="Arial"/>
                <w:b/>
                <w:sz w:val="18"/>
                <w:szCs w:val="18"/>
              </w:rPr>
            </w:pPr>
            <w:r w:rsidRPr="003E7D28">
              <w:rPr>
                <w:rFonts w:cs="Arial"/>
                <w:b/>
                <w:sz w:val="18"/>
                <w:szCs w:val="18"/>
              </w:rPr>
              <w:t>Actor</w:t>
            </w:r>
            <w:r w:rsidR="00EE49F9" w:rsidRPr="003E7D28">
              <w:rPr>
                <w:rFonts w:cs="Arial"/>
                <w:b/>
                <w:sz w:val="18"/>
                <w:szCs w:val="18"/>
              </w:rPr>
              <w:t>a</w:t>
            </w:r>
            <w:r w:rsidR="005C63BF" w:rsidRPr="003E7D28">
              <w:rPr>
                <w:rFonts w:cs="Arial"/>
                <w:b/>
                <w:sz w:val="18"/>
                <w:szCs w:val="18"/>
              </w:rPr>
              <w:t>:</w:t>
            </w:r>
          </w:p>
        </w:tc>
        <w:tc>
          <w:tcPr>
            <w:tcW w:w="5812" w:type="dxa"/>
            <w:vAlign w:val="center"/>
          </w:tcPr>
          <w:p w:rsidR="000D257D" w:rsidRPr="003E7D28" w:rsidRDefault="00B0238E" w:rsidP="00675766">
            <w:pPr>
              <w:jc w:val="both"/>
              <w:rPr>
                <w:rFonts w:cs="Arial"/>
                <w:sz w:val="18"/>
                <w:szCs w:val="18"/>
                <w:lang w:eastAsia="es-MX"/>
              </w:rPr>
            </w:pPr>
            <w:r w:rsidRPr="003E7D28">
              <w:rPr>
                <w:rFonts w:cs="Arial"/>
                <w:sz w:val="18"/>
                <w:szCs w:val="18"/>
                <w:lang w:eastAsia="es-MX"/>
              </w:rPr>
              <w:t>Gisela Lilia Pérez García</w:t>
            </w:r>
            <w:r w:rsidR="00EE49F9" w:rsidRPr="003E7D28">
              <w:rPr>
                <w:rFonts w:cs="Arial"/>
                <w:sz w:val="18"/>
                <w:szCs w:val="18"/>
                <w:lang w:eastAsia="es-MX"/>
              </w:rPr>
              <w:t>.</w:t>
            </w:r>
          </w:p>
        </w:tc>
      </w:tr>
      <w:tr w:rsidR="00DD4D8E" w:rsidRPr="003E7D28" w:rsidTr="004E3BFA">
        <w:trPr>
          <w:trHeight w:val="284"/>
        </w:trPr>
        <w:tc>
          <w:tcPr>
            <w:tcW w:w="1985" w:type="dxa"/>
            <w:vAlign w:val="center"/>
          </w:tcPr>
          <w:p w:rsidR="00DD4D8E" w:rsidRPr="003E7D28" w:rsidRDefault="00DD4D8E" w:rsidP="00675766">
            <w:pPr>
              <w:ind w:left="-91"/>
              <w:jc w:val="both"/>
              <w:rPr>
                <w:rFonts w:cs="Arial"/>
                <w:b/>
                <w:sz w:val="18"/>
                <w:szCs w:val="18"/>
              </w:rPr>
            </w:pPr>
            <w:r>
              <w:rPr>
                <w:rFonts w:cs="Arial"/>
                <w:b/>
                <w:sz w:val="18"/>
                <w:szCs w:val="18"/>
              </w:rPr>
              <w:t>OMS:</w:t>
            </w:r>
          </w:p>
        </w:tc>
        <w:tc>
          <w:tcPr>
            <w:tcW w:w="5812" w:type="dxa"/>
            <w:vAlign w:val="center"/>
          </w:tcPr>
          <w:p w:rsidR="00DD4D8E" w:rsidRPr="003E7D28" w:rsidRDefault="00DD4D8E" w:rsidP="00675766">
            <w:pPr>
              <w:jc w:val="both"/>
              <w:rPr>
                <w:rFonts w:cs="Arial"/>
                <w:sz w:val="18"/>
                <w:szCs w:val="18"/>
                <w:lang w:eastAsia="es-MX"/>
              </w:rPr>
            </w:pPr>
            <w:r>
              <w:rPr>
                <w:rFonts w:cs="Arial"/>
                <w:sz w:val="18"/>
                <w:szCs w:val="18"/>
                <w:lang w:eastAsia="es-MX"/>
              </w:rPr>
              <w:t>Organización Mundial de la Salud.</w:t>
            </w:r>
          </w:p>
        </w:tc>
      </w:tr>
      <w:tr w:rsidR="003E7D28" w:rsidRPr="003E7D28" w:rsidTr="004E3BFA">
        <w:trPr>
          <w:trHeight w:val="284"/>
        </w:trPr>
        <w:tc>
          <w:tcPr>
            <w:tcW w:w="1985" w:type="dxa"/>
            <w:vAlign w:val="center"/>
          </w:tcPr>
          <w:p w:rsidR="00E8182E" w:rsidRPr="003E7D28" w:rsidRDefault="00E8182E" w:rsidP="00675766">
            <w:pPr>
              <w:ind w:left="-91"/>
              <w:jc w:val="both"/>
              <w:rPr>
                <w:rFonts w:cs="Arial"/>
                <w:b/>
                <w:sz w:val="18"/>
                <w:szCs w:val="18"/>
              </w:rPr>
            </w:pPr>
            <w:r w:rsidRPr="003E7D28">
              <w:rPr>
                <w:rFonts w:cs="Arial"/>
                <w:b/>
                <w:sz w:val="18"/>
                <w:szCs w:val="18"/>
              </w:rPr>
              <w:t>Sala Xalapa:</w:t>
            </w:r>
          </w:p>
        </w:tc>
        <w:tc>
          <w:tcPr>
            <w:tcW w:w="5812" w:type="dxa"/>
            <w:vAlign w:val="center"/>
          </w:tcPr>
          <w:p w:rsidR="00E8182E" w:rsidRPr="003E7D28" w:rsidRDefault="001C41CA" w:rsidP="00675766">
            <w:pPr>
              <w:jc w:val="both"/>
              <w:rPr>
                <w:rFonts w:cs="Arial"/>
                <w:sz w:val="18"/>
                <w:szCs w:val="18"/>
                <w:lang w:eastAsia="es-MX"/>
              </w:rPr>
            </w:pPr>
            <w:r w:rsidRPr="003E7D28">
              <w:rPr>
                <w:rFonts w:cs="Arial"/>
                <w:sz w:val="18"/>
                <w:szCs w:val="18"/>
                <w:lang w:eastAsia="es-MX"/>
              </w:rPr>
              <w:t>Sala Regional del Tribunal Electoral del Poder Judicial de la Federación, correspondiente a</w:t>
            </w:r>
            <w:r w:rsidR="00184C2E" w:rsidRPr="003E7D28">
              <w:rPr>
                <w:rFonts w:cs="Arial"/>
                <w:sz w:val="18"/>
                <w:szCs w:val="18"/>
                <w:lang w:eastAsia="es-MX"/>
              </w:rPr>
              <w:t xml:space="preserve"> </w:t>
            </w:r>
            <w:r w:rsidRPr="003E7D28">
              <w:rPr>
                <w:rFonts w:cs="Arial"/>
                <w:sz w:val="18"/>
                <w:szCs w:val="18"/>
                <w:lang w:eastAsia="es-MX"/>
              </w:rPr>
              <w:t>la</w:t>
            </w:r>
            <w:r w:rsidR="00184C2E" w:rsidRPr="003E7D28">
              <w:rPr>
                <w:rFonts w:cs="Arial"/>
                <w:sz w:val="18"/>
                <w:szCs w:val="18"/>
                <w:lang w:eastAsia="es-MX"/>
              </w:rPr>
              <w:t xml:space="preserve"> </w:t>
            </w:r>
            <w:r w:rsidRPr="003E7D28">
              <w:rPr>
                <w:rFonts w:cs="Arial"/>
                <w:sz w:val="18"/>
                <w:szCs w:val="18"/>
                <w:lang w:eastAsia="es-MX"/>
              </w:rPr>
              <w:t>Tercera</w:t>
            </w:r>
            <w:r w:rsidR="00184C2E" w:rsidRPr="003E7D28">
              <w:rPr>
                <w:rFonts w:cs="Arial"/>
                <w:sz w:val="18"/>
                <w:szCs w:val="18"/>
                <w:lang w:eastAsia="es-MX"/>
              </w:rPr>
              <w:t xml:space="preserve"> </w:t>
            </w:r>
            <w:r w:rsidRPr="003E7D28">
              <w:rPr>
                <w:rFonts w:cs="Arial"/>
                <w:sz w:val="18"/>
                <w:szCs w:val="18"/>
                <w:lang w:eastAsia="es-MX"/>
              </w:rPr>
              <w:t>Circunscripción Plurinominal con sede en</w:t>
            </w:r>
            <w:r w:rsidR="00184C2E" w:rsidRPr="003E7D28">
              <w:rPr>
                <w:rFonts w:cs="Arial"/>
                <w:sz w:val="18"/>
                <w:szCs w:val="18"/>
                <w:lang w:eastAsia="es-MX"/>
              </w:rPr>
              <w:t xml:space="preserve"> X</w:t>
            </w:r>
            <w:r w:rsidRPr="003E7D28">
              <w:rPr>
                <w:rFonts w:cs="Arial"/>
                <w:sz w:val="18"/>
                <w:szCs w:val="18"/>
                <w:lang w:eastAsia="es-MX"/>
              </w:rPr>
              <w:t>alapa,</w:t>
            </w:r>
            <w:r w:rsidR="00184C2E" w:rsidRPr="003E7D28">
              <w:rPr>
                <w:rFonts w:cs="Arial"/>
                <w:sz w:val="18"/>
                <w:szCs w:val="18"/>
                <w:lang w:eastAsia="es-MX"/>
              </w:rPr>
              <w:t xml:space="preserve"> </w:t>
            </w:r>
            <w:r w:rsidRPr="003E7D28">
              <w:rPr>
                <w:rFonts w:cs="Arial"/>
                <w:sz w:val="18"/>
                <w:szCs w:val="18"/>
                <w:lang w:eastAsia="es-MX"/>
              </w:rPr>
              <w:t>Veracruz.</w:t>
            </w:r>
          </w:p>
        </w:tc>
      </w:tr>
      <w:tr w:rsidR="003E7D28" w:rsidRPr="003E7D28" w:rsidTr="004E3BFA">
        <w:trPr>
          <w:trHeight w:val="284"/>
        </w:trPr>
        <w:tc>
          <w:tcPr>
            <w:tcW w:w="1985" w:type="dxa"/>
            <w:vAlign w:val="center"/>
          </w:tcPr>
          <w:p w:rsidR="009A371E" w:rsidRPr="003E7D28" w:rsidRDefault="009A371E" w:rsidP="00675766">
            <w:pPr>
              <w:ind w:left="-91"/>
              <w:jc w:val="both"/>
              <w:rPr>
                <w:rFonts w:cs="Arial"/>
                <w:b/>
                <w:sz w:val="18"/>
                <w:szCs w:val="18"/>
              </w:rPr>
            </w:pPr>
            <w:r w:rsidRPr="003E7D28">
              <w:rPr>
                <w:rFonts w:cs="Arial"/>
                <w:b/>
                <w:sz w:val="18"/>
                <w:szCs w:val="18"/>
              </w:rPr>
              <w:t>Sala Superior:</w:t>
            </w:r>
          </w:p>
        </w:tc>
        <w:tc>
          <w:tcPr>
            <w:tcW w:w="5812" w:type="dxa"/>
            <w:vAlign w:val="center"/>
          </w:tcPr>
          <w:p w:rsidR="009A371E" w:rsidRPr="003E7D28" w:rsidRDefault="009A371E" w:rsidP="00675766">
            <w:pPr>
              <w:jc w:val="both"/>
              <w:rPr>
                <w:rFonts w:cs="Arial"/>
                <w:sz w:val="18"/>
                <w:szCs w:val="18"/>
                <w:lang w:eastAsia="es-MX"/>
              </w:rPr>
            </w:pPr>
            <w:r w:rsidRPr="003E7D28">
              <w:rPr>
                <w:rFonts w:cs="Arial"/>
                <w:sz w:val="18"/>
                <w:szCs w:val="18"/>
                <w:lang w:eastAsia="es-MX"/>
              </w:rPr>
              <w:t>Sala Superior del Tribunal Electoral del Poder Judicial de la Federación.</w:t>
            </w:r>
          </w:p>
        </w:tc>
      </w:tr>
      <w:tr w:rsidR="00A53D42" w:rsidRPr="003E7D28" w:rsidTr="004E3BFA">
        <w:trPr>
          <w:trHeight w:val="284"/>
        </w:trPr>
        <w:tc>
          <w:tcPr>
            <w:tcW w:w="1985" w:type="dxa"/>
            <w:vAlign w:val="center"/>
          </w:tcPr>
          <w:p w:rsidR="00A53D42" w:rsidRPr="003E7D28" w:rsidRDefault="00A53D42" w:rsidP="00675766">
            <w:pPr>
              <w:ind w:left="-91"/>
              <w:jc w:val="both"/>
              <w:rPr>
                <w:rFonts w:cs="Arial"/>
                <w:b/>
                <w:sz w:val="18"/>
                <w:szCs w:val="18"/>
              </w:rPr>
            </w:pPr>
            <w:r>
              <w:rPr>
                <w:rFonts w:cs="Arial"/>
                <w:b/>
                <w:sz w:val="18"/>
                <w:szCs w:val="18"/>
              </w:rPr>
              <w:t>Suprema Corte:</w:t>
            </w:r>
          </w:p>
        </w:tc>
        <w:tc>
          <w:tcPr>
            <w:tcW w:w="5812" w:type="dxa"/>
            <w:vAlign w:val="center"/>
          </w:tcPr>
          <w:p w:rsidR="00A53D42" w:rsidRPr="003E7D28" w:rsidRDefault="00A53D42" w:rsidP="00675766">
            <w:pPr>
              <w:jc w:val="both"/>
              <w:rPr>
                <w:rFonts w:cs="Arial"/>
                <w:sz w:val="18"/>
                <w:szCs w:val="18"/>
                <w:lang w:eastAsia="es-MX"/>
              </w:rPr>
            </w:pPr>
            <w:r>
              <w:rPr>
                <w:rFonts w:cs="Arial"/>
                <w:sz w:val="18"/>
                <w:szCs w:val="18"/>
                <w:lang w:eastAsia="es-MX"/>
              </w:rPr>
              <w:t xml:space="preserve">Suprema Corte de Justicia de la Nación. </w:t>
            </w:r>
          </w:p>
        </w:tc>
      </w:tr>
      <w:tr w:rsidR="003E7D28" w:rsidRPr="003E7D28" w:rsidTr="004E3BFA">
        <w:trPr>
          <w:trHeight w:val="284"/>
        </w:trPr>
        <w:tc>
          <w:tcPr>
            <w:tcW w:w="1985" w:type="dxa"/>
            <w:vAlign w:val="center"/>
          </w:tcPr>
          <w:p w:rsidR="0042649D" w:rsidRPr="003E7D28" w:rsidRDefault="0042649D" w:rsidP="00675766">
            <w:pPr>
              <w:ind w:left="-91"/>
              <w:jc w:val="both"/>
              <w:rPr>
                <w:rFonts w:cs="Arial"/>
                <w:b/>
                <w:sz w:val="18"/>
                <w:szCs w:val="18"/>
              </w:rPr>
            </w:pPr>
            <w:r w:rsidRPr="003E7D28">
              <w:rPr>
                <w:rFonts w:cs="Arial"/>
                <w:b/>
                <w:sz w:val="18"/>
                <w:szCs w:val="18"/>
              </w:rPr>
              <w:t>Tribunal local:</w:t>
            </w:r>
          </w:p>
        </w:tc>
        <w:tc>
          <w:tcPr>
            <w:tcW w:w="5812" w:type="dxa"/>
            <w:vAlign w:val="center"/>
          </w:tcPr>
          <w:p w:rsidR="0042649D" w:rsidRPr="003E7D28" w:rsidRDefault="0042649D" w:rsidP="00675766">
            <w:pPr>
              <w:jc w:val="both"/>
              <w:rPr>
                <w:rFonts w:cs="Arial"/>
                <w:sz w:val="18"/>
                <w:szCs w:val="18"/>
                <w:lang w:eastAsia="es-MX"/>
              </w:rPr>
            </w:pPr>
            <w:r w:rsidRPr="003E7D28">
              <w:rPr>
                <w:rFonts w:cs="Arial"/>
                <w:sz w:val="18"/>
                <w:szCs w:val="18"/>
                <w:lang w:eastAsia="es-MX"/>
              </w:rPr>
              <w:t>Tribunal Electoral del Estado de Oaxaca</w:t>
            </w:r>
            <w:r w:rsidR="00817CC5" w:rsidRPr="003E7D28">
              <w:rPr>
                <w:rFonts w:cs="Arial"/>
                <w:sz w:val="18"/>
                <w:szCs w:val="18"/>
                <w:lang w:eastAsia="es-MX"/>
              </w:rPr>
              <w:t>.</w:t>
            </w:r>
          </w:p>
        </w:tc>
      </w:tr>
      <w:tr w:rsidR="003E7D28" w:rsidRPr="003E7D28" w:rsidTr="004E3BFA">
        <w:trPr>
          <w:trHeight w:val="284"/>
        </w:trPr>
        <w:tc>
          <w:tcPr>
            <w:tcW w:w="1985" w:type="dxa"/>
            <w:vAlign w:val="center"/>
          </w:tcPr>
          <w:p w:rsidR="009A371E" w:rsidRPr="003E7D28" w:rsidRDefault="009A371E" w:rsidP="00675766">
            <w:pPr>
              <w:ind w:left="-91"/>
              <w:jc w:val="both"/>
              <w:rPr>
                <w:rFonts w:cs="Arial"/>
                <w:b/>
                <w:sz w:val="18"/>
                <w:szCs w:val="18"/>
              </w:rPr>
            </w:pPr>
            <w:r w:rsidRPr="003E7D28">
              <w:rPr>
                <w:rFonts w:cs="Arial"/>
                <w:b/>
                <w:sz w:val="18"/>
                <w:szCs w:val="18"/>
              </w:rPr>
              <w:t xml:space="preserve">Tribunal </w:t>
            </w:r>
            <w:r w:rsidR="00B46062" w:rsidRPr="003E7D28">
              <w:rPr>
                <w:rFonts w:cs="Arial"/>
                <w:b/>
                <w:sz w:val="18"/>
                <w:szCs w:val="18"/>
              </w:rPr>
              <w:t>E</w:t>
            </w:r>
            <w:r w:rsidRPr="003E7D28">
              <w:rPr>
                <w:rFonts w:cs="Arial"/>
                <w:b/>
                <w:sz w:val="18"/>
                <w:szCs w:val="18"/>
              </w:rPr>
              <w:t>lectoral:</w:t>
            </w:r>
          </w:p>
        </w:tc>
        <w:tc>
          <w:tcPr>
            <w:tcW w:w="5812" w:type="dxa"/>
            <w:vAlign w:val="center"/>
          </w:tcPr>
          <w:p w:rsidR="009A371E" w:rsidRPr="003E7D28" w:rsidRDefault="009A371E" w:rsidP="00675766">
            <w:pPr>
              <w:jc w:val="both"/>
              <w:rPr>
                <w:rFonts w:cs="Arial"/>
                <w:sz w:val="18"/>
                <w:szCs w:val="18"/>
                <w:lang w:eastAsia="es-MX"/>
              </w:rPr>
            </w:pPr>
            <w:r w:rsidRPr="003E7D28">
              <w:rPr>
                <w:rFonts w:cs="Arial"/>
                <w:sz w:val="18"/>
                <w:szCs w:val="18"/>
                <w:lang w:eastAsia="es-MX"/>
              </w:rPr>
              <w:t>Tribunal Electoral del Poder Judicial de la Federación.</w:t>
            </w:r>
          </w:p>
        </w:tc>
      </w:tr>
    </w:tbl>
    <w:p w:rsidR="00D41F45" w:rsidRPr="00C11DA4" w:rsidRDefault="00D41F45" w:rsidP="00E64006">
      <w:pPr>
        <w:pStyle w:val="Ttulo1"/>
        <w:spacing w:before="100" w:beforeAutospacing="1" w:after="100" w:afterAutospacing="1" w:line="360" w:lineRule="auto"/>
        <w:jc w:val="center"/>
        <w:rPr>
          <w:rFonts w:ascii="Arial" w:eastAsia="Times New Roman" w:hAnsi="Arial" w:cs="Arial"/>
          <w:b/>
          <w:color w:val="auto"/>
          <w:sz w:val="24"/>
          <w:szCs w:val="24"/>
          <w:lang w:eastAsia="es-MX"/>
        </w:rPr>
      </w:pPr>
      <w:bookmarkStart w:id="1" w:name="_Toc496171373"/>
      <w:bookmarkStart w:id="2" w:name="_Toc37945903"/>
      <w:r w:rsidRPr="00C11DA4">
        <w:rPr>
          <w:rFonts w:ascii="Arial" w:eastAsia="Times New Roman" w:hAnsi="Arial" w:cs="Arial"/>
          <w:b/>
          <w:color w:val="auto"/>
          <w:sz w:val="24"/>
          <w:szCs w:val="24"/>
          <w:lang w:eastAsia="es-MX"/>
        </w:rPr>
        <w:t>ANTECEDENTES</w:t>
      </w:r>
      <w:bookmarkEnd w:id="1"/>
      <w:bookmarkEnd w:id="2"/>
    </w:p>
    <w:p w:rsidR="00F43265" w:rsidRPr="00C11DA4" w:rsidRDefault="00817CC5" w:rsidP="007E380B">
      <w:pPr>
        <w:pStyle w:val="Normalsentencia"/>
        <w:spacing w:before="100" w:beforeAutospacing="1" w:after="100" w:afterAutospacing="1"/>
        <w:ind w:firstLine="0"/>
        <w:rPr>
          <w:rFonts w:ascii="Arial" w:hAnsi="Arial"/>
          <w:sz w:val="24"/>
          <w:szCs w:val="24"/>
          <w:lang w:val="es-MX"/>
        </w:rPr>
      </w:pPr>
      <w:bookmarkStart w:id="3" w:name="_Hlk26368060"/>
      <w:bookmarkStart w:id="4" w:name="_Toc496171374"/>
      <w:r w:rsidRPr="00C11DA4">
        <w:rPr>
          <w:rFonts w:ascii="Arial" w:hAnsi="Arial"/>
          <w:b/>
          <w:sz w:val="24"/>
          <w:szCs w:val="24"/>
          <w:lang w:val="es-MX"/>
        </w:rPr>
        <w:t>1</w:t>
      </w:r>
      <w:bookmarkStart w:id="5" w:name="_Hlk535498708"/>
      <w:bookmarkEnd w:id="3"/>
      <w:r w:rsidR="007E380B" w:rsidRPr="00C11DA4">
        <w:rPr>
          <w:rFonts w:ascii="Arial" w:hAnsi="Arial"/>
          <w:b/>
          <w:sz w:val="24"/>
          <w:szCs w:val="24"/>
          <w:lang w:val="es-MX"/>
        </w:rPr>
        <w:t xml:space="preserve">. Juicio ciudadano local. </w:t>
      </w:r>
      <w:r w:rsidR="007E380B" w:rsidRPr="00C11DA4">
        <w:rPr>
          <w:rFonts w:ascii="Arial" w:hAnsi="Arial"/>
          <w:sz w:val="24"/>
          <w:szCs w:val="24"/>
          <w:lang w:val="es-MX"/>
        </w:rPr>
        <w:t>El seis de marzo de dos mil veinte</w:t>
      </w:r>
      <w:r w:rsidR="007E380B" w:rsidRPr="00C11DA4">
        <w:rPr>
          <w:rStyle w:val="Refdenotaalpie"/>
          <w:rFonts w:ascii="Arial" w:hAnsi="Arial"/>
          <w:sz w:val="24"/>
          <w:szCs w:val="24"/>
          <w:lang w:val="es-MX"/>
        </w:rPr>
        <w:footnoteReference w:id="2"/>
      </w:r>
      <w:r w:rsidR="007E380B" w:rsidRPr="00C11DA4">
        <w:rPr>
          <w:rFonts w:ascii="Arial" w:hAnsi="Arial"/>
          <w:sz w:val="24"/>
          <w:szCs w:val="24"/>
          <w:lang w:val="es-MX"/>
        </w:rPr>
        <w:t>, la actora, en su calidad de regidora del ayuntamiento de San Jacinto Amilpas, Oaxaca, promovió juicio ciudadano ante el Tribunal local contra los integrantes del municipio por la obstaculización en el desempeño de su cargo</w:t>
      </w:r>
      <w:r w:rsidR="007D09BC" w:rsidRPr="00C11DA4">
        <w:rPr>
          <w:rFonts w:ascii="Arial" w:hAnsi="Arial"/>
          <w:sz w:val="24"/>
          <w:szCs w:val="24"/>
          <w:lang w:val="es-MX"/>
        </w:rPr>
        <w:t>,</w:t>
      </w:r>
      <w:r w:rsidR="007E380B" w:rsidRPr="00C11DA4">
        <w:rPr>
          <w:rFonts w:ascii="Arial" w:hAnsi="Arial"/>
          <w:sz w:val="24"/>
          <w:szCs w:val="24"/>
          <w:lang w:val="es-MX"/>
        </w:rPr>
        <w:t xml:space="preserve"> la omisión de pagarle dietas</w:t>
      </w:r>
      <w:r w:rsidR="007D09BC" w:rsidRPr="00C11DA4">
        <w:rPr>
          <w:rFonts w:ascii="Arial" w:hAnsi="Arial"/>
          <w:sz w:val="24"/>
          <w:szCs w:val="24"/>
          <w:lang w:val="es-MX"/>
        </w:rPr>
        <w:t xml:space="preserve"> y violencia política de género</w:t>
      </w:r>
      <w:r w:rsidR="007E380B" w:rsidRPr="00C11DA4">
        <w:rPr>
          <w:rFonts w:ascii="Arial" w:hAnsi="Arial"/>
          <w:sz w:val="24"/>
          <w:szCs w:val="24"/>
          <w:lang w:val="es-MX"/>
        </w:rPr>
        <w:t xml:space="preserve">. </w:t>
      </w:r>
    </w:p>
    <w:p w:rsidR="007E380B" w:rsidRPr="00C11DA4" w:rsidRDefault="007E380B" w:rsidP="007E380B">
      <w:pPr>
        <w:pStyle w:val="Normalsentencia"/>
        <w:spacing w:before="100" w:beforeAutospacing="1" w:after="100" w:afterAutospacing="1"/>
        <w:ind w:firstLine="0"/>
        <w:rPr>
          <w:rFonts w:ascii="Arial" w:hAnsi="Arial"/>
          <w:sz w:val="24"/>
          <w:szCs w:val="24"/>
          <w:lang w:val="es-MX"/>
        </w:rPr>
      </w:pPr>
      <w:r w:rsidRPr="00C11DA4">
        <w:rPr>
          <w:rFonts w:ascii="Arial" w:hAnsi="Arial"/>
          <w:sz w:val="24"/>
          <w:szCs w:val="24"/>
          <w:lang w:val="es-MX"/>
        </w:rPr>
        <w:t xml:space="preserve">El Magistrado Presidente del Tribunal local integró el juicio ciudadano con el número de expediente JDC/38/2020 y lo turnó a la Magistrada Instructora.  </w:t>
      </w:r>
    </w:p>
    <w:p w:rsidR="007E380B" w:rsidRPr="00C11DA4" w:rsidRDefault="007E380B" w:rsidP="007E380B">
      <w:pPr>
        <w:pStyle w:val="Normalsentencia"/>
        <w:spacing w:before="100" w:beforeAutospacing="1" w:after="100" w:afterAutospacing="1"/>
        <w:ind w:firstLine="0"/>
        <w:rPr>
          <w:rFonts w:ascii="Arial" w:hAnsi="Arial"/>
          <w:sz w:val="24"/>
          <w:szCs w:val="24"/>
          <w:lang w:val="es-MX"/>
        </w:rPr>
      </w:pPr>
      <w:r w:rsidRPr="00C11DA4">
        <w:rPr>
          <w:rFonts w:ascii="Arial" w:hAnsi="Arial"/>
          <w:b/>
          <w:sz w:val="24"/>
          <w:szCs w:val="24"/>
          <w:lang w:val="es-MX"/>
        </w:rPr>
        <w:t xml:space="preserve">2. Acuerdo de trámite impugnado. </w:t>
      </w:r>
      <w:r w:rsidRPr="00C11DA4">
        <w:rPr>
          <w:rFonts w:ascii="Arial" w:hAnsi="Arial"/>
          <w:sz w:val="24"/>
          <w:szCs w:val="24"/>
          <w:lang w:val="es-MX"/>
        </w:rPr>
        <w:t>El once de marzo, la Magistrada instructora, dictó acuerdo por el que radicó la demanda de la regidora y, además, tuvo por no autorizada la cuenta de correo electrónico precisada en el escrito para recibir las notificaciones correspondientes.</w:t>
      </w:r>
    </w:p>
    <w:p w:rsidR="007E380B" w:rsidRPr="00C11DA4" w:rsidRDefault="007E380B" w:rsidP="007E380B">
      <w:pPr>
        <w:pStyle w:val="Normalsentencia"/>
        <w:spacing w:before="100" w:beforeAutospacing="1" w:after="100" w:afterAutospacing="1"/>
        <w:ind w:firstLine="0"/>
        <w:rPr>
          <w:rFonts w:ascii="Arial" w:hAnsi="Arial"/>
          <w:sz w:val="24"/>
          <w:szCs w:val="24"/>
          <w:lang w:val="es-MX"/>
        </w:rPr>
      </w:pPr>
      <w:r w:rsidRPr="00C11DA4">
        <w:rPr>
          <w:rFonts w:ascii="Arial" w:hAnsi="Arial"/>
          <w:b/>
          <w:sz w:val="24"/>
          <w:szCs w:val="24"/>
          <w:lang w:val="es-MX"/>
        </w:rPr>
        <w:t>3. Juicio federal.</w:t>
      </w:r>
      <w:r w:rsidRPr="00C11DA4">
        <w:rPr>
          <w:rFonts w:ascii="Arial" w:hAnsi="Arial"/>
          <w:sz w:val="24"/>
          <w:szCs w:val="24"/>
          <w:lang w:val="es-MX"/>
        </w:rPr>
        <w:t xml:space="preserve"> Inconforme con lo acordado sobre la vía para recibir notificaciones, el dieciocho de marzo la actora presentó demanda de juicio electoral ante Sala Xalapa, por conducto de quien se ostenta como su representante legal. </w:t>
      </w:r>
    </w:p>
    <w:p w:rsidR="007E380B" w:rsidRPr="00C11DA4" w:rsidRDefault="007E380B" w:rsidP="007E380B">
      <w:pPr>
        <w:pStyle w:val="Normalsentencia"/>
        <w:spacing w:before="100" w:beforeAutospacing="1" w:after="100" w:afterAutospacing="1"/>
        <w:ind w:firstLine="0"/>
        <w:rPr>
          <w:rFonts w:ascii="Arial" w:hAnsi="Arial"/>
          <w:sz w:val="24"/>
          <w:szCs w:val="24"/>
          <w:lang w:val="es-MX"/>
        </w:rPr>
      </w:pPr>
      <w:r w:rsidRPr="00C11DA4">
        <w:rPr>
          <w:rFonts w:ascii="Arial" w:hAnsi="Arial"/>
          <w:b/>
          <w:sz w:val="24"/>
          <w:szCs w:val="24"/>
          <w:lang w:val="es-MX"/>
        </w:rPr>
        <w:t xml:space="preserve">4. Consulta competencial. </w:t>
      </w:r>
      <w:r w:rsidRPr="00C11DA4">
        <w:rPr>
          <w:rFonts w:ascii="Arial" w:hAnsi="Arial"/>
          <w:sz w:val="24"/>
          <w:szCs w:val="24"/>
          <w:lang w:val="es-MX"/>
        </w:rPr>
        <w:t xml:space="preserve">Por acuerdo de treinta de marzo, la Sala Xalapa remitió las constancias y consultó a esta Sala Superior sobre su competencia para conocer y resolver el juicio que promovió la actora. </w:t>
      </w:r>
    </w:p>
    <w:p w:rsidR="00C349ED" w:rsidRPr="00C11DA4" w:rsidRDefault="00F43265" w:rsidP="007E380B">
      <w:pPr>
        <w:pStyle w:val="Normalsentencia"/>
        <w:spacing w:before="100" w:beforeAutospacing="1" w:after="100" w:afterAutospacing="1"/>
        <w:ind w:firstLine="0"/>
        <w:rPr>
          <w:rFonts w:ascii="Arial" w:hAnsi="Arial"/>
          <w:sz w:val="24"/>
          <w:szCs w:val="24"/>
        </w:rPr>
      </w:pPr>
      <w:r w:rsidRPr="00C11DA4">
        <w:rPr>
          <w:rFonts w:ascii="Arial" w:hAnsi="Arial"/>
          <w:b/>
          <w:sz w:val="24"/>
          <w:szCs w:val="24"/>
        </w:rPr>
        <w:t>5</w:t>
      </w:r>
      <w:r w:rsidR="00226751" w:rsidRPr="00C11DA4">
        <w:rPr>
          <w:rFonts w:ascii="Arial" w:hAnsi="Arial"/>
          <w:b/>
          <w:sz w:val="24"/>
          <w:szCs w:val="24"/>
        </w:rPr>
        <w:t xml:space="preserve">. </w:t>
      </w:r>
      <w:r w:rsidR="0070778D" w:rsidRPr="00C11DA4">
        <w:rPr>
          <w:rFonts w:ascii="Arial" w:hAnsi="Arial"/>
          <w:b/>
          <w:sz w:val="24"/>
          <w:szCs w:val="24"/>
        </w:rPr>
        <w:t>Remisión y t</w:t>
      </w:r>
      <w:r w:rsidR="00226751" w:rsidRPr="00C11DA4">
        <w:rPr>
          <w:rFonts w:ascii="Arial" w:hAnsi="Arial"/>
          <w:b/>
          <w:sz w:val="24"/>
          <w:szCs w:val="24"/>
        </w:rPr>
        <w:t>urno.</w:t>
      </w:r>
      <w:r w:rsidR="00226751" w:rsidRPr="00C11DA4">
        <w:rPr>
          <w:rFonts w:ascii="Arial" w:hAnsi="Arial"/>
          <w:sz w:val="24"/>
          <w:szCs w:val="24"/>
        </w:rPr>
        <w:t xml:space="preserve"> En su o</w:t>
      </w:r>
      <w:r w:rsidR="008E5695" w:rsidRPr="00C11DA4">
        <w:rPr>
          <w:rFonts w:ascii="Arial" w:hAnsi="Arial"/>
          <w:sz w:val="24"/>
          <w:szCs w:val="24"/>
        </w:rPr>
        <w:t>portunidad</w:t>
      </w:r>
      <w:r w:rsidR="00226751" w:rsidRPr="00C11DA4">
        <w:rPr>
          <w:rFonts w:ascii="Arial" w:hAnsi="Arial"/>
          <w:sz w:val="24"/>
          <w:szCs w:val="24"/>
        </w:rPr>
        <w:t xml:space="preserve">, el Magistrado Presidente de la Sala Superior acordó integrar </w:t>
      </w:r>
      <w:r w:rsidR="00EE49F9" w:rsidRPr="00C11DA4">
        <w:rPr>
          <w:rFonts w:ascii="Arial" w:hAnsi="Arial"/>
          <w:sz w:val="24"/>
          <w:szCs w:val="24"/>
        </w:rPr>
        <w:t>el</w:t>
      </w:r>
      <w:r w:rsidR="00226751" w:rsidRPr="00C11DA4">
        <w:rPr>
          <w:rFonts w:ascii="Arial" w:hAnsi="Arial"/>
          <w:sz w:val="24"/>
          <w:szCs w:val="24"/>
        </w:rPr>
        <w:t xml:space="preserve"> expediente </w:t>
      </w:r>
      <w:r w:rsidR="00226751" w:rsidRPr="00C11DA4">
        <w:rPr>
          <w:rFonts w:ascii="Arial" w:hAnsi="Arial"/>
          <w:b/>
          <w:sz w:val="24"/>
          <w:szCs w:val="24"/>
        </w:rPr>
        <w:t>SUP-JDC-1</w:t>
      </w:r>
      <w:r w:rsidR="0070778D" w:rsidRPr="00C11DA4">
        <w:rPr>
          <w:rFonts w:ascii="Arial" w:hAnsi="Arial"/>
          <w:b/>
          <w:sz w:val="24"/>
          <w:szCs w:val="24"/>
        </w:rPr>
        <w:t>94</w:t>
      </w:r>
      <w:r w:rsidR="00226751" w:rsidRPr="00C11DA4">
        <w:rPr>
          <w:rFonts w:ascii="Arial" w:hAnsi="Arial"/>
          <w:b/>
          <w:sz w:val="24"/>
          <w:szCs w:val="24"/>
        </w:rPr>
        <w:t>/20</w:t>
      </w:r>
      <w:r w:rsidR="0070778D" w:rsidRPr="00C11DA4">
        <w:rPr>
          <w:rFonts w:ascii="Arial" w:hAnsi="Arial"/>
          <w:b/>
          <w:sz w:val="24"/>
          <w:szCs w:val="24"/>
        </w:rPr>
        <w:t>20</w:t>
      </w:r>
      <w:r w:rsidR="00EE49F9" w:rsidRPr="00C11DA4">
        <w:rPr>
          <w:rFonts w:ascii="Arial" w:hAnsi="Arial"/>
          <w:b/>
          <w:sz w:val="24"/>
          <w:szCs w:val="24"/>
        </w:rPr>
        <w:t xml:space="preserve"> </w:t>
      </w:r>
      <w:r w:rsidR="00226751" w:rsidRPr="00C11DA4">
        <w:rPr>
          <w:rFonts w:ascii="Arial" w:hAnsi="Arial"/>
          <w:sz w:val="24"/>
          <w:szCs w:val="24"/>
        </w:rPr>
        <w:t>y turnarlo a la Ponencia del Magistrado Felipe de la Mata Pizaña</w:t>
      </w:r>
      <w:r w:rsidR="00B46062" w:rsidRPr="00C11DA4">
        <w:rPr>
          <w:rFonts w:ascii="Arial" w:hAnsi="Arial"/>
          <w:sz w:val="24"/>
          <w:szCs w:val="24"/>
        </w:rPr>
        <w:t>, para los efectos conducentes</w:t>
      </w:r>
      <w:r w:rsidR="00226751" w:rsidRPr="00C11DA4">
        <w:rPr>
          <w:rFonts w:ascii="Arial" w:hAnsi="Arial"/>
          <w:sz w:val="24"/>
          <w:szCs w:val="24"/>
        </w:rPr>
        <w:t>.</w:t>
      </w:r>
    </w:p>
    <w:p w:rsidR="001F0E0C" w:rsidRPr="00C11DA4" w:rsidRDefault="00F43265" w:rsidP="00910A18">
      <w:pPr>
        <w:spacing w:before="100" w:beforeAutospacing="1" w:after="100" w:afterAutospacing="1" w:line="360" w:lineRule="auto"/>
        <w:jc w:val="both"/>
        <w:rPr>
          <w:rFonts w:cs="Arial"/>
          <w:sz w:val="24"/>
          <w:szCs w:val="24"/>
        </w:rPr>
      </w:pPr>
      <w:r w:rsidRPr="00C11DA4">
        <w:rPr>
          <w:rFonts w:cs="Arial"/>
          <w:b/>
          <w:sz w:val="24"/>
          <w:szCs w:val="24"/>
        </w:rPr>
        <w:t>6</w:t>
      </w:r>
      <w:r w:rsidR="00FC4172" w:rsidRPr="00C11DA4">
        <w:rPr>
          <w:rFonts w:cs="Arial"/>
          <w:b/>
          <w:sz w:val="24"/>
          <w:szCs w:val="24"/>
        </w:rPr>
        <w:t>.</w:t>
      </w:r>
      <w:r w:rsidR="00DA20D7" w:rsidRPr="00C11DA4">
        <w:rPr>
          <w:rFonts w:cs="Arial"/>
          <w:b/>
          <w:sz w:val="24"/>
          <w:szCs w:val="24"/>
        </w:rPr>
        <w:t xml:space="preserve"> Acuerdo de aceptación de competencia</w:t>
      </w:r>
      <w:r w:rsidR="001F0E0C" w:rsidRPr="00C11DA4">
        <w:rPr>
          <w:rFonts w:cs="Arial"/>
          <w:b/>
          <w:sz w:val="24"/>
          <w:szCs w:val="24"/>
        </w:rPr>
        <w:t xml:space="preserve"> y reencauzamiento</w:t>
      </w:r>
      <w:r w:rsidR="00DA20D7" w:rsidRPr="00C11DA4">
        <w:rPr>
          <w:rFonts w:cs="Arial"/>
          <w:b/>
          <w:sz w:val="24"/>
          <w:szCs w:val="24"/>
        </w:rPr>
        <w:t xml:space="preserve">. </w:t>
      </w:r>
      <w:r w:rsidR="00DA20D7" w:rsidRPr="00C11DA4">
        <w:rPr>
          <w:rFonts w:cs="Arial"/>
          <w:sz w:val="24"/>
          <w:szCs w:val="24"/>
        </w:rPr>
        <w:t xml:space="preserve">Por </w:t>
      </w:r>
      <w:r w:rsidR="00565124" w:rsidRPr="00C11DA4">
        <w:rPr>
          <w:rFonts w:cs="Arial"/>
          <w:sz w:val="24"/>
          <w:szCs w:val="24"/>
        </w:rPr>
        <w:t>acuerdo plenario, la Sala Superior resolvió asumir competencia por tratarse de un asunto del que podría emanar una norma general derivado de la contingencia sanitaria</w:t>
      </w:r>
      <w:r w:rsidR="003B111F" w:rsidRPr="00C11DA4">
        <w:rPr>
          <w:rFonts w:cs="Arial"/>
          <w:sz w:val="24"/>
          <w:szCs w:val="24"/>
        </w:rPr>
        <w:t xml:space="preserve"> provocada por el virus </w:t>
      </w:r>
      <w:r w:rsidR="00E301F8" w:rsidRPr="00C11DA4">
        <w:rPr>
          <w:rFonts w:cs="Arial"/>
          <w:sz w:val="24"/>
          <w:szCs w:val="24"/>
        </w:rPr>
        <w:t>COVID-19</w:t>
      </w:r>
      <w:r w:rsidR="001F0E0C" w:rsidRPr="00C11DA4">
        <w:rPr>
          <w:rFonts w:cs="Arial"/>
          <w:sz w:val="24"/>
          <w:szCs w:val="24"/>
        </w:rPr>
        <w:t xml:space="preserve"> y </w:t>
      </w:r>
      <w:r w:rsidR="002D24C5" w:rsidRPr="00C11DA4">
        <w:rPr>
          <w:rFonts w:cs="Arial"/>
          <w:sz w:val="24"/>
          <w:szCs w:val="24"/>
        </w:rPr>
        <w:t>reencauzarlo a juicio electoral</w:t>
      </w:r>
      <w:r w:rsidR="00B168D4">
        <w:rPr>
          <w:rFonts w:cs="Arial"/>
          <w:sz w:val="24"/>
          <w:szCs w:val="24"/>
        </w:rPr>
        <w:t xml:space="preserve">, al cual le fue asignado el número de expediente </w:t>
      </w:r>
      <w:r w:rsidR="00B168D4" w:rsidRPr="00B168D4">
        <w:rPr>
          <w:rFonts w:cs="Arial"/>
          <w:b/>
          <w:sz w:val="24"/>
          <w:szCs w:val="24"/>
        </w:rPr>
        <w:t>SUP-JE-26/2020.</w:t>
      </w:r>
      <w:r w:rsidR="002D24C5" w:rsidRPr="00C11DA4">
        <w:rPr>
          <w:rFonts w:cs="Arial"/>
          <w:sz w:val="24"/>
          <w:szCs w:val="24"/>
        </w:rPr>
        <w:t xml:space="preserve"> </w:t>
      </w:r>
    </w:p>
    <w:p w:rsidR="008D7402" w:rsidRPr="00C11DA4" w:rsidRDefault="00F43265" w:rsidP="00910A18">
      <w:pPr>
        <w:spacing w:before="100" w:beforeAutospacing="1" w:after="100" w:afterAutospacing="1" w:line="360" w:lineRule="auto"/>
        <w:jc w:val="both"/>
        <w:rPr>
          <w:rFonts w:cs="Arial"/>
          <w:b/>
          <w:sz w:val="24"/>
          <w:szCs w:val="24"/>
        </w:rPr>
      </w:pPr>
      <w:r w:rsidRPr="00C11DA4">
        <w:rPr>
          <w:rFonts w:cs="Arial"/>
          <w:b/>
          <w:sz w:val="24"/>
          <w:szCs w:val="24"/>
        </w:rPr>
        <w:t>7</w:t>
      </w:r>
      <w:r w:rsidR="008D7402" w:rsidRPr="00C11DA4">
        <w:rPr>
          <w:rFonts w:cs="Arial"/>
          <w:b/>
          <w:sz w:val="24"/>
          <w:szCs w:val="24"/>
        </w:rPr>
        <w:t>. Radicación, admisión y cierre de instrucción</w:t>
      </w:r>
      <w:r w:rsidR="008D7402" w:rsidRPr="00C11DA4">
        <w:rPr>
          <w:rFonts w:cs="Arial"/>
          <w:sz w:val="24"/>
          <w:szCs w:val="24"/>
        </w:rPr>
        <w:t>.</w:t>
      </w:r>
      <w:r w:rsidR="0017055A" w:rsidRPr="00C11DA4">
        <w:rPr>
          <w:rFonts w:cs="Arial"/>
          <w:sz w:val="24"/>
          <w:szCs w:val="24"/>
        </w:rPr>
        <w:t xml:space="preserve"> El Magistrado Instructor dictó acuerdo de radicación del asunto en su ponencia, lo admitió a trámite y, </w:t>
      </w:r>
      <w:r w:rsidR="003F3DCE" w:rsidRPr="00C11DA4">
        <w:rPr>
          <w:rFonts w:cs="Arial"/>
          <w:sz w:val="24"/>
          <w:szCs w:val="24"/>
        </w:rPr>
        <w:t>sin otra diligencia pendiente por desahogar, declaró cerrada la instrucción</w:t>
      </w:r>
      <w:r w:rsidR="00967201" w:rsidRPr="00C11DA4">
        <w:rPr>
          <w:rFonts w:cs="Arial"/>
          <w:sz w:val="24"/>
          <w:szCs w:val="24"/>
        </w:rPr>
        <w:t xml:space="preserve">, a fin de elaborar el proyecto de sentencia correspondiente. </w:t>
      </w:r>
    </w:p>
    <w:p w:rsidR="00176416" w:rsidRPr="00C11DA4" w:rsidRDefault="004F39F3" w:rsidP="004F39F3">
      <w:pPr>
        <w:pStyle w:val="Ttulo1"/>
        <w:spacing w:after="360" w:line="360" w:lineRule="auto"/>
        <w:jc w:val="center"/>
        <w:rPr>
          <w:rFonts w:ascii="Arial" w:eastAsia="Times New Roman" w:hAnsi="Arial" w:cs="Arial"/>
          <w:b/>
          <w:color w:val="auto"/>
          <w:sz w:val="24"/>
          <w:szCs w:val="24"/>
          <w:lang w:eastAsia="es-MX"/>
        </w:rPr>
      </w:pPr>
      <w:bookmarkStart w:id="6" w:name="_Toc37945904"/>
      <w:bookmarkEnd w:id="4"/>
      <w:bookmarkEnd w:id="5"/>
      <w:r w:rsidRPr="00C11DA4">
        <w:rPr>
          <w:rFonts w:ascii="Arial" w:eastAsia="Times New Roman" w:hAnsi="Arial" w:cs="Arial"/>
          <w:b/>
          <w:color w:val="auto"/>
          <w:sz w:val="24"/>
          <w:szCs w:val="24"/>
          <w:lang w:eastAsia="es-MX"/>
        </w:rPr>
        <w:t>COMPETENCIA</w:t>
      </w:r>
      <w:bookmarkEnd w:id="6"/>
      <w:r w:rsidRPr="00C11DA4">
        <w:rPr>
          <w:rFonts w:ascii="Arial" w:eastAsia="Times New Roman" w:hAnsi="Arial" w:cs="Arial"/>
          <w:b/>
          <w:color w:val="auto"/>
          <w:sz w:val="24"/>
          <w:szCs w:val="24"/>
          <w:lang w:eastAsia="es-MX"/>
        </w:rPr>
        <w:t xml:space="preserve">  </w:t>
      </w:r>
      <w:bookmarkStart w:id="7" w:name="_Toc496171375"/>
    </w:p>
    <w:p w:rsidR="00176416" w:rsidRPr="00C11DA4" w:rsidRDefault="00176416" w:rsidP="00910A18">
      <w:pPr>
        <w:pStyle w:val="NormalWeb"/>
        <w:shd w:val="clear" w:color="auto" w:fill="FFFFFF"/>
        <w:spacing w:line="360" w:lineRule="auto"/>
        <w:jc w:val="both"/>
        <w:rPr>
          <w:rFonts w:ascii="Arial" w:eastAsiaTheme="minorHAnsi" w:hAnsi="Arial" w:cs="Arial"/>
          <w:lang w:eastAsia="en-US"/>
        </w:rPr>
      </w:pPr>
      <w:r w:rsidRPr="00C11DA4">
        <w:rPr>
          <w:rFonts w:ascii="Arial" w:eastAsiaTheme="minorHAnsi" w:hAnsi="Arial" w:cs="Arial"/>
          <w:lang w:eastAsia="en-US"/>
        </w:rPr>
        <w:t xml:space="preserve">Esta Sala </w:t>
      </w:r>
      <w:r w:rsidR="00ED0422" w:rsidRPr="00C11DA4">
        <w:rPr>
          <w:rFonts w:ascii="Arial" w:eastAsiaTheme="minorHAnsi" w:hAnsi="Arial" w:cs="Arial"/>
          <w:lang w:eastAsia="en-US"/>
        </w:rPr>
        <w:t xml:space="preserve">Superior </w:t>
      </w:r>
      <w:r w:rsidR="00323385" w:rsidRPr="00C11DA4">
        <w:rPr>
          <w:rFonts w:ascii="Arial" w:eastAsiaTheme="minorHAnsi" w:hAnsi="Arial" w:cs="Arial"/>
          <w:lang w:eastAsia="en-US"/>
        </w:rPr>
        <w:t xml:space="preserve">asumió competencia </w:t>
      </w:r>
      <w:r w:rsidRPr="00C11DA4">
        <w:rPr>
          <w:rFonts w:ascii="Arial" w:eastAsiaTheme="minorHAnsi" w:hAnsi="Arial" w:cs="Arial"/>
          <w:lang w:eastAsia="en-US"/>
        </w:rPr>
        <w:t xml:space="preserve">para conocer y resolver </w:t>
      </w:r>
      <w:r w:rsidR="00323385" w:rsidRPr="00C11DA4">
        <w:rPr>
          <w:rFonts w:ascii="Arial" w:eastAsiaTheme="minorHAnsi" w:hAnsi="Arial" w:cs="Arial"/>
          <w:lang w:eastAsia="en-US"/>
        </w:rPr>
        <w:t xml:space="preserve">el </w:t>
      </w:r>
      <w:r w:rsidRPr="00C11DA4">
        <w:rPr>
          <w:rFonts w:ascii="Arial" w:eastAsiaTheme="minorHAnsi" w:hAnsi="Arial" w:cs="Arial"/>
          <w:lang w:eastAsia="en-US"/>
        </w:rPr>
        <w:t>presente medio de impugnación, porque la controversia se relaciona</w:t>
      </w:r>
      <w:r w:rsidR="00D02F61" w:rsidRPr="00C11DA4">
        <w:rPr>
          <w:rFonts w:ascii="Arial" w:eastAsiaTheme="minorHAnsi" w:hAnsi="Arial" w:cs="Arial"/>
          <w:lang w:eastAsia="en-US"/>
        </w:rPr>
        <w:t xml:space="preserve"> con una omisión que, </w:t>
      </w:r>
      <w:r w:rsidRPr="00C11DA4">
        <w:rPr>
          <w:rFonts w:ascii="Arial" w:eastAsiaTheme="minorHAnsi" w:hAnsi="Arial" w:cs="Arial"/>
          <w:lang w:eastAsia="en-US"/>
        </w:rPr>
        <w:t xml:space="preserve">en el fondo, pudiera dar lugar a la emisión de una norma general </w:t>
      </w:r>
      <w:r w:rsidR="00CA151F" w:rsidRPr="00C11DA4">
        <w:rPr>
          <w:rFonts w:ascii="Arial" w:eastAsiaTheme="minorHAnsi" w:hAnsi="Arial" w:cs="Arial"/>
          <w:lang w:eastAsia="en-US"/>
        </w:rPr>
        <w:t>sobre la operatividad de las</w:t>
      </w:r>
      <w:r w:rsidR="00D02F61" w:rsidRPr="00C11DA4">
        <w:rPr>
          <w:rFonts w:ascii="Arial" w:eastAsiaTheme="minorHAnsi" w:hAnsi="Arial" w:cs="Arial"/>
          <w:lang w:eastAsia="en-US"/>
        </w:rPr>
        <w:t xml:space="preserve"> notificaciones electrónicas</w:t>
      </w:r>
      <w:r w:rsidR="00BD44C5" w:rsidRPr="00C11DA4">
        <w:rPr>
          <w:rFonts w:ascii="Arial" w:eastAsiaTheme="minorHAnsi" w:hAnsi="Arial" w:cs="Arial"/>
          <w:lang w:eastAsia="en-US"/>
        </w:rPr>
        <w:t>, que además de no vincularse de for</w:t>
      </w:r>
      <w:r w:rsidRPr="00C11DA4">
        <w:rPr>
          <w:rFonts w:ascii="Arial" w:eastAsiaTheme="minorHAnsi" w:hAnsi="Arial" w:cs="Arial"/>
          <w:lang w:eastAsia="en-US"/>
        </w:rPr>
        <w:t>ma específica o directa con una determinada elección,</w:t>
      </w:r>
      <w:r w:rsidR="00BD44C5" w:rsidRPr="00C11DA4">
        <w:rPr>
          <w:rFonts w:ascii="Arial" w:eastAsiaTheme="minorHAnsi" w:hAnsi="Arial" w:cs="Arial"/>
          <w:lang w:eastAsia="en-US"/>
        </w:rPr>
        <w:t xml:space="preserve"> es necesario que esta Sala Superior determine lo conducente derivado de la contingencia sanitaria que atraviesa el país por el virus denominado COVID</w:t>
      </w:r>
      <w:r w:rsidR="00E301F8" w:rsidRPr="00C11DA4">
        <w:rPr>
          <w:rFonts w:ascii="Arial" w:eastAsiaTheme="minorHAnsi" w:hAnsi="Arial" w:cs="Arial"/>
          <w:lang w:eastAsia="en-US"/>
        </w:rPr>
        <w:t>-19</w:t>
      </w:r>
      <w:r w:rsidR="00BD44C5" w:rsidRPr="00C11DA4">
        <w:rPr>
          <w:rFonts w:ascii="Arial" w:eastAsiaTheme="minorHAnsi" w:hAnsi="Arial" w:cs="Arial"/>
          <w:lang w:eastAsia="en-US"/>
        </w:rPr>
        <w:t xml:space="preserve">. </w:t>
      </w:r>
    </w:p>
    <w:p w:rsidR="00F27C72" w:rsidRPr="00C11DA4" w:rsidRDefault="00BD44C5" w:rsidP="00BD44C5">
      <w:pPr>
        <w:pStyle w:val="NormalWeb"/>
        <w:shd w:val="clear" w:color="auto" w:fill="FFFFFF"/>
        <w:spacing w:line="360" w:lineRule="auto"/>
        <w:jc w:val="both"/>
        <w:rPr>
          <w:rFonts w:cs="Arial"/>
        </w:rPr>
      </w:pPr>
      <w:r w:rsidRPr="00C11DA4">
        <w:rPr>
          <w:rFonts w:ascii="Arial" w:eastAsiaTheme="minorHAnsi" w:hAnsi="Arial" w:cs="Arial"/>
          <w:lang w:eastAsia="en-US"/>
        </w:rPr>
        <w:t xml:space="preserve">Lo anterior, en términos del acuerdo de competencia </w:t>
      </w:r>
      <w:r w:rsidR="00A74E21" w:rsidRPr="00C11DA4">
        <w:rPr>
          <w:rFonts w:ascii="Arial" w:eastAsiaTheme="minorHAnsi" w:hAnsi="Arial" w:cs="Arial"/>
          <w:lang w:eastAsia="en-US"/>
        </w:rPr>
        <w:t xml:space="preserve">emitido por esta Sala Superior en </w:t>
      </w:r>
      <w:r w:rsidRPr="00C11DA4">
        <w:rPr>
          <w:rFonts w:ascii="Arial" w:eastAsiaTheme="minorHAnsi" w:hAnsi="Arial" w:cs="Arial"/>
          <w:lang w:eastAsia="en-US"/>
        </w:rPr>
        <w:t>el juicio al rubro citado.</w:t>
      </w:r>
      <w:r w:rsidR="00B409E7" w:rsidRPr="00C11DA4">
        <w:rPr>
          <w:rStyle w:val="Refdenotaalpie"/>
          <w:rFonts w:ascii="Arial" w:eastAsiaTheme="minorHAnsi" w:hAnsi="Arial" w:cs="Arial"/>
          <w:lang w:eastAsia="en-US"/>
        </w:rPr>
        <w:footnoteReference w:id="3"/>
      </w:r>
      <w:r w:rsidRPr="00C11DA4">
        <w:rPr>
          <w:rFonts w:ascii="Arial" w:eastAsiaTheme="minorHAnsi" w:hAnsi="Arial" w:cs="Arial"/>
          <w:lang w:eastAsia="en-US"/>
        </w:rPr>
        <w:t xml:space="preserve"> </w:t>
      </w:r>
    </w:p>
    <w:p w:rsidR="00A77A32" w:rsidRPr="00C11DA4" w:rsidRDefault="00A77A32" w:rsidP="00184C2E">
      <w:pPr>
        <w:pStyle w:val="Ttulo1"/>
        <w:spacing w:before="100" w:beforeAutospacing="1" w:after="100" w:afterAutospacing="1" w:line="360" w:lineRule="auto"/>
        <w:jc w:val="center"/>
        <w:rPr>
          <w:rFonts w:ascii="Arial" w:eastAsia="Times New Roman" w:hAnsi="Arial" w:cs="Arial"/>
          <w:b/>
          <w:color w:val="auto"/>
          <w:sz w:val="24"/>
          <w:szCs w:val="24"/>
          <w:lang w:eastAsia="es-MX"/>
        </w:rPr>
      </w:pPr>
      <w:bookmarkStart w:id="8" w:name="_Toc37945905"/>
      <w:bookmarkEnd w:id="7"/>
      <w:r w:rsidRPr="00C11DA4">
        <w:rPr>
          <w:rFonts w:ascii="Arial" w:eastAsia="Times New Roman" w:hAnsi="Arial" w:cs="Arial"/>
          <w:b/>
          <w:color w:val="auto"/>
          <w:sz w:val="24"/>
          <w:szCs w:val="24"/>
          <w:lang w:eastAsia="es-MX"/>
        </w:rPr>
        <w:t xml:space="preserve">URGENCIA </w:t>
      </w:r>
      <w:r w:rsidR="00964288" w:rsidRPr="00C11DA4">
        <w:rPr>
          <w:rFonts w:ascii="Arial" w:eastAsia="Times New Roman" w:hAnsi="Arial" w:cs="Arial"/>
          <w:b/>
          <w:color w:val="auto"/>
          <w:sz w:val="24"/>
          <w:szCs w:val="24"/>
          <w:lang w:eastAsia="es-MX"/>
        </w:rPr>
        <w:t>DE RESOLVER EL ASUNTO</w:t>
      </w:r>
      <w:bookmarkEnd w:id="8"/>
    </w:p>
    <w:p w:rsidR="00C02D3D" w:rsidRPr="00C11DA4" w:rsidRDefault="003A2D6C" w:rsidP="009A6204">
      <w:pPr>
        <w:pStyle w:val="numerados"/>
        <w:numPr>
          <w:ilvl w:val="0"/>
          <w:numId w:val="0"/>
        </w:numPr>
        <w:rPr>
          <w:rFonts w:ascii="Arial" w:hAnsi="Arial" w:cs="Arial"/>
          <w:sz w:val="24"/>
          <w:szCs w:val="24"/>
        </w:rPr>
      </w:pPr>
      <w:r w:rsidRPr="00C11DA4">
        <w:rPr>
          <w:rFonts w:ascii="Arial" w:hAnsi="Arial" w:cs="Arial"/>
          <w:sz w:val="24"/>
          <w:szCs w:val="24"/>
        </w:rPr>
        <w:t xml:space="preserve">El presente juicio se considera de urgente resolución </w:t>
      </w:r>
      <w:r w:rsidR="00C02D3D" w:rsidRPr="00C11DA4">
        <w:rPr>
          <w:rFonts w:ascii="Arial" w:hAnsi="Arial" w:cs="Arial"/>
          <w:sz w:val="24"/>
          <w:szCs w:val="24"/>
        </w:rPr>
        <w:t>en términos de lo que establece el</w:t>
      </w:r>
      <w:r w:rsidR="005F0A3A" w:rsidRPr="00C11DA4">
        <w:rPr>
          <w:rFonts w:ascii="Arial" w:hAnsi="Arial" w:cs="Arial"/>
          <w:sz w:val="24"/>
          <w:szCs w:val="24"/>
        </w:rPr>
        <w:t xml:space="preserve"> punto IV del</w:t>
      </w:r>
      <w:r w:rsidR="00C02D3D" w:rsidRPr="00C11DA4">
        <w:rPr>
          <w:rFonts w:ascii="Arial" w:hAnsi="Arial" w:cs="Arial"/>
          <w:sz w:val="24"/>
          <w:szCs w:val="24"/>
        </w:rPr>
        <w:t xml:space="preserve"> Acuerdo General 2/2020</w:t>
      </w:r>
      <w:r w:rsidR="00C02D3D" w:rsidRPr="00C11DA4">
        <w:rPr>
          <w:rStyle w:val="Refdenotaalpie"/>
          <w:rFonts w:ascii="Arial" w:hAnsi="Arial" w:cs="Arial"/>
          <w:sz w:val="24"/>
          <w:szCs w:val="24"/>
        </w:rPr>
        <w:footnoteReference w:id="4"/>
      </w:r>
      <w:r w:rsidR="00F825DB" w:rsidRPr="00C11DA4">
        <w:rPr>
          <w:rFonts w:ascii="Arial" w:hAnsi="Arial" w:cs="Arial"/>
          <w:sz w:val="24"/>
          <w:szCs w:val="24"/>
        </w:rPr>
        <w:t xml:space="preserve"> por el que se autoriza la resolución no presencial de los medios de impugnación, con motivo de la pandemia originada por el virus COVID-19</w:t>
      </w:r>
      <w:r w:rsidR="00C02D3D" w:rsidRPr="00C11DA4">
        <w:rPr>
          <w:rFonts w:ascii="Arial" w:hAnsi="Arial" w:cs="Arial"/>
          <w:sz w:val="24"/>
          <w:szCs w:val="24"/>
        </w:rPr>
        <w:t xml:space="preserve">, </w:t>
      </w:r>
      <w:r w:rsidR="00B20891" w:rsidRPr="00C11DA4">
        <w:rPr>
          <w:rFonts w:ascii="Arial" w:hAnsi="Arial" w:cs="Arial"/>
          <w:sz w:val="24"/>
          <w:szCs w:val="24"/>
        </w:rPr>
        <w:t xml:space="preserve">que </w:t>
      </w:r>
      <w:r w:rsidR="005F0A3A" w:rsidRPr="00C11DA4">
        <w:rPr>
          <w:rFonts w:ascii="Arial" w:hAnsi="Arial" w:cs="Arial"/>
          <w:sz w:val="24"/>
          <w:szCs w:val="24"/>
        </w:rPr>
        <w:t xml:space="preserve">señala que </w:t>
      </w:r>
      <w:r w:rsidR="00F40198" w:rsidRPr="00C11DA4">
        <w:rPr>
          <w:rFonts w:ascii="Arial" w:hAnsi="Arial" w:cs="Arial"/>
          <w:sz w:val="24"/>
          <w:szCs w:val="24"/>
        </w:rPr>
        <w:t>la Sala Superior</w:t>
      </w:r>
      <w:r w:rsidR="00B20891" w:rsidRPr="00C11DA4">
        <w:rPr>
          <w:rFonts w:ascii="Arial" w:hAnsi="Arial" w:cs="Arial"/>
          <w:sz w:val="24"/>
          <w:szCs w:val="24"/>
        </w:rPr>
        <w:t xml:space="preserve"> podrá </w:t>
      </w:r>
      <w:r w:rsidR="005F0A3A" w:rsidRPr="00C11DA4">
        <w:rPr>
          <w:rFonts w:ascii="Arial" w:hAnsi="Arial" w:cs="Arial"/>
          <w:sz w:val="24"/>
          <w:szCs w:val="24"/>
        </w:rPr>
        <w:t xml:space="preserve">discutir y resolver de forma no presencial los asuntos </w:t>
      </w:r>
      <w:r w:rsidR="00EB3F25" w:rsidRPr="00C11DA4">
        <w:rPr>
          <w:rFonts w:ascii="Arial" w:hAnsi="Arial" w:cs="Arial"/>
          <w:sz w:val="24"/>
          <w:szCs w:val="24"/>
        </w:rPr>
        <w:t xml:space="preserve">que, entre otras cuestiones, </w:t>
      </w:r>
      <w:r w:rsidR="005F0A3A" w:rsidRPr="00C11DA4">
        <w:rPr>
          <w:rFonts w:ascii="Arial" w:hAnsi="Arial" w:cs="Arial"/>
          <w:sz w:val="24"/>
          <w:szCs w:val="24"/>
        </w:rPr>
        <w:t>se consideren urgentes</w:t>
      </w:r>
      <w:r w:rsidR="00EB3F25" w:rsidRPr="00C11DA4">
        <w:rPr>
          <w:rFonts w:ascii="Arial" w:hAnsi="Arial" w:cs="Arial"/>
          <w:sz w:val="24"/>
          <w:szCs w:val="24"/>
        </w:rPr>
        <w:t xml:space="preserve"> porque puedan generar un daño irreparable, lo cual debe estar justificado en la propia sentencia. </w:t>
      </w:r>
    </w:p>
    <w:p w:rsidR="00755113" w:rsidRPr="00C11DA4" w:rsidRDefault="00720165" w:rsidP="00720165">
      <w:pPr>
        <w:pStyle w:val="numerados"/>
        <w:numPr>
          <w:ilvl w:val="0"/>
          <w:numId w:val="0"/>
        </w:numPr>
        <w:rPr>
          <w:rFonts w:ascii="Arial" w:hAnsi="Arial" w:cs="Arial"/>
          <w:sz w:val="24"/>
          <w:szCs w:val="24"/>
        </w:rPr>
      </w:pPr>
      <w:r w:rsidRPr="00C11DA4">
        <w:rPr>
          <w:rFonts w:ascii="Arial" w:hAnsi="Arial" w:cs="Arial"/>
          <w:sz w:val="24"/>
          <w:szCs w:val="24"/>
        </w:rPr>
        <w:t>Este asunto encuadra en lo previsto en el acuerdo porque lo que plantea la actora es que</w:t>
      </w:r>
      <w:r w:rsidR="00191EC1" w:rsidRPr="00C11DA4">
        <w:rPr>
          <w:rFonts w:ascii="Arial" w:hAnsi="Arial" w:cs="Arial"/>
          <w:sz w:val="24"/>
          <w:szCs w:val="24"/>
        </w:rPr>
        <w:t xml:space="preserve"> dada</w:t>
      </w:r>
      <w:r w:rsidRPr="00C11DA4">
        <w:rPr>
          <w:rFonts w:ascii="Arial" w:hAnsi="Arial" w:cs="Arial"/>
          <w:sz w:val="24"/>
          <w:szCs w:val="24"/>
        </w:rPr>
        <w:t xml:space="preserve"> la </w:t>
      </w:r>
      <w:r w:rsidR="009A6204" w:rsidRPr="00C11DA4">
        <w:rPr>
          <w:rFonts w:ascii="Arial" w:hAnsi="Arial" w:cs="Arial"/>
          <w:sz w:val="24"/>
          <w:szCs w:val="24"/>
        </w:rPr>
        <w:t xml:space="preserve">contingencia sanitaria ocasionada por el COVID-19 </w:t>
      </w:r>
      <w:r w:rsidR="000C5BDB" w:rsidRPr="00C11DA4">
        <w:rPr>
          <w:rFonts w:ascii="Arial" w:hAnsi="Arial" w:cs="Arial"/>
          <w:sz w:val="24"/>
          <w:szCs w:val="24"/>
        </w:rPr>
        <w:t xml:space="preserve">es necesario que el Tribunal local emita la regulación que </w:t>
      </w:r>
      <w:r w:rsidR="00755113" w:rsidRPr="00C11DA4">
        <w:rPr>
          <w:rFonts w:ascii="Arial" w:hAnsi="Arial" w:cs="Arial"/>
          <w:sz w:val="24"/>
          <w:szCs w:val="24"/>
        </w:rPr>
        <w:t xml:space="preserve">le </w:t>
      </w:r>
      <w:r w:rsidR="000C5BDB" w:rsidRPr="00C11DA4">
        <w:rPr>
          <w:rFonts w:ascii="Arial" w:hAnsi="Arial" w:cs="Arial"/>
          <w:sz w:val="24"/>
          <w:szCs w:val="24"/>
        </w:rPr>
        <w:t xml:space="preserve">permita </w:t>
      </w:r>
      <w:r w:rsidR="00755113" w:rsidRPr="00C11DA4">
        <w:rPr>
          <w:rFonts w:ascii="Arial" w:hAnsi="Arial" w:cs="Arial"/>
          <w:sz w:val="24"/>
          <w:szCs w:val="24"/>
        </w:rPr>
        <w:t>recibir de manera electrónica las notificaciones de las determinaciones que se adopten en el juicio que promovió a nivel local.</w:t>
      </w:r>
    </w:p>
    <w:p w:rsidR="009A6204" w:rsidRPr="00C11DA4" w:rsidRDefault="00755113" w:rsidP="00720165">
      <w:pPr>
        <w:pStyle w:val="numerados"/>
        <w:numPr>
          <w:ilvl w:val="0"/>
          <w:numId w:val="0"/>
        </w:numPr>
        <w:rPr>
          <w:rFonts w:ascii="Arial" w:hAnsi="Arial" w:cs="Arial"/>
          <w:sz w:val="24"/>
          <w:szCs w:val="24"/>
        </w:rPr>
      </w:pPr>
      <w:r w:rsidRPr="00C11DA4">
        <w:rPr>
          <w:rFonts w:ascii="Arial" w:hAnsi="Arial" w:cs="Arial"/>
          <w:sz w:val="24"/>
          <w:szCs w:val="24"/>
        </w:rPr>
        <w:t xml:space="preserve">Ello, a fin de </w:t>
      </w:r>
      <w:r w:rsidR="000C5BDB" w:rsidRPr="00C11DA4">
        <w:rPr>
          <w:rFonts w:ascii="Arial" w:hAnsi="Arial" w:cs="Arial"/>
          <w:sz w:val="24"/>
          <w:szCs w:val="24"/>
        </w:rPr>
        <w:t xml:space="preserve">evitar </w:t>
      </w:r>
      <w:r w:rsidR="002378CB" w:rsidRPr="00C11DA4">
        <w:rPr>
          <w:rFonts w:ascii="Arial" w:hAnsi="Arial" w:cs="Arial"/>
          <w:sz w:val="24"/>
          <w:szCs w:val="24"/>
        </w:rPr>
        <w:t xml:space="preserve">el contacto humano, </w:t>
      </w:r>
      <w:r w:rsidR="0096415E" w:rsidRPr="00C11DA4">
        <w:rPr>
          <w:rFonts w:ascii="Arial" w:hAnsi="Arial" w:cs="Arial"/>
          <w:sz w:val="24"/>
          <w:szCs w:val="24"/>
        </w:rPr>
        <w:t xml:space="preserve">dado que el virus se contagia con facilidad entre las personas. </w:t>
      </w:r>
    </w:p>
    <w:p w:rsidR="00755113" w:rsidRPr="00C11DA4" w:rsidRDefault="00755113" w:rsidP="00720165">
      <w:pPr>
        <w:pStyle w:val="numerados"/>
        <w:numPr>
          <w:ilvl w:val="0"/>
          <w:numId w:val="0"/>
        </w:numPr>
        <w:rPr>
          <w:rFonts w:ascii="Arial" w:hAnsi="Arial" w:cs="Arial"/>
          <w:sz w:val="24"/>
          <w:szCs w:val="24"/>
        </w:rPr>
      </w:pPr>
      <w:r w:rsidRPr="00C11DA4">
        <w:rPr>
          <w:rFonts w:ascii="Arial" w:hAnsi="Arial" w:cs="Arial"/>
          <w:sz w:val="24"/>
          <w:szCs w:val="24"/>
        </w:rPr>
        <w:t xml:space="preserve">En ese sentido, resulta </w:t>
      </w:r>
      <w:r w:rsidR="00AB097F" w:rsidRPr="00C11DA4">
        <w:rPr>
          <w:rFonts w:ascii="Arial" w:hAnsi="Arial" w:cs="Arial"/>
          <w:sz w:val="24"/>
          <w:szCs w:val="24"/>
        </w:rPr>
        <w:t>necesario que este Tribunal Electoral se pronuncie a la brevedad</w:t>
      </w:r>
      <w:r w:rsidR="000D77CF" w:rsidRPr="00C11DA4">
        <w:rPr>
          <w:rFonts w:ascii="Arial" w:hAnsi="Arial" w:cs="Arial"/>
          <w:sz w:val="24"/>
          <w:szCs w:val="24"/>
        </w:rPr>
        <w:t xml:space="preserve">, ya que los efectos de la ejecutoria </w:t>
      </w:r>
      <w:r w:rsidR="00AB097F" w:rsidRPr="00C11DA4">
        <w:rPr>
          <w:rFonts w:ascii="Arial" w:hAnsi="Arial" w:cs="Arial"/>
          <w:sz w:val="24"/>
          <w:szCs w:val="24"/>
        </w:rPr>
        <w:t xml:space="preserve">tienen repercusión </w:t>
      </w:r>
      <w:r w:rsidR="000D77CF" w:rsidRPr="00C11DA4">
        <w:rPr>
          <w:rFonts w:ascii="Arial" w:hAnsi="Arial" w:cs="Arial"/>
          <w:sz w:val="24"/>
          <w:szCs w:val="24"/>
        </w:rPr>
        <w:t xml:space="preserve">en el derecho a la salud </w:t>
      </w:r>
      <w:r w:rsidR="00AB097F" w:rsidRPr="00C11DA4">
        <w:rPr>
          <w:rFonts w:ascii="Arial" w:hAnsi="Arial" w:cs="Arial"/>
          <w:sz w:val="24"/>
          <w:szCs w:val="24"/>
        </w:rPr>
        <w:t xml:space="preserve">no sólo </w:t>
      </w:r>
      <w:r w:rsidR="000D77CF" w:rsidRPr="00C11DA4">
        <w:rPr>
          <w:rFonts w:ascii="Arial" w:hAnsi="Arial" w:cs="Arial"/>
          <w:sz w:val="24"/>
          <w:szCs w:val="24"/>
        </w:rPr>
        <w:t>de</w:t>
      </w:r>
      <w:r w:rsidR="00AB097F" w:rsidRPr="00C11DA4">
        <w:rPr>
          <w:rFonts w:ascii="Arial" w:hAnsi="Arial" w:cs="Arial"/>
          <w:sz w:val="24"/>
          <w:szCs w:val="24"/>
        </w:rPr>
        <w:t xml:space="preserve"> la actora sino </w:t>
      </w:r>
      <w:r w:rsidR="000D77CF" w:rsidRPr="00C11DA4">
        <w:rPr>
          <w:rFonts w:ascii="Arial" w:hAnsi="Arial" w:cs="Arial"/>
          <w:sz w:val="24"/>
          <w:szCs w:val="24"/>
        </w:rPr>
        <w:t>de los</w:t>
      </w:r>
      <w:r w:rsidR="00AB097F" w:rsidRPr="00C11DA4">
        <w:rPr>
          <w:rFonts w:ascii="Arial" w:hAnsi="Arial" w:cs="Arial"/>
          <w:sz w:val="24"/>
          <w:szCs w:val="24"/>
        </w:rPr>
        <w:t xml:space="preserve"> justiciables</w:t>
      </w:r>
      <w:r w:rsidR="000D77CF" w:rsidRPr="00C11DA4">
        <w:rPr>
          <w:rFonts w:ascii="Arial" w:hAnsi="Arial" w:cs="Arial"/>
          <w:sz w:val="24"/>
          <w:szCs w:val="24"/>
        </w:rPr>
        <w:t xml:space="preserve"> en general, y del </w:t>
      </w:r>
      <w:r w:rsidR="00AB097F" w:rsidRPr="00C11DA4">
        <w:rPr>
          <w:rFonts w:ascii="Arial" w:hAnsi="Arial" w:cs="Arial"/>
          <w:sz w:val="24"/>
          <w:szCs w:val="24"/>
        </w:rPr>
        <w:t xml:space="preserve">personal jurisdiccional local. </w:t>
      </w:r>
    </w:p>
    <w:p w:rsidR="00152A2B" w:rsidRPr="00C11DA4" w:rsidRDefault="00AB097F" w:rsidP="00D3597E">
      <w:pPr>
        <w:pStyle w:val="numerados"/>
        <w:numPr>
          <w:ilvl w:val="0"/>
          <w:numId w:val="0"/>
        </w:numPr>
        <w:rPr>
          <w:rFonts w:ascii="Arial" w:hAnsi="Arial" w:cs="Arial"/>
          <w:sz w:val="24"/>
          <w:szCs w:val="24"/>
        </w:rPr>
      </w:pPr>
      <w:r w:rsidRPr="00C11DA4">
        <w:rPr>
          <w:rFonts w:ascii="Arial" w:hAnsi="Arial" w:cs="Arial"/>
          <w:sz w:val="24"/>
          <w:szCs w:val="24"/>
        </w:rPr>
        <w:t>Así, acorde con el deber</w:t>
      </w:r>
      <w:r w:rsidR="00236B65" w:rsidRPr="00C11DA4">
        <w:rPr>
          <w:rFonts w:ascii="Arial" w:hAnsi="Arial" w:cs="Arial"/>
          <w:sz w:val="24"/>
          <w:szCs w:val="24"/>
        </w:rPr>
        <w:t xml:space="preserve"> constitucional</w:t>
      </w:r>
      <w:r w:rsidRPr="00C11DA4">
        <w:rPr>
          <w:rFonts w:ascii="Arial" w:hAnsi="Arial" w:cs="Arial"/>
          <w:sz w:val="24"/>
          <w:szCs w:val="24"/>
        </w:rPr>
        <w:t xml:space="preserve"> de las autoridades de proteger la salud de las personas es que</w:t>
      </w:r>
      <w:r w:rsidR="00236B65" w:rsidRPr="00C11DA4">
        <w:rPr>
          <w:rFonts w:ascii="Arial" w:hAnsi="Arial" w:cs="Arial"/>
          <w:sz w:val="24"/>
          <w:szCs w:val="24"/>
        </w:rPr>
        <w:t xml:space="preserve"> </w:t>
      </w:r>
      <w:r w:rsidR="000D77CF" w:rsidRPr="00C11DA4">
        <w:rPr>
          <w:rFonts w:ascii="Arial" w:hAnsi="Arial" w:cs="Arial"/>
          <w:sz w:val="24"/>
          <w:szCs w:val="24"/>
        </w:rPr>
        <w:t xml:space="preserve">es necesario </w:t>
      </w:r>
      <w:r w:rsidR="00D3597E" w:rsidRPr="00C11DA4">
        <w:rPr>
          <w:rFonts w:ascii="Arial" w:hAnsi="Arial" w:cs="Arial"/>
          <w:sz w:val="24"/>
          <w:szCs w:val="24"/>
        </w:rPr>
        <w:t>que esta Sala Superior resuelva el asunto en términos del Acuerdo General 2/2020</w:t>
      </w:r>
      <w:r w:rsidR="00A40AD1" w:rsidRPr="00C11DA4">
        <w:rPr>
          <w:rFonts w:ascii="Arial" w:hAnsi="Arial" w:cs="Arial"/>
          <w:sz w:val="24"/>
          <w:szCs w:val="24"/>
        </w:rPr>
        <w:t xml:space="preserve"> </w:t>
      </w:r>
      <w:r w:rsidR="00D3597E" w:rsidRPr="00C11DA4">
        <w:rPr>
          <w:rFonts w:ascii="Arial" w:hAnsi="Arial" w:cs="Arial"/>
          <w:sz w:val="24"/>
          <w:szCs w:val="24"/>
        </w:rPr>
        <w:t>de cara a evitar u</w:t>
      </w:r>
      <w:r w:rsidR="00152A2B" w:rsidRPr="00C11DA4">
        <w:rPr>
          <w:rFonts w:ascii="Arial" w:hAnsi="Arial" w:cs="Arial"/>
          <w:sz w:val="24"/>
          <w:szCs w:val="24"/>
        </w:rPr>
        <w:t xml:space="preserve">n daño irreparable en </w:t>
      </w:r>
      <w:r w:rsidR="00D3597E" w:rsidRPr="00C11DA4">
        <w:rPr>
          <w:rFonts w:ascii="Arial" w:hAnsi="Arial" w:cs="Arial"/>
          <w:sz w:val="24"/>
          <w:szCs w:val="24"/>
        </w:rPr>
        <w:t xml:space="preserve">la salud de las personas en Oaxaca. </w:t>
      </w:r>
      <w:r w:rsidR="00152A2B" w:rsidRPr="00C11DA4">
        <w:rPr>
          <w:rFonts w:ascii="Arial" w:hAnsi="Arial" w:cs="Arial"/>
          <w:sz w:val="24"/>
          <w:szCs w:val="24"/>
        </w:rPr>
        <w:t xml:space="preserve"> </w:t>
      </w:r>
    </w:p>
    <w:p w:rsidR="00F825DB" w:rsidRPr="00C11DA4" w:rsidRDefault="00F825DB" w:rsidP="00720165">
      <w:pPr>
        <w:pStyle w:val="numerados"/>
        <w:numPr>
          <w:ilvl w:val="0"/>
          <w:numId w:val="0"/>
        </w:numPr>
        <w:rPr>
          <w:rFonts w:ascii="Arial" w:hAnsi="Arial" w:cs="Arial"/>
          <w:sz w:val="24"/>
          <w:szCs w:val="24"/>
        </w:rPr>
      </w:pPr>
      <w:r w:rsidRPr="00C11DA4">
        <w:rPr>
          <w:rFonts w:ascii="Arial" w:hAnsi="Arial" w:cs="Arial"/>
          <w:sz w:val="24"/>
          <w:szCs w:val="24"/>
        </w:rPr>
        <w:t xml:space="preserve">Además, </w:t>
      </w:r>
      <w:r w:rsidR="004602CC" w:rsidRPr="00C11DA4">
        <w:rPr>
          <w:rFonts w:ascii="Arial" w:hAnsi="Arial" w:cs="Arial"/>
          <w:sz w:val="24"/>
          <w:szCs w:val="24"/>
        </w:rPr>
        <w:t>en el juicio ciudadano que se sustancia a nivel local</w:t>
      </w:r>
      <w:r w:rsidR="00D3597E" w:rsidRPr="00C11DA4">
        <w:rPr>
          <w:rFonts w:ascii="Arial" w:hAnsi="Arial" w:cs="Arial"/>
          <w:sz w:val="24"/>
          <w:szCs w:val="24"/>
        </w:rPr>
        <w:t>,</w:t>
      </w:r>
      <w:r w:rsidR="004602CC" w:rsidRPr="00C11DA4">
        <w:rPr>
          <w:rFonts w:ascii="Arial" w:hAnsi="Arial" w:cs="Arial"/>
          <w:sz w:val="24"/>
          <w:szCs w:val="24"/>
        </w:rPr>
        <w:t xml:space="preserve"> y del que deriva el juicio electoral citado</w:t>
      </w:r>
      <w:r w:rsidR="00D3597E" w:rsidRPr="00C11DA4">
        <w:rPr>
          <w:rFonts w:ascii="Arial" w:hAnsi="Arial" w:cs="Arial"/>
          <w:sz w:val="24"/>
          <w:szCs w:val="24"/>
        </w:rPr>
        <w:t xml:space="preserve"> al rubro</w:t>
      </w:r>
      <w:r w:rsidR="004602CC" w:rsidRPr="00C11DA4">
        <w:rPr>
          <w:rFonts w:ascii="Arial" w:hAnsi="Arial" w:cs="Arial"/>
          <w:sz w:val="24"/>
          <w:szCs w:val="24"/>
        </w:rPr>
        <w:t xml:space="preserve">, </w:t>
      </w:r>
      <w:r w:rsidR="003A4F1D" w:rsidRPr="00C11DA4">
        <w:rPr>
          <w:rFonts w:ascii="Arial" w:hAnsi="Arial" w:cs="Arial"/>
          <w:sz w:val="24"/>
          <w:szCs w:val="24"/>
        </w:rPr>
        <w:t xml:space="preserve">la actora demandó a los integrantes del ayuntamiento por la omisión en el pago de sus dietas y por violencia política de género, inclusive, el Tribunal local ya emitió medidas de protección </w:t>
      </w:r>
      <w:r w:rsidR="00CC2492" w:rsidRPr="00C11DA4">
        <w:rPr>
          <w:rFonts w:ascii="Arial" w:hAnsi="Arial" w:cs="Arial"/>
          <w:sz w:val="24"/>
          <w:szCs w:val="24"/>
        </w:rPr>
        <w:t>el once de marzo</w:t>
      </w:r>
      <w:r w:rsidR="00235828" w:rsidRPr="00C11DA4">
        <w:rPr>
          <w:rStyle w:val="Refdenotaalpie"/>
          <w:rFonts w:ascii="Arial" w:hAnsi="Arial" w:cs="Arial"/>
          <w:sz w:val="24"/>
          <w:szCs w:val="24"/>
        </w:rPr>
        <w:footnoteReference w:id="5"/>
      </w:r>
      <w:r w:rsidR="00CC2492" w:rsidRPr="00C11DA4">
        <w:rPr>
          <w:rFonts w:ascii="Arial" w:hAnsi="Arial" w:cs="Arial"/>
          <w:sz w:val="24"/>
          <w:szCs w:val="24"/>
        </w:rPr>
        <w:t xml:space="preserve">. </w:t>
      </w:r>
    </w:p>
    <w:p w:rsidR="00CC2492" w:rsidRPr="00C11DA4" w:rsidRDefault="00CC2492" w:rsidP="00720165">
      <w:pPr>
        <w:pStyle w:val="numerados"/>
        <w:numPr>
          <w:ilvl w:val="0"/>
          <w:numId w:val="0"/>
        </w:numPr>
        <w:rPr>
          <w:rFonts w:ascii="Arial" w:hAnsi="Arial" w:cs="Arial"/>
          <w:sz w:val="24"/>
          <w:szCs w:val="24"/>
        </w:rPr>
      </w:pPr>
      <w:r w:rsidRPr="00C11DA4">
        <w:rPr>
          <w:rFonts w:ascii="Arial" w:hAnsi="Arial" w:cs="Arial"/>
          <w:sz w:val="24"/>
          <w:szCs w:val="24"/>
        </w:rPr>
        <w:t xml:space="preserve">Por lo que es necesario que </w:t>
      </w:r>
      <w:r w:rsidR="00964288" w:rsidRPr="00C11DA4">
        <w:rPr>
          <w:rFonts w:ascii="Arial" w:hAnsi="Arial" w:cs="Arial"/>
          <w:sz w:val="24"/>
          <w:szCs w:val="24"/>
        </w:rPr>
        <w:t>esta Sala Superior otorgue certeza jurídica respecto a la problemática planteada de regular las notificaciones electrónicas judiciales en materia electoral en Oaxaca</w:t>
      </w:r>
      <w:r w:rsidR="000D5554" w:rsidRPr="00C11DA4">
        <w:rPr>
          <w:rFonts w:ascii="Arial" w:hAnsi="Arial" w:cs="Arial"/>
          <w:sz w:val="24"/>
          <w:szCs w:val="24"/>
        </w:rPr>
        <w:t xml:space="preserve"> en el contexto de la emergencia sanitaria que atraviesa el país y el mundo</w:t>
      </w:r>
      <w:r w:rsidR="00964288" w:rsidRPr="00C11DA4">
        <w:rPr>
          <w:rFonts w:ascii="Arial" w:hAnsi="Arial" w:cs="Arial"/>
          <w:sz w:val="24"/>
          <w:szCs w:val="24"/>
        </w:rPr>
        <w:t xml:space="preserve">. </w:t>
      </w:r>
    </w:p>
    <w:p w:rsidR="00184C2E" w:rsidRPr="00C11DA4" w:rsidRDefault="00E37298" w:rsidP="00184C2E">
      <w:pPr>
        <w:pStyle w:val="Ttulo1"/>
        <w:spacing w:before="100" w:beforeAutospacing="1" w:after="100" w:afterAutospacing="1" w:line="360" w:lineRule="auto"/>
        <w:jc w:val="center"/>
        <w:rPr>
          <w:rFonts w:ascii="Arial" w:eastAsia="Times New Roman" w:hAnsi="Arial" w:cs="Arial"/>
          <w:b/>
          <w:color w:val="auto"/>
          <w:sz w:val="24"/>
          <w:szCs w:val="24"/>
          <w:lang w:eastAsia="es-MX"/>
        </w:rPr>
      </w:pPr>
      <w:bookmarkStart w:id="9" w:name="_Toc37945906"/>
      <w:r w:rsidRPr="00C11DA4">
        <w:rPr>
          <w:rFonts w:ascii="Arial" w:eastAsia="Times New Roman" w:hAnsi="Arial" w:cs="Arial"/>
          <w:b/>
          <w:color w:val="auto"/>
          <w:sz w:val="24"/>
          <w:szCs w:val="24"/>
          <w:lang w:eastAsia="es-MX"/>
        </w:rPr>
        <w:t>PROCEDENCIA</w:t>
      </w:r>
      <w:bookmarkEnd w:id="9"/>
      <w:r w:rsidR="00184C2E" w:rsidRPr="00C11DA4">
        <w:rPr>
          <w:rFonts w:ascii="Arial" w:eastAsia="Times New Roman" w:hAnsi="Arial" w:cs="Arial"/>
          <w:b/>
          <w:color w:val="auto"/>
          <w:sz w:val="24"/>
          <w:szCs w:val="24"/>
          <w:lang w:eastAsia="es-MX"/>
        </w:rPr>
        <w:t xml:space="preserve"> </w:t>
      </w:r>
    </w:p>
    <w:p w:rsidR="0001640C" w:rsidRPr="00C11DA4" w:rsidRDefault="0001640C" w:rsidP="007824D6">
      <w:pPr>
        <w:pStyle w:val="NormalWeb"/>
        <w:shd w:val="clear" w:color="auto" w:fill="FFFFFF"/>
        <w:spacing w:line="360" w:lineRule="auto"/>
        <w:jc w:val="both"/>
        <w:rPr>
          <w:rFonts w:ascii="Arial" w:hAnsi="Arial" w:cs="Arial"/>
        </w:rPr>
      </w:pPr>
      <w:r w:rsidRPr="00C11DA4">
        <w:rPr>
          <w:rFonts w:ascii="Arial" w:hAnsi="Arial" w:cs="Arial"/>
        </w:rPr>
        <w:t xml:space="preserve">El medio de impugnación cumple con los requisitos </w:t>
      </w:r>
      <w:bookmarkStart w:id="10" w:name="_ftnref9"/>
      <w:bookmarkEnd w:id="10"/>
      <w:r w:rsidRPr="00C11DA4">
        <w:rPr>
          <w:rFonts w:ascii="Arial" w:hAnsi="Arial" w:cs="Arial"/>
        </w:rPr>
        <w:t>de procedencia</w:t>
      </w:r>
      <w:r w:rsidR="00376123" w:rsidRPr="00C11DA4">
        <w:rPr>
          <w:rStyle w:val="Refdenotaalpie"/>
          <w:rFonts w:ascii="Arial" w:hAnsi="Arial" w:cs="Arial"/>
        </w:rPr>
        <w:footnoteReference w:id="6"/>
      </w:r>
      <w:r w:rsidR="00376123" w:rsidRPr="00C11DA4">
        <w:rPr>
          <w:rFonts w:ascii="Arial" w:hAnsi="Arial" w:cs="Arial"/>
        </w:rPr>
        <w:t xml:space="preserve">, </w:t>
      </w:r>
      <w:r w:rsidRPr="00C11DA4">
        <w:rPr>
          <w:rFonts w:ascii="Arial" w:hAnsi="Arial" w:cs="Arial"/>
        </w:rPr>
        <w:t>conforme con lo siguiente:</w:t>
      </w:r>
    </w:p>
    <w:p w:rsidR="0001640C" w:rsidRPr="00C11DA4" w:rsidRDefault="0001640C" w:rsidP="007824D6">
      <w:pPr>
        <w:pStyle w:val="NormalWeb"/>
        <w:shd w:val="clear" w:color="auto" w:fill="FFFFFF"/>
        <w:spacing w:line="360" w:lineRule="auto"/>
        <w:jc w:val="both"/>
        <w:rPr>
          <w:rFonts w:ascii="Arial" w:hAnsi="Arial" w:cs="Arial"/>
        </w:rPr>
      </w:pPr>
      <w:r w:rsidRPr="00C11DA4">
        <w:rPr>
          <w:rFonts w:ascii="Arial" w:hAnsi="Arial" w:cs="Arial"/>
          <w:b/>
          <w:bCs/>
        </w:rPr>
        <w:t>1. Forma. </w:t>
      </w:r>
      <w:r w:rsidR="004F527A" w:rsidRPr="00C11DA4">
        <w:rPr>
          <w:rFonts w:ascii="Arial" w:hAnsi="Arial" w:cs="Arial"/>
          <w:bCs/>
        </w:rPr>
        <w:t xml:space="preserve">La demanda precisa nombre y firma de quien promueve en representación de la actora; </w:t>
      </w:r>
      <w:r w:rsidR="00F02E30" w:rsidRPr="00C11DA4">
        <w:rPr>
          <w:rFonts w:ascii="Arial" w:hAnsi="Arial" w:cs="Arial"/>
          <w:bCs/>
        </w:rPr>
        <w:t>señala a</w:t>
      </w:r>
      <w:r w:rsidR="004F527A" w:rsidRPr="00C11DA4">
        <w:rPr>
          <w:rFonts w:ascii="Arial" w:hAnsi="Arial" w:cs="Arial"/>
          <w:bCs/>
        </w:rPr>
        <w:t xml:space="preserve"> la autoridad responsable, el acto impugnado, los hechos y motivos de controversia.</w:t>
      </w:r>
    </w:p>
    <w:p w:rsidR="008E14D1" w:rsidRPr="00C11DA4" w:rsidRDefault="0001640C" w:rsidP="007824D6">
      <w:pPr>
        <w:pStyle w:val="NormalWeb"/>
        <w:shd w:val="clear" w:color="auto" w:fill="FFFFFF"/>
        <w:spacing w:line="360" w:lineRule="auto"/>
        <w:jc w:val="both"/>
        <w:rPr>
          <w:rFonts w:ascii="Arial" w:hAnsi="Arial" w:cs="Arial"/>
        </w:rPr>
      </w:pPr>
      <w:r w:rsidRPr="00C11DA4">
        <w:rPr>
          <w:rFonts w:ascii="Arial" w:hAnsi="Arial" w:cs="Arial"/>
          <w:b/>
          <w:bCs/>
        </w:rPr>
        <w:t>2. Oportunidad. </w:t>
      </w:r>
      <w:bookmarkStart w:id="11" w:name="_ftnref10"/>
      <w:bookmarkEnd w:id="11"/>
      <w:r w:rsidR="008E14D1" w:rsidRPr="00C11DA4">
        <w:rPr>
          <w:rFonts w:ascii="Arial" w:hAnsi="Arial" w:cs="Arial"/>
        </w:rPr>
        <w:t xml:space="preserve">La demanda se presentó en tiempo, </w:t>
      </w:r>
      <w:r w:rsidR="007E245C" w:rsidRPr="00C11DA4">
        <w:rPr>
          <w:rFonts w:ascii="Arial" w:hAnsi="Arial" w:cs="Arial"/>
        </w:rPr>
        <w:t xml:space="preserve">ya que se impugna </w:t>
      </w:r>
      <w:r w:rsidR="009D31F6" w:rsidRPr="00C11DA4">
        <w:rPr>
          <w:rFonts w:ascii="Arial" w:hAnsi="Arial" w:cs="Arial"/>
        </w:rPr>
        <w:t>una</w:t>
      </w:r>
      <w:r w:rsidR="007E245C" w:rsidRPr="00C11DA4">
        <w:rPr>
          <w:rFonts w:ascii="Arial" w:hAnsi="Arial" w:cs="Arial"/>
        </w:rPr>
        <w:t xml:space="preserve"> omisión que constituye</w:t>
      </w:r>
      <w:r w:rsidR="008E14D1" w:rsidRPr="00C11DA4">
        <w:rPr>
          <w:rFonts w:ascii="Arial" w:hAnsi="Arial" w:cs="Arial"/>
        </w:rPr>
        <w:t xml:space="preserve"> una violación de tracto sucesivo, </w:t>
      </w:r>
      <w:r w:rsidR="007E245C" w:rsidRPr="00C11DA4">
        <w:rPr>
          <w:rFonts w:ascii="Arial" w:hAnsi="Arial" w:cs="Arial"/>
        </w:rPr>
        <w:t xml:space="preserve">es decir, </w:t>
      </w:r>
      <w:r w:rsidR="008E14D1" w:rsidRPr="00C11DA4">
        <w:rPr>
          <w:rFonts w:ascii="Arial" w:hAnsi="Arial" w:cs="Arial"/>
        </w:rPr>
        <w:t xml:space="preserve">sus efectos se actualizan día a día; </w:t>
      </w:r>
      <w:r w:rsidR="007E245C" w:rsidRPr="00C11DA4">
        <w:rPr>
          <w:rFonts w:ascii="Arial" w:hAnsi="Arial" w:cs="Arial"/>
        </w:rPr>
        <w:t>de ahí que</w:t>
      </w:r>
      <w:r w:rsidR="008E14D1" w:rsidRPr="00C11DA4">
        <w:rPr>
          <w:rFonts w:ascii="Arial" w:hAnsi="Arial" w:cs="Arial"/>
        </w:rPr>
        <w:t xml:space="preserve">, el plazo para </w:t>
      </w:r>
      <w:r w:rsidR="007E245C" w:rsidRPr="00C11DA4">
        <w:rPr>
          <w:rFonts w:ascii="Arial" w:hAnsi="Arial" w:cs="Arial"/>
        </w:rPr>
        <w:t>promover</w:t>
      </w:r>
      <w:r w:rsidR="008E14D1" w:rsidRPr="00C11DA4">
        <w:rPr>
          <w:rFonts w:ascii="Arial" w:hAnsi="Arial" w:cs="Arial"/>
        </w:rPr>
        <w:t xml:space="preserve"> la demanda permanece vigente mientras subsista la supuesta inactividad del órgano responsable</w:t>
      </w:r>
      <w:r w:rsidR="00646D06" w:rsidRPr="00C11DA4">
        <w:rPr>
          <w:rFonts w:ascii="Arial" w:hAnsi="Arial" w:cs="Arial"/>
        </w:rPr>
        <w:t>.</w:t>
      </w:r>
      <w:r w:rsidR="00646D06" w:rsidRPr="00C11DA4">
        <w:rPr>
          <w:rStyle w:val="Refdenotaalpie"/>
          <w:rFonts w:ascii="Arial" w:hAnsi="Arial" w:cs="Arial"/>
        </w:rPr>
        <w:footnoteReference w:id="7"/>
      </w:r>
    </w:p>
    <w:p w:rsidR="006F6759" w:rsidRPr="00C11DA4" w:rsidRDefault="0001640C" w:rsidP="007824D6">
      <w:pPr>
        <w:pStyle w:val="NormalWeb"/>
        <w:shd w:val="clear" w:color="auto" w:fill="FFFFFF"/>
        <w:spacing w:line="360" w:lineRule="auto"/>
        <w:jc w:val="both"/>
        <w:rPr>
          <w:rFonts w:ascii="Arial" w:hAnsi="Arial" w:cs="Arial"/>
        </w:rPr>
      </w:pPr>
      <w:r w:rsidRPr="00C11DA4">
        <w:rPr>
          <w:rFonts w:ascii="Arial" w:hAnsi="Arial" w:cs="Arial"/>
          <w:b/>
          <w:bCs/>
        </w:rPr>
        <w:t>3. Legitimación y personería.</w:t>
      </w:r>
      <w:r w:rsidRPr="00C11DA4">
        <w:rPr>
          <w:rFonts w:ascii="Arial" w:hAnsi="Arial" w:cs="Arial"/>
        </w:rPr>
        <w:t> </w:t>
      </w:r>
      <w:r w:rsidR="00D00F87" w:rsidRPr="00C11DA4">
        <w:rPr>
          <w:rFonts w:ascii="Arial" w:hAnsi="Arial" w:cs="Arial"/>
        </w:rPr>
        <w:t xml:space="preserve">Se cumple con la exigencia, ya que </w:t>
      </w:r>
      <w:r w:rsidR="009F0781" w:rsidRPr="00C11DA4">
        <w:rPr>
          <w:rFonts w:ascii="Arial" w:hAnsi="Arial" w:cs="Arial"/>
        </w:rPr>
        <w:t>Gisela Lilia Pérez García comparece a través de su autorizado</w:t>
      </w:r>
      <w:r w:rsidR="002C0F03" w:rsidRPr="00C11DA4">
        <w:rPr>
          <w:rFonts w:ascii="Arial" w:hAnsi="Arial" w:cs="Arial"/>
        </w:rPr>
        <w:t xml:space="preserve"> Pedro Miguel Barrita López</w:t>
      </w:r>
      <w:r w:rsidR="00B03A1D" w:rsidRPr="00C11DA4">
        <w:rPr>
          <w:rFonts w:ascii="Arial" w:hAnsi="Arial" w:cs="Arial"/>
        </w:rPr>
        <w:t xml:space="preserve">, </w:t>
      </w:r>
      <w:r w:rsidR="006F6759" w:rsidRPr="00C11DA4">
        <w:rPr>
          <w:rFonts w:ascii="Arial" w:hAnsi="Arial" w:cs="Arial"/>
        </w:rPr>
        <w:t xml:space="preserve">para promover un juicio ciudadano. </w:t>
      </w:r>
    </w:p>
    <w:p w:rsidR="00D00F87" w:rsidRPr="00C11DA4" w:rsidRDefault="006F6759" w:rsidP="007824D6">
      <w:pPr>
        <w:pStyle w:val="NormalWeb"/>
        <w:shd w:val="clear" w:color="auto" w:fill="FFFFFF"/>
        <w:spacing w:line="360" w:lineRule="auto"/>
        <w:jc w:val="both"/>
        <w:rPr>
          <w:rFonts w:ascii="Arial" w:hAnsi="Arial" w:cs="Arial"/>
        </w:rPr>
      </w:pPr>
      <w:r w:rsidRPr="00C11DA4">
        <w:rPr>
          <w:rFonts w:ascii="Arial" w:hAnsi="Arial" w:cs="Arial"/>
        </w:rPr>
        <w:t xml:space="preserve">Además, </w:t>
      </w:r>
      <w:r w:rsidR="00F02E30" w:rsidRPr="00C11DA4">
        <w:rPr>
          <w:rFonts w:ascii="Arial" w:hAnsi="Arial" w:cs="Arial"/>
        </w:rPr>
        <w:t>el Tribunal local</w:t>
      </w:r>
      <w:r w:rsidRPr="00C11DA4">
        <w:rPr>
          <w:rFonts w:ascii="Arial" w:hAnsi="Arial" w:cs="Arial"/>
        </w:rPr>
        <w:t xml:space="preserve"> le reconoce </w:t>
      </w:r>
      <w:r w:rsidR="00A45F16" w:rsidRPr="00C11DA4">
        <w:rPr>
          <w:rFonts w:ascii="Arial" w:hAnsi="Arial" w:cs="Arial"/>
        </w:rPr>
        <w:t>tal calidad</w:t>
      </w:r>
      <w:r w:rsidR="002975D1" w:rsidRPr="00C11DA4">
        <w:rPr>
          <w:rFonts w:ascii="Arial" w:hAnsi="Arial" w:cs="Arial"/>
        </w:rPr>
        <w:t xml:space="preserve"> a</w:t>
      </w:r>
      <w:r w:rsidRPr="00C11DA4">
        <w:rPr>
          <w:rFonts w:ascii="Arial" w:hAnsi="Arial" w:cs="Arial"/>
        </w:rPr>
        <w:t xml:space="preserve"> Pedro Miguel Barrita López</w:t>
      </w:r>
      <w:r w:rsidR="002975D1" w:rsidRPr="00C11DA4">
        <w:rPr>
          <w:rFonts w:ascii="Arial" w:hAnsi="Arial" w:cs="Arial"/>
        </w:rPr>
        <w:t xml:space="preserve">, </w:t>
      </w:r>
      <w:r w:rsidR="003F0B9A" w:rsidRPr="00C11DA4">
        <w:rPr>
          <w:rFonts w:ascii="Arial" w:hAnsi="Arial" w:cs="Arial"/>
        </w:rPr>
        <w:t>tanto</w:t>
      </w:r>
      <w:r w:rsidR="009B1E29" w:rsidRPr="00C11DA4">
        <w:rPr>
          <w:rFonts w:ascii="Arial" w:hAnsi="Arial" w:cs="Arial"/>
        </w:rPr>
        <w:t xml:space="preserve"> en </w:t>
      </w:r>
      <w:r w:rsidR="00244ACE" w:rsidRPr="00C11DA4">
        <w:rPr>
          <w:rFonts w:ascii="Arial" w:hAnsi="Arial" w:cs="Arial"/>
        </w:rPr>
        <w:t xml:space="preserve">su informe justificado </w:t>
      </w:r>
      <w:r w:rsidR="003F0B9A" w:rsidRPr="00C11DA4">
        <w:rPr>
          <w:rFonts w:ascii="Arial" w:hAnsi="Arial" w:cs="Arial"/>
        </w:rPr>
        <w:t>como en</w:t>
      </w:r>
      <w:r w:rsidR="00244ACE" w:rsidRPr="00C11DA4">
        <w:rPr>
          <w:rFonts w:ascii="Arial" w:hAnsi="Arial" w:cs="Arial"/>
        </w:rPr>
        <w:t xml:space="preserve"> e</w:t>
      </w:r>
      <w:r w:rsidR="009B1E29" w:rsidRPr="00C11DA4">
        <w:rPr>
          <w:rFonts w:ascii="Arial" w:hAnsi="Arial" w:cs="Arial"/>
        </w:rPr>
        <w:t xml:space="preserve">l </w:t>
      </w:r>
      <w:r w:rsidR="00244ACE" w:rsidRPr="00C11DA4">
        <w:rPr>
          <w:rFonts w:ascii="Arial" w:hAnsi="Arial" w:cs="Arial"/>
        </w:rPr>
        <w:t>a</w:t>
      </w:r>
      <w:r w:rsidR="009B1E29" w:rsidRPr="00C11DA4">
        <w:rPr>
          <w:rFonts w:ascii="Arial" w:hAnsi="Arial" w:cs="Arial"/>
        </w:rPr>
        <w:t xml:space="preserve">cuerdo </w:t>
      </w:r>
      <w:r w:rsidR="00244ACE" w:rsidRPr="00C11DA4">
        <w:rPr>
          <w:rFonts w:ascii="Arial" w:hAnsi="Arial" w:cs="Arial"/>
        </w:rPr>
        <w:t>impug</w:t>
      </w:r>
      <w:r w:rsidR="009040DB" w:rsidRPr="00C11DA4">
        <w:rPr>
          <w:rFonts w:ascii="Arial" w:hAnsi="Arial" w:cs="Arial"/>
        </w:rPr>
        <w:t>nado</w:t>
      </w:r>
      <w:r w:rsidR="00A45F16" w:rsidRPr="00C11DA4">
        <w:rPr>
          <w:rFonts w:ascii="Arial" w:hAnsi="Arial" w:cs="Arial"/>
        </w:rPr>
        <w:t xml:space="preserve"> y acorde con </w:t>
      </w:r>
      <w:r w:rsidR="00BE6345" w:rsidRPr="00C11DA4">
        <w:rPr>
          <w:rFonts w:ascii="Arial" w:hAnsi="Arial" w:cs="Arial"/>
        </w:rPr>
        <w:t>la</w:t>
      </w:r>
      <w:r w:rsidR="009B1E29" w:rsidRPr="00C11DA4">
        <w:rPr>
          <w:rFonts w:ascii="Arial" w:hAnsi="Arial" w:cs="Arial"/>
        </w:rPr>
        <w:t xml:space="preserve"> Ley de Medios local, </w:t>
      </w:r>
      <w:r w:rsidR="00A45F16" w:rsidRPr="00C11DA4">
        <w:rPr>
          <w:rFonts w:ascii="Arial" w:hAnsi="Arial" w:cs="Arial"/>
        </w:rPr>
        <w:t xml:space="preserve">el autorizado está facultado </w:t>
      </w:r>
      <w:r w:rsidR="000316B8" w:rsidRPr="00C11DA4">
        <w:rPr>
          <w:rFonts w:ascii="Arial" w:hAnsi="Arial" w:cs="Arial"/>
        </w:rPr>
        <w:t>a promo</w:t>
      </w:r>
      <w:r w:rsidR="00B03A1D" w:rsidRPr="00C11DA4">
        <w:rPr>
          <w:rFonts w:ascii="Arial" w:hAnsi="Arial" w:cs="Arial"/>
        </w:rPr>
        <w:t xml:space="preserve">ver recursos y cualquier </w:t>
      </w:r>
      <w:r w:rsidR="00F954EC" w:rsidRPr="00C11DA4">
        <w:rPr>
          <w:rFonts w:ascii="Arial" w:hAnsi="Arial" w:cs="Arial"/>
        </w:rPr>
        <w:t>otro acto que resulte necesario para la defensa del autorizante</w:t>
      </w:r>
      <w:r w:rsidR="00BE6345" w:rsidRPr="00C11DA4">
        <w:rPr>
          <w:rStyle w:val="Refdenotaalpie"/>
          <w:rFonts w:ascii="Arial" w:hAnsi="Arial" w:cs="Arial"/>
        </w:rPr>
        <w:footnoteReference w:id="8"/>
      </w:r>
      <w:r w:rsidR="008579DC" w:rsidRPr="00C11DA4">
        <w:rPr>
          <w:rFonts w:ascii="Arial" w:hAnsi="Arial" w:cs="Arial"/>
        </w:rPr>
        <w:t xml:space="preserve">. </w:t>
      </w:r>
      <w:r w:rsidR="009F0781" w:rsidRPr="00C11DA4">
        <w:rPr>
          <w:rFonts w:ascii="Arial" w:hAnsi="Arial" w:cs="Arial"/>
        </w:rPr>
        <w:t xml:space="preserve"> </w:t>
      </w:r>
    </w:p>
    <w:p w:rsidR="005E5124" w:rsidRPr="00C11DA4" w:rsidRDefault="009B1E29" w:rsidP="00B949EA">
      <w:pPr>
        <w:pStyle w:val="NormalWeb"/>
        <w:shd w:val="clear" w:color="auto" w:fill="FFFFFF"/>
        <w:spacing w:line="360" w:lineRule="auto"/>
        <w:jc w:val="both"/>
        <w:rPr>
          <w:rFonts w:ascii="Arial" w:hAnsi="Arial" w:cs="Arial"/>
        </w:rPr>
      </w:pPr>
      <w:r w:rsidRPr="00C11DA4">
        <w:rPr>
          <w:rFonts w:ascii="Arial" w:hAnsi="Arial" w:cs="Arial"/>
        </w:rPr>
        <w:t xml:space="preserve">Además, </w:t>
      </w:r>
      <w:r w:rsidR="00FB13E4" w:rsidRPr="00C11DA4">
        <w:rPr>
          <w:rFonts w:ascii="Arial" w:hAnsi="Arial" w:cs="Arial"/>
        </w:rPr>
        <w:t>acorde a lo que</w:t>
      </w:r>
      <w:r w:rsidR="00BA4860" w:rsidRPr="00C11DA4">
        <w:rPr>
          <w:rFonts w:ascii="Arial" w:hAnsi="Arial" w:cs="Arial"/>
        </w:rPr>
        <w:t xml:space="preserve"> establece la </w:t>
      </w:r>
      <w:r w:rsidR="00F02E30" w:rsidRPr="00C11DA4">
        <w:rPr>
          <w:rFonts w:ascii="Arial" w:hAnsi="Arial" w:cs="Arial"/>
        </w:rPr>
        <w:t>Constitución</w:t>
      </w:r>
      <w:r w:rsidR="00BA4860" w:rsidRPr="00C11DA4">
        <w:rPr>
          <w:rFonts w:ascii="Arial" w:hAnsi="Arial" w:cs="Arial"/>
        </w:rPr>
        <w:t xml:space="preserve">, en su artículo 17, </w:t>
      </w:r>
      <w:r w:rsidR="00A742ED" w:rsidRPr="00C11DA4">
        <w:rPr>
          <w:rFonts w:ascii="Arial" w:hAnsi="Arial" w:cs="Arial"/>
        </w:rPr>
        <w:t xml:space="preserve">tercer párrafo, las autoridades deben privilegiar la solución del conflicto sobre los formalismos procedimentales, siempre y cuando con ello no se afecte el </w:t>
      </w:r>
      <w:r w:rsidR="005E5124" w:rsidRPr="00C11DA4">
        <w:rPr>
          <w:rFonts w:ascii="Arial" w:hAnsi="Arial" w:cs="Arial"/>
        </w:rPr>
        <w:t>debido proceso u otros derechos en los juicios.</w:t>
      </w:r>
    </w:p>
    <w:p w:rsidR="00B949EA" w:rsidRPr="00C11DA4" w:rsidRDefault="00B949EA" w:rsidP="00C54B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100" w:beforeAutospacing="1" w:after="100" w:afterAutospacing="1" w:line="360" w:lineRule="auto"/>
        <w:jc w:val="both"/>
        <w:rPr>
          <w:rFonts w:cs="Arial"/>
          <w:sz w:val="24"/>
          <w:szCs w:val="24"/>
        </w:rPr>
      </w:pPr>
      <w:r w:rsidRPr="00C11DA4">
        <w:rPr>
          <w:rFonts w:cs="Arial"/>
          <w:sz w:val="24"/>
          <w:szCs w:val="24"/>
        </w:rPr>
        <w:t xml:space="preserve">Además, el juicio que se sustancia en la instancia local involucra cuestiones de violencia política </w:t>
      </w:r>
      <w:r w:rsidR="00A049AC" w:rsidRPr="00C11DA4">
        <w:rPr>
          <w:rFonts w:cs="Arial"/>
          <w:sz w:val="24"/>
          <w:szCs w:val="24"/>
        </w:rPr>
        <w:t xml:space="preserve">en razón de género, </w:t>
      </w:r>
      <w:r w:rsidRPr="00C11DA4">
        <w:rPr>
          <w:rFonts w:cs="Arial"/>
          <w:sz w:val="24"/>
          <w:szCs w:val="24"/>
        </w:rPr>
        <w:t>por lo que</w:t>
      </w:r>
      <w:r w:rsidR="00A049AC" w:rsidRPr="00C11DA4">
        <w:rPr>
          <w:rFonts w:cs="Arial"/>
          <w:sz w:val="24"/>
          <w:szCs w:val="24"/>
        </w:rPr>
        <w:t>, bajo una perspectiva de género, debe salv</w:t>
      </w:r>
      <w:r w:rsidRPr="00C11DA4">
        <w:rPr>
          <w:rFonts w:cs="Arial"/>
          <w:sz w:val="24"/>
          <w:szCs w:val="24"/>
        </w:rPr>
        <w:t>aguardar</w:t>
      </w:r>
      <w:r w:rsidR="00A049AC" w:rsidRPr="00C11DA4">
        <w:rPr>
          <w:rFonts w:cs="Arial"/>
          <w:sz w:val="24"/>
          <w:szCs w:val="24"/>
        </w:rPr>
        <w:t xml:space="preserve">se la </w:t>
      </w:r>
      <w:r w:rsidRPr="00C11DA4">
        <w:rPr>
          <w:rFonts w:cs="Arial"/>
          <w:sz w:val="24"/>
          <w:szCs w:val="24"/>
        </w:rPr>
        <w:t xml:space="preserve">integridad </w:t>
      </w:r>
      <w:r w:rsidR="00A049AC" w:rsidRPr="00C11DA4">
        <w:rPr>
          <w:rFonts w:cs="Arial"/>
          <w:sz w:val="24"/>
          <w:szCs w:val="24"/>
        </w:rPr>
        <w:t>de la actora y flexibilizarse los requisitos procedimentales</w:t>
      </w:r>
      <w:r w:rsidR="00C54B57" w:rsidRPr="00C11DA4">
        <w:rPr>
          <w:rFonts w:cs="Arial"/>
          <w:sz w:val="24"/>
          <w:szCs w:val="24"/>
        </w:rPr>
        <w:t xml:space="preserve">, para que se le reconozca la personería al autorizado por la promovente, máxima que esa autorización la realizó considerando los alcances jurídicos que tiene en la legislación de Oaxaca. </w:t>
      </w:r>
    </w:p>
    <w:p w:rsidR="00A124BB" w:rsidRPr="00C11DA4" w:rsidRDefault="00B8520E" w:rsidP="007824D6">
      <w:pPr>
        <w:pStyle w:val="NormalWeb"/>
        <w:shd w:val="clear" w:color="auto" w:fill="FFFFFF"/>
        <w:spacing w:line="360" w:lineRule="auto"/>
        <w:jc w:val="both"/>
        <w:rPr>
          <w:rFonts w:ascii="Arial" w:hAnsi="Arial" w:cs="Arial"/>
        </w:rPr>
      </w:pPr>
      <w:r w:rsidRPr="00C11DA4">
        <w:rPr>
          <w:rFonts w:ascii="Arial" w:hAnsi="Arial" w:cs="Arial"/>
        </w:rPr>
        <w:t xml:space="preserve">En ese sentido, es que </w:t>
      </w:r>
      <w:r w:rsidR="00186FFD" w:rsidRPr="00C11DA4">
        <w:rPr>
          <w:rFonts w:ascii="Arial" w:hAnsi="Arial" w:cs="Arial"/>
        </w:rPr>
        <w:t xml:space="preserve">debe reconocerse la representación del autorizado </w:t>
      </w:r>
      <w:r w:rsidR="00A124BB" w:rsidRPr="00C11DA4">
        <w:rPr>
          <w:rFonts w:ascii="Arial" w:hAnsi="Arial" w:cs="Arial"/>
        </w:rPr>
        <w:t>para dar mayor alcance del derecho fundamental de acceso a la justicia y tutela judicial efectiva, en términos de la Jurisprudencia 25/2012</w:t>
      </w:r>
      <w:r w:rsidR="00B31BFC" w:rsidRPr="00C11DA4">
        <w:rPr>
          <w:rStyle w:val="Refdenotaalpie"/>
          <w:rFonts w:ascii="Arial" w:hAnsi="Arial" w:cs="Arial"/>
        </w:rPr>
        <w:footnoteReference w:id="9"/>
      </w:r>
      <w:r w:rsidR="00A124BB" w:rsidRPr="00C11DA4">
        <w:rPr>
          <w:rFonts w:ascii="Arial" w:hAnsi="Arial" w:cs="Arial"/>
        </w:rPr>
        <w:t>.</w:t>
      </w:r>
    </w:p>
    <w:p w:rsidR="0001640C" w:rsidRPr="00C11DA4" w:rsidRDefault="0001640C" w:rsidP="007824D6">
      <w:pPr>
        <w:pStyle w:val="NormalWeb"/>
        <w:shd w:val="clear" w:color="auto" w:fill="FFFFFF"/>
        <w:spacing w:line="360" w:lineRule="auto"/>
        <w:jc w:val="both"/>
        <w:rPr>
          <w:rFonts w:ascii="Arial" w:hAnsi="Arial" w:cs="Arial"/>
        </w:rPr>
      </w:pPr>
      <w:r w:rsidRPr="00C11DA4">
        <w:rPr>
          <w:rFonts w:ascii="Arial" w:hAnsi="Arial" w:cs="Arial"/>
          <w:b/>
          <w:bCs/>
          <w:spacing w:val="4"/>
        </w:rPr>
        <w:t>4. Interés jurídico.</w:t>
      </w:r>
      <w:r w:rsidRPr="00C11DA4">
        <w:rPr>
          <w:rFonts w:ascii="Arial" w:hAnsi="Arial" w:cs="Arial"/>
          <w:spacing w:val="4"/>
        </w:rPr>
        <w:t> Se cumple</w:t>
      </w:r>
      <w:r w:rsidR="00DA264F" w:rsidRPr="00C11DA4">
        <w:rPr>
          <w:rFonts w:ascii="Arial" w:hAnsi="Arial" w:cs="Arial"/>
          <w:spacing w:val="4"/>
        </w:rPr>
        <w:t xml:space="preserve"> el requisito ya que la act</w:t>
      </w:r>
      <w:r w:rsidR="003F0B9A" w:rsidRPr="00C11DA4">
        <w:rPr>
          <w:rFonts w:ascii="Arial" w:hAnsi="Arial" w:cs="Arial"/>
          <w:spacing w:val="4"/>
        </w:rPr>
        <w:t xml:space="preserve">ora impugna una omisión del Tribunal local de regular las notificaciones electrónicas a partir de que en un acuerdo de trámite le negó esa vía para ser notificada. </w:t>
      </w:r>
    </w:p>
    <w:p w:rsidR="0001640C" w:rsidRPr="00C11DA4" w:rsidRDefault="0001640C" w:rsidP="007824D6">
      <w:pPr>
        <w:pStyle w:val="NormalWeb"/>
        <w:shd w:val="clear" w:color="auto" w:fill="FFFFFF"/>
        <w:spacing w:line="360" w:lineRule="auto"/>
        <w:jc w:val="both"/>
        <w:rPr>
          <w:rFonts w:ascii="Arial" w:hAnsi="Arial" w:cs="Arial"/>
        </w:rPr>
      </w:pPr>
      <w:r w:rsidRPr="00C11DA4">
        <w:rPr>
          <w:rFonts w:ascii="Arial" w:hAnsi="Arial" w:cs="Arial"/>
          <w:b/>
          <w:bCs/>
          <w:spacing w:val="4"/>
        </w:rPr>
        <w:t>5. Definitividad. </w:t>
      </w:r>
      <w:r w:rsidRPr="00C11DA4">
        <w:rPr>
          <w:rFonts w:ascii="Arial" w:hAnsi="Arial" w:cs="Arial"/>
        </w:rPr>
        <w:t>Se satisface este requisito, ya que no existe otro medio de impugnación para controvertir la determinación impugnada.</w:t>
      </w:r>
    </w:p>
    <w:p w:rsidR="00E37298" w:rsidRPr="00C11DA4" w:rsidRDefault="003F0B9A" w:rsidP="00A9556E">
      <w:pPr>
        <w:pStyle w:val="NormalWeb"/>
        <w:shd w:val="clear" w:color="auto" w:fill="FFFFFF"/>
        <w:spacing w:line="360" w:lineRule="auto"/>
        <w:jc w:val="center"/>
        <w:outlineLvl w:val="0"/>
        <w:rPr>
          <w:rFonts w:ascii="Arial" w:hAnsi="Arial" w:cs="Arial"/>
          <w:b/>
        </w:rPr>
      </w:pPr>
      <w:bookmarkStart w:id="12" w:name="_Toc37945907"/>
      <w:r w:rsidRPr="00C11DA4">
        <w:rPr>
          <w:rFonts w:ascii="Arial" w:hAnsi="Arial" w:cs="Arial"/>
          <w:b/>
        </w:rPr>
        <w:t>ESTUDIO DE FONDO</w:t>
      </w:r>
      <w:bookmarkEnd w:id="12"/>
    </w:p>
    <w:p w:rsidR="004F39F3" w:rsidRPr="00C11DA4" w:rsidRDefault="00024C52" w:rsidP="004D235E">
      <w:pPr>
        <w:pStyle w:val="NormalWeb"/>
        <w:shd w:val="clear" w:color="auto" w:fill="FFFFFF"/>
        <w:spacing w:line="276" w:lineRule="auto"/>
        <w:outlineLvl w:val="1"/>
        <w:rPr>
          <w:rFonts w:ascii="Arial" w:hAnsi="Arial" w:cs="Arial"/>
          <w:b/>
        </w:rPr>
      </w:pPr>
      <w:bookmarkStart w:id="13" w:name="_Toc37945908"/>
      <w:r w:rsidRPr="00C11DA4">
        <w:rPr>
          <w:rFonts w:ascii="Arial" w:hAnsi="Arial" w:cs="Arial"/>
          <w:b/>
        </w:rPr>
        <w:t>I. Controversia</w:t>
      </w:r>
      <w:bookmarkEnd w:id="13"/>
    </w:p>
    <w:p w:rsidR="001D73AE" w:rsidRPr="00C11DA4" w:rsidRDefault="003F0B9A" w:rsidP="004D235E">
      <w:pPr>
        <w:pStyle w:val="NormalWeb"/>
        <w:shd w:val="clear" w:color="auto" w:fill="FFFFFF"/>
        <w:spacing w:line="276" w:lineRule="auto"/>
        <w:rPr>
          <w:rFonts w:ascii="Arial" w:hAnsi="Arial" w:cs="Arial"/>
          <w:b/>
        </w:rPr>
      </w:pPr>
      <w:r w:rsidRPr="00C11DA4">
        <w:rPr>
          <w:rFonts w:ascii="Arial" w:hAnsi="Arial" w:cs="Arial"/>
          <w:b/>
        </w:rPr>
        <w:t xml:space="preserve">a) </w:t>
      </w:r>
      <w:r w:rsidR="001D73AE" w:rsidRPr="00C11DA4">
        <w:rPr>
          <w:rFonts w:ascii="Arial" w:hAnsi="Arial" w:cs="Arial"/>
          <w:b/>
        </w:rPr>
        <w:t>Contexto</w:t>
      </w:r>
    </w:p>
    <w:p w:rsidR="00F02E30" w:rsidRPr="00C11DA4" w:rsidRDefault="001D73AE" w:rsidP="00F32A85">
      <w:pPr>
        <w:pStyle w:val="NormalWeb"/>
        <w:shd w:val="clear" w:color="auto" w:fill="FFFFFF"/>
        <w:spacing w:line="360" w:lineRule="auto"/>
        <w:jc w:val="both"/>
        <w:rPr>
          <w:rFonts w:ascii="Arial" w:hAnsi="Arial"/>
        </w:rPr>
      </w:pPr>
      <w:r w:rsidRPr="00C11DA4">
        <w:rPr>
          <w:rFonts w:ascii="Arial" w:hAnsi="Arial" w:cs="Arial"/>
        </w:rPr>
        <w:t xml:space="preserve">La actora presentó juicio ciudadano contra </w:t>
      </w:r>
      <w:r w:rsidR="006C6384" w:rsidRPr="00C11DA4">
        <w:rPr>
          <w:rFonts w:ascii="Arial" w:hAnsi="Arial" w:cs="Arial"/>
        </w:rPr>
        <w:t>los</w:t>
      </w:r>
      <w:r w:rsidR="00F32A85" w:rsidRPr="00C11DA4">
        <w:rPr>
          <w:rFonts w:ascii="Arial" w:hAnsi="Arial" w:cs="Arial"/>
        </w:rPr>
        <w:t xml:space="preserve"> integrantes del ayuntamiento </w:t>
      </w:r>
      <w:r w:rsidR="00E82B19" w:rsidRPr="00C11DA4">
        <w:rPr>
          <w:rFonts w:ascii="Arial" w:hAnsi="Arial"/>
        </w:rPr>
        <w:t xml:space="preserve">de San Jacinto Amilpas, Oaxaca por la obstaculización en el desempeño de sus funciones, omisión en el pago de dietas y violencia política de género. </w:t>
      </w:r>
    </w:p>
    <w:p w:rsidR="00E82B19" w:rsidRPr="00C11DA4" w:rsidRDefault="00B472BF" w:rsidP="00F32A85">
      <w:pPr>
        <w:pStyle w:val="NormalWeb"/>
        <w:shd w:val="clear" w:color="auto" w:fill="FFFFFF"/>
        <w:spacing w:line="360" w:lineRule="auto"/>
        <w:jc w:val="both"/>
        <w:rPr>
          <w:rFonts w:ascii="Arial" w:hAnsi="Arial" w:cs="Arial"/>
        </w:rPr>
      </w:pPr>
      <w:r w:rsidRPr="00C11DA4">
        <w:rPr>
          <w:rFonts w:ascii="Arial" w:hAnsi="Arial" w:cs="Arial"/>
        </w:rPr>
        <w:t xml:space="preserve">En su demanda solicitó que las notificaciones </w:t>
      </w:r>
      <w:r w:rsidR="00750898" w:rsidRPr="00C11DA4">
        <w:rPr>
          <w:rFonts w:ascii="Arial" w:hAnsi="Arial" w:cs="Arial"/>
        </w:rPr>
        <w:t xml:space="preserve">de las actuaciones que se realizaran en la tramitación y sustanciación se su medio de impugnación </w:t>
      </w:r>
      <w:r w:rsidRPr="00C11DA4">
        <w:rPr>
          <w:rFonts w:ascii="Arial" w:hAnsi="Arial" w:cs="Arial"/>
        </w:rPr>
        <w:t>se hicieran vía electrónica</w:t>
      </w:r>
      <w:r w:rsidR="00750898" w:rsidRPr="00C11DA4">
        <w:rPr>
          <w:rFonts w:ascii="Arial" w:hAnsi="Arial" w:cs="Arial"/>
        </w:rPr>
        <w:t>, para lo cual señaló un correo electrónico.</w:t>
      </w:r>
    </w:p>
    <w:p w:rsidR="00B472BF" w:rsidRPr="00C11DA4" w:rsidRDefault="00B472BF" w:rsidP="003F0B9A">
      <w:pPr>
        <w:pStyle w:val="NormalWeb"/>
        <w:shd w:val="clear" w:color="auto" w:fill="FFFFFF"/>
        <w:spacing w:line="360" w:lineRule="auto"/>
        <w:rPr>
          <w:rFonts w:ascii="Arial" w:hAnsi="Arial" w:cs="Arial"/>
          <w:b/>
        </w:rPr>
      </w:pPr>
      <w:r w:rsidRPr="00C11DA4">
        <w:rPr>
          <w:rFonts w:ascii="Arial" w:hAnsi="Arial" w:cs="Arial"/>
          <w:b/>
        </w:rPr>
        <w:t>b) Acuerdo impugnado</w:t>
      </w:r>
    </w:p>
    <w:p w:rsidR="00BB26C7" w:rsidRPr="00C11DA4" w:rsidRDefault="00FC458C" w:rsidP="00C06EFD">
      <w:pPr>
        <w:pStyle w:val="NormalWeb"/>
        <w:shd w:val="clear" w:color="auto" w:fill="FFFFFF"/>
        <w:spacing w:line="360" w:lineRule="auto"/>
        <w:jc w:val="both"/>
        <w:rPr>
          <w:rFonts w:ascii="Arial" w:hAnsi="Arial" w:cs="Arial"/>
        </w:rPr>
      </w:pPr>
      <w:r w:rsidRPr="00C11DA4">
        <w:rPr>
          <w:rFonts w:ascii="Arial" w:hAnsi="Arial" w:cs="Arial"/>
        </w:rPr>
        <w:t>Una vez turnado el</w:t>
      </w:r>
      <w:r w:rsidR="00BB26C7" w:rsidRPr="00C11DA4">
        <w:rPr>
          <w:rFonts w:ascii="Arial" w:hAnsi="Arial" w:cs="Arial"/>
        </w:rPr>
        <w:t xml:space="preserve"> asunto a la ponencia de la Magistrada Instructora, </w:t>
      </w:r>
      <w:r w:rsidRPr="00C11DA4">
        <w:rPr>
          <w:rFonts w:ascii="Arial" w:hAnsi="Arial" w:cs="Arial"/>
        </w:rPr>
        <w:t>ésta acordó radicar el asunto en su ponencia</w:t>
      </w:r>
      <w:r w:rsidR="00C06EFD" w:rsidRPr="00C11DA4">
        <w:rPr>
          <w:rFonts w:ascii="Arial" w:hAnsi="Arial" w:cs="Arial"/>
        </w:rPr>
        <w:t>;</w:t>
      </w:r>
      <w:r w:rsidRPr="00C11DA4">
        <w:rPr>
          <w:rFonts w:ascii="Arial" w:hAnsi="Arial" w:cs="Arial"/>
        </w:rPr>
        <w:t xml:space="preserve"> requerir el informe circunstanciado a las autoridades responsables,</w:t>
      </w:r>
      <w:r w:rsidR="00C06EFD" w:rsidRPr="00C11DA4">
        <w:rPr>
          <w:rFonts w:ascii="Arial" w:hAnsi="Arial" w:cs="Arial"/>
        </w:rPr>
        <w:t xml:space="preserve"> y a la actora que precisara un domicilio para recibir notificaciones porque no había </w:t>
      </w:r>
      <w:r w:rsidR="00225B04" w:rsidRPr="00C11DA4">
        <w:rPr>
          <w:rFonts w:ascii="Arial" w:hAnsi="Arial" w:cs="Arial"/>
        </w:rPr>
        <w:t>indicado alguno</w:t>
      </w:r>
      <w:r w:rsidR="00C06EFD" w:rsidRPr="00C11DA4">
        <w:rPr>
          <w:rFonts w:ascii="Arial" w:hAnsi="Arial" w:cs="Arial"/>
        </w:rPr>
        <w:t xml:space="preserve">; asimismo, tuvo por no ha lugar el correo electrónico señalado para esos efectos ya que el Tribunal no contaba con </w:t>
      </w:r>
      <w:r w:rsidR="00382D0A" w:rsidRPr="00C11DA4">
        <w:rPr>
          <w:rFonts w:ascii="Arial" w:hAnsi="Arial" w:cs="Arial"/>
        </w:rPr>
        <w:t xml:space="preserve">un mecanismo de confirmación electrónica avanzada. </w:t>
      </w:r>
    </w:p>
    <w:p w:rsidR="00E37298" w:rsidRPr="00C11DA4" w:rsidRDefault="00382D0A" w:rsidP="003F0B9A">
      <w:pPr>
        <w:pStyle w:val="NormalWeb"/>
        <w:shd w:val="clear" w:color="auto" w:fill="FFFFFF"/>
        <w:spacing w:line="360" w:lineRule="auto"/>
        <w:rPr>
          <w:rFonts w:ascii="Arial" w:hAnsi="Arial" w:cs="Arial"/>
          <w:b/>
        </w:rPr>
      </w:pPr>
      <w:r w:rsidRPr="00C11DA4">
        <w:rPr>
          <w:rFonts w:ascii="Arial" w:hAnsi="Arial" w:cs="Arial"/>
          <w:b/>
        </w:rPr>
        <w:t xml:space="preserve">c) </w:t>
      </w:r>
      <w:r w:rsidR="003F0B9A" w:rsidRPr="00C11DA4">
        <w:rPr>
          <w:rFonts w:ascii="Arial" w:hAnsi="Arial" w:cs="Arial"/>
          <w:b/>
        </w:rPr>
        <w:t xml:space="preserve">Planteamiento </w:t>
      </w:r>
    </w:p>
    <w:p w:rsidR="003F0B9A" w:rsidRPr="00C11DA4" w:rsidRDefault="003F0B9A" w:rsidP="003F0B9A">
      <w:pPr>
        <w:pStyle w:val="NormalWeb"/>
        <w:shd w:val="clear" w:color="auto" w:fill="FFFFFF"/>
        <w:spacing w:line="360" w:lineRule="auto"/>
        <w:jc w:val="both"/>
        <w:rPr>
          <w:rFonts w:ascii="Arial" w:hAnsi="Arial" w:cs="Arial"/>
        </w:rPr>
      </w:pPr>
      <w:r w:rsidRPr="00C11DA4">
        <w:rPr>
          <w:rFonts w:ascii="Arial" w:hAnsi="Arial" w:cs="Arial"/>
        </w:rPr>
        <w:t xml:space="preserve">La actora controvierte la omisión </w:t>
      </w:r>
      <w:r w:rsidR="00B35273" w:rsidRPr="00C11DA4">
        <w:rPr>
          <w:rFonts w:ascii="Arial" w:hAnsi="Arial" w:cs="Arial"/>
        </w:rPr>
        <w:t xml:space="preserve">en que ha incurrido el Tribunal local de emitir la regulación respectiva a las notificaciones electrónicas. </w:t>
      </w:r>
    </w:p>
    <w:p w:rsidR="003F0B9A" w:rsidRPr="00C11DA4" w:rsidRDefault="00F05E74" w:rsidP="003F0B9A">
      <w:pPr>
        <w:pStyle w:val="NormalWeb"/>
        <w:shd w:val="clear" w:color="auto" w:fill="FFFFFF"/>
        <w:spacing w:line="360" w:lineRule="auto"/>
        <w:jc w:val="both"/>
        <w:rPr>
          <w:rFonts w:ascii="Arial" w:hAnsi="Arial" w:cs="Arial"/>
        </w:rPr>
      </w:pPr>
      <w:r w:rsidRPr="00C11DA4">
        <w:rPr>
          <w:rFonts w:ascii="Arial" w:hAnsi="Arial" w:cs="Arial"/>
        </w:rPr>
        <w:t>La promovente aduce que</w:t>
      </w:r>
      <w:r w:rsidR="00A4784A" w:rsidRPr="00C11DA4">
        <w:rPr>
          <w:rFonts w:ascii="Arial" w:hAnsi="Arial" w:cs="Arial"/>
        </w:rPr>
        <w:t xml:space="preserve"> la Magistrada Instructora omitió precisar por qué razón no era procedente acordar las notificaciones electrónicas en el acuerdo de radicación de su demanda local. </w:t>
      </w:r>
    </w:p>
    <w:p w:rsidR="00241A40" w:rsidRPr="00C11DA4" w:rsidRDefault="00241A40" w:rsidP="00241A40">
      <w:pPr>
        <w:pStyle w:val="NormalWeb"/>
        <w:shd w:val="clear" w:color="auto" w:fill="FFFFFF"/>
        <w:spacing w:line="360" w:lineRule="auto"/>
        <w:jc w:val="both"/>
        <w:rPr>
          <w:rFonts w:ascii="Arial" w:hAnsi="Arial" w:cs="Arial"/>
        </w:rPr>
      </w:pPr>
      <w:r w:rsidRPr="00C11DA4">
        <w:rPr>
          <w:rFonts w:ascii="Arial" w:hAnsi="Arial" w:cs="Arial"/>
        </w:rPr>
        <w:t xml:space="preserve">De igual forma, aduce que es necesario que se implemente ese mecanismo dada la contingencia sanitaria en el país a partir de la pandemia del virus denominado COVID-19 (CORONOAVIRUS) que ha afectado el funcionamiento de las instituciones y el desplazamiento de las personas en todos los ámbitos, por lo que la omisión tendría una afectación general.  </w:t>
      </w:r>
    </w:p>
    <w:p w:rsidR="00382D0A" w:rsidRPr="00C11DA4" w:rsidRDefault="00382D0A" w:rsidP="003F0B9A">
      <w:pPr>
        <w:pStyle w:val="NormalWeb"/>
        <w:shd w:val="clear" w:color="auto" w:fill="FFFFFF"/>
        <w:spacing w:line="360" w:lineRule="auto"/>
        <w:jc w:val="both"/>
        <w:rPr>
          <w:rFonts w:ascii="Arial" w:hAnsi="Arial" w:cs="Arial"/>
          <w:b/>
        </w:rPr>
      </w:pPr>
      <w:r w:rsidRPr="00C11DA4">
        <w:rPr>
          <w:rFonts w:ascii="Arial" w:hAnsi="Arial" w:cs="Arial"/>
          <w:b/>
        </w:rPr>
        <w:t>d) Materia de la controversia</w:t>
      </w:r>
    </w:p>
    <w:p w:rsidR="00382D0A" w:rsidRPr="00C11DA4" w:rsidRDefault="00382D0A" w:rsidP="003F0B9A">
      <w:pPr>
        <w:pStyle w:val="NormalWeb"/>
        <w:shd w:val="clear" w:color="auto" w:fill="FFFFFF"/>
        <w:spacing w:line="360" w:lineRule="auto"/>
        <w:jc w:val="both"/>
        <w:rPr>
          <w:rFonts w:ascii="Arial" w:hAnsi="Arial" w:cs="Arial"/>
        </w:rPr>
      </w:pPr>
      <w:r w:rsidRPr="00C11DA4">
        <w:rPr>
          <w:rFonts w:ascii="Arial" w:hAnsi="Arial" w:cs="Arial"/>
        </w:rPr>
        <w:t xml:space="preserve">Por tanto, la </w:t>
      </w:r>
      <w:r w:rsidRPr="00C11DA4">
        <w:rPr>
          <w:rFonts w:ascii="Arial" w:hAnsi="Arial" w:cs="Arial"/>
          <w:i/>
        </w:rPr>
        <w:t xml:space="preserve">litis </w:t>
      </w:r>
      <w:r w:rsidRPr="00C11DA4">
        <w:rPr>
          <w:rFonts w:ascii="Arial" w:hAnsi="Arial" w:cs="Arial"/>
        </w:rPr>
        <w:t>en el asunto se circunscribe en determinar si el Tribun</w:t>
      </w:r>
      <w:r w:rsidR="004F39F3" w:rsidRPr="00C11DA4">
        <w:rPr>
          <w:rFonts w:ascii="Arial" w:hAnsi="Arial" w:cs="Arial"/>
        </w:rPr>
        <w:t xml:space="preserve">al </w:t>
      </w:r>
      <w:r w:rsidR="00750898" w:rsidRPr="00C11DA4">
        <w:rPr>
          <w:rFonts w:ascii="Arial" w:hAnsi="Arial" w:cs="Arial"/>
        </w:rPr>
        <w:t xml:space="preserve">local </w:t>
      </w:r>
      <w:r w:rsidR="004F39F3" w:rsidRPr="00C11DA4">
        <w:rPr>
          <w:rFonts w:ascii="Arial" w:hAnsi="Arial" w:cs="Arial"/>
        </w:rPr>
        <w:t xml:space="preserve">ha incurrido en una omisión y, por tanto, debe regular lo relativo a las notificaciones electrónicas. </w:t>
      </w:r>
    </w:p>
    <w:p w:rsidR="00024C52" w:rsidRPr="00C11DA4" w:rsidRDefault="00024C52" w:rsidP="00A9556E">
      <w:pPr>
        <w:pStyle w:val="NormalWeb"/>
        <w:shd w:val="clear" w:color="auto" w:fill="FFFFFF"/>
        <w:spacing w:line="360" w:lineRule="auto"/>
        <w:jc w:val="both"/>
        <w:outlineLvl w:val="1"/>
        <w:rPr>
          <w:rFonts w:ascii="Arial" w:hAnsi="Arial" w:cs="Arial"/>
          <w:b/>
        </w:rPr>
      </w:pPr>
      <w:bookmarkStart w:id="14" w:name="_Toc37945909"/>
      <w:r w:rsidRPr="00C11DA4">
        <w:rPr>
          <w:rFonts w:ascii="Arial" w:hAnsi="Arial" w:cs="Arial"/>
          <w:b/>
        </w:rPr>
        <w:t>II.</w:t>
      </w:r>
      <w:r w:rsidR="005A6F6C" w:rsidRPr="00C11DA4">
        <w:rPr>
          <w:rFonts w:ascii="Arial" w:hAnsi="Arial" w:cs="Arial"/>
          <w:b/>
        </w:rPr>
        <w:t xml:space="preserve"> </w:t>
      </w:r>
      <w:r w:rsidRPr="00C11DA4">
        <w:rPr>
          <w:rFonts w:ascii="Arial" w:hAnsi="Arial" w:cs="Arial"/>
          <w:b/>
        </w:rPr>
        <w:t>Decisión</w:t>
      </w:r>
      <w:bookmarkEnd w:id="14"/>
      <w:r w:rsidRPr="00C11DA4">
        <w:rPr>
          <w:rFonts w:ascii="Arial" w:hAnsi="Arial" w:cs="Arial"/>
          <w:b/>
        </w:rPr>
        <w:t xml:space="preserve"> </w:t>
      </w:r>
    </w:p>
    <w:p w:rsidR="00024C52" w:rsidRPr="00C11DA4" w:rsidRDefault="005A6F6C" w:rsidP="00FB4278">
      <w:pPr>
        <w:pStyle w:val="NormalWeb"/>
        <w:shd w:val="clear" w:color="auto" w:fill="FFFFFF"/>
        <w:spacing w:line="360" w:lineRule="auto"/>
        <w:jc w:val="both"/>
        <w:rPr>
          <w:rFonts w:ascii="Arial" w:hAnsi="Arial" w:cs="Arial"/>
        </w:rPr>
      </w:pPr>
      <w:r w:rsidRPr="00C11DA4">
        <w:rPr>
          <w:rFonts w:ascii="Arial" w:hAnsi="Arial" w:cs="Arial"/>
        </w:rPr>
        <w:t xml:space="preserve">Esta Sala Superior considera que </w:t>
      </w:r>
      <w:r w:rsidR="009A40B8" w:rsidRPr="00C11DA4">
        <w:rPr>
          <w:rFonts w:ascii="Arial" w:hAnsi="Arial" w:cs="Arial"/>
        </w:rPr>
        <w:t xml:space="preserve">es </w:t>
      </w:r>
      <w:r w:rsidR="009A40B8" w:rsidRPr="00C11DA4">
        <w:rPr>
          <w:rFonts w:ascii="Arial" w:hAnsi="Arial" w:cs="Arial"/>
          <w:b/>
        </w:rPr>
        <w:t xml:space="preserve">fundado </w:t>
      </w:r>
      <w:r w:rsidR="009A40B8" w:rsidRPr="00C11DA4">
        <w:rPr>
          <w:rFonts w:ascii="Arial" w:hAnsi="Arial" w:cs="Arial"/>
        </w:rPr>
        <w:t xml:space="preserve">el agravio relativo a la </w:t>
      </w:r>
      <w:r w:rsidR="004C0EA9" w:rsidRPr="00C11DA4">
        <w:rPr>
          <w:rFonts w:ascii="Arial" w:hAnsi="Arial" w:cs="Arial"/>
        </w:rPr>
        <w:t xml:space="preserve">omisión de regular </w:t>
      </w:r>
      <w:r w:rsidR="00C35727" w:rsidRPr="00C11DA4">
        <w:rPr>
          <w:rFonts w:ascii="Arial" w:hAnsi="Arial" w:cs="Arial"/>
        </w:rPr>
        <w:t>las notificaciones electrónicas de las actuaciones judiciales que realiza el Tribunal local</w:t>
      </w:r>
      <w:r w:rsidR="00605C76" w:rsidRPr="00C11DA4">
        <w:rPr>
          <w:rFonts w:ascii="Arial" w:hAnsi="Arial" w:cs="Arial"/>
        </w:rPr>
        <w:t xml:space="preserve">, </w:t>
      </w:r>
      <w:r w:rsidR="004C659F" w:rsidRPr="00C11DA4">
        <w:rPr>
          <w:rFonts w:ascii="Arial" w:hAnsi="Arial" w:cs="Arial"/>
        </w:rPr>
        <w:t>pues aunado a que ha sido omiso en emitir la</w:t>
      </w:r>
      <w:r w:rsidR="00FB4278" w:rsidRPr="00C11DA4">
        <w:rPr>
          <w:rFonts w:ascii="Arial" w:hAnsi="Arial" w:cs="Arial"/>
        </w:rPr>
        <w:t xml:space="preserve">s normas que le den operatividad a ello no obstante estar previsto en la Ley de Medios local, coloca en una situación de riesgo a la salud </w:t>
      </w:r>
      <w:r w:rsidR="00D1402F" w:rsidRPr="00C11DA4">
        <w:rPr>
          <w:rFonts w:ascii="Arial" w:hAnsi="Arial" w:cs="Arial"/>
        </w:rPr>
        <w:t xml:space="preserve">tanto de </w:t>
      </w:r>
      <w:r w:rsidR="004C659F" w:rsidRPr="00C11DA4">
        <w:rPr>
          <w:rFonts w:ascii="Arial" w:hAnsi="Arial" w:cs="Arial"/>
        </w:rPr>
        <w:t xml:space="preserve">la actora como la </w:t>
      </w:r>
      <w:r w:rsidR="00D1402F" w:rsidRPr="00C11DA4">
        <w:rPr>
          <w:rFonts w:ascii="Arial" w:hAnsi="Arial" w:cs="Arial"/>
        </w:rPr>
        <w:t>del personal jurisdiccional</w:t>
      </w:r>
      <w:r w:rsidR="004C659F" w:rsidRPr="00C11DA4">
        <w:rPr>
          <w:rFonts w:ascii="Arial" w:hAnsi="Arial" w:cs="Arial"/>
        </w:rPr>
        <w:t xml:space="preserve"> y de los justiciables en general. </w:t>
      </w:r>
    </w:p>
    <w:p w:rsidR="00B168D4" w:rsidRPr="00C11DA4" w:rsidRDefault="006F18C5" w:rsidP="00FB4278">
      <w:pPr>
        <w:pStyle w:val="NormalWeb"/>
        <w:shd w:val="clear" w:color="auto" w:fill="FFFFFF"/>
        <w:spacing w:line="360" w:lineRule="auto"/>
        <w:jc w:val="both"/>
        <w:rPr>
          <w:rFonts w:ascii="Arial" w:hAnsi="Arial" w:cs="Arial"/>
        </w:rPr>
      </w:pPr>
      <w:r w:rsidRPr="00C11DA4">
        <w:rPr>
          <w:rFonts w:ascii="Arial" w:hAnsi="Arial" w:cs="Arial"/>
        </w:rPr>
        <w:t xml:space="preserve">Por lo cual la omisión alegada resulta violatoria del derecho humano a la salud y por eso se considera prioritario que el Tribunal local emita la regulación correspondiente. </w:t>
      </w:r>
    </w:p>
    <w:p w:rsidR="008F596F" w:rsidRPr="00C11DA4" w:rsidRDefault="00C65CDF" w:rsidP="00A9556E">
      <w:pPr>
        <w:pStyle w:val="NormalWeb"/>
        <w:shd w:val="clear" w:color="auto" w:fill="FFFFFF"/>
        <w:spacing w:line="360" w:lineRule="auto"/>
        <w:jc w:val="both"/>
        <w:outlineLvl w:val="1"/>
        <w:rPr>
          <w:rFonts w:ascii="Arial" w:hAnsi="Arial" w:cs="Arial"/>
          <w:b/>
        </w:rPr>
      </w:pPr>
      <w:bookmarkStart w:id="15" w:name="_Toc37945910"/>
      <w:r w:rsidRPr="00C11DA4">
        <w:rPr>
          <w:rFonts w:ascii="Arial" w:hAnsi="Arial" w:cs="Arial"/>
          <w:b/>
        </w:rPr>
        <w:t>III. Justificación</w:t>
      </w:r>
      <w:bookmarkEnd w:id="15"/>
      <w:r w:rsidRPr="00C11DA4">
        <w:rPr>
          <w:rFonts w:ascii="Arial" w:hAnsi="Arial" w:cs="Arial"/>
          <w:b/>
        </w:rPr>
        <w:t xml:space="preserve"> </w:t>
      </w:r>
    </w:p>
    <w:p w:rsidR="00D36906" w:rsidRPr="00C11DA4" w:rsidRDefault="00D36906" w:rsidP="00A9556E">
      <w:pPr>
        <w:pStyle w:val="NormalWeb"/>
        <w:shd w:val="clear" w:color="auto" w:fill="FFFFFF"/>
        <w:spacing w:line="360" w:lineRule="auto"/>
        <w:jc w:val="both"/>
        <w:outlineLvl w:val="2"/>
        <w:rPr>
          <w:rFonts w:ascii="Arial" w:hAnsi="Arial" w:cs="Arial"/>
          <w:b/>
        </w:rPr>
      </w:pPr>
      <w:bookmarkStart w:id="16" w:name="_Toc37945911"/>
      <w:r w:rsidRPr="00C11DA4">
        <w:rPr>
          <w:rFonts w:ascii="Arial" w:hAnsi="Arial" w:cs="Arial"/>
          <w:b/>
        </w:rPr>
        <w:t>a) Marco normativo en torno a las notificaciones electrónicas</w:t>
      </w:r>
      <w:bookmarkEnd w:id="16"/>
    </w:p>
    <w:p w:rsidR="00BB4AA9" w:rsidRPr="00C11DA4" w:rsidRDefault="00E916B6" w:rsidP="003F0B9A">
      <w:pPr>
        <w:pStyle w:val="NormalWeb"/>
        <w:shd w:val="clear" w:color="auto" w:fill="FFFFFF"/>
        <w:spacing w:line="360" w:lineRule="auto"/>
        <w:jc w:val="both"/>
        <w:rPr>
          <w:rFonts w:ascii="Arial" w:hAnsi="Arial" w:cs="Arial"/>
        </w:rPr>
      </w:pPr>
      <w:r w:rsidRPr="00C11DA4">
        <w:rPr>
          <w:rFonts w:ascii="Arial" w:hAnsi="Arial" w:cs="Arial"/>
        </w:rPr>
        <w:t xml:space="preserve">El artículo 17 de la Constitución </w:t>
      </w:r>
      <w:r w:rsidR="001925F0" w:rsidRPr="00C11DA4">
        <w:rPr>
          <w:rFonts w:ascii="Arial" w:hAnsi="Arial" w:cs="Arial"/>
        </w:rPr>
        <w:t xml:space="preserve">establece el derecho humano de acceder a una justicia expedita impartida por los tribunales </w:t>
      </w:r>
      <w:r w:rsidR="00A33ABD" w:rsidRPr="00C11DA4">
        <w:rPr>
          <w:rFonts w:ascii="Arial" w:hAnsi="Arial" w:cs="Arial"/>
        </w:rPr>
        <w:t xml:space="preserve">de manera pronta, completa e imparcial, de forma gratuita. </w:t>
      </w:r>
      <w:r w:rsidR="006F18C5" w:rsidRPr="00C11DA4">
        <w:rPr>
          <w:rFonts w:ascii="Arial" w:hAnsi="Arial" w:cs="Arial"/>
        </w:rPr>
        <w:t xml:space="preserve">     </w:t>
      </w:r>
    </w:p>
    <w:p w:rsidR="00A33ABD" w:rsidRPr="00C11DA4" w:rsidRDefault="00F811BD" w:rsidP="003F0B9A">
      <w:pPr>
        <w:pStyle w:val="NormalWeb"/>
        <w:shd w:val="clear" w:color="auto" w:fill="FFFFFF"/>
        <w:spacing w:line="360" w:lineRule="auto"/>
        <w:jc w:val="both"/>
        <w:rPr>
          <w:rFonts w:ascii="Arial" w:hAnsi="Arial" w:cs="Arial"/>
        </w:rPr>
      </w:pPr>
      <w:r w:rsidRPr="00C11DA4">
        <w:rPr>
          <w:rFonts w:ascii="Arial" w:hAnsi="Arial" w:cs="Arial"/>
        </w:rPr>
        <w:t xml:space="preserve">Además, la Constitución </w:t>
      </w:r>
      <w:r w:rsidR="005915F7" w:rsidRPr="00C11DA4">
        <w:rPr>
          <w:rFonts w:ascii="Arial" w:hAnsi="Arial" w:cs="Arial"/>
        </w:rPr>
        <w:t xml:space="preserve">garantiza </w:t>
      </w:r>
      <w:r w:rsidR="002404BA" w:rsidRPr="00C11DA4">
        <w:rPr>
          <w:rFonts w:ascii="Arial" w:hAnsi="Arial" w:cs="Arial"/>
        </w:rPr>
        <w:t xml:space="preserve">en su artículo 3, </w:t>
      </w:r>
      <w:r w:rsidR="00177E5C" w:rsidRPr="00C11DA4">
        <w:rPr>
          <w:rFonts w:ascii="Arial" w:hAnsi="Arial" w:cs="Arial"/>
        </w:rPr>
        <w:t>fracción V</w:t>
      </w:r>
      <w:r w:rsidR="00466090" w:rsidRPr="00C11DA4">
        <w:rPr>
          <w:rStyle w:val="Refdenotaalpie"/>
          <w:rFonts w:ascii="Arial" w:hAnsi="Arial" w:cs="Arial"/>
        </w:rPr>
        <w:footnoteReference w:id="10"/>
      </w:r>
      <w:r w:rsidR="00177E5C" w:rsidRPr="00C11DA4">
        <w:rPr>
          <w:rFonts w:ascii="Arial" w:hAnsi="Arial" w:cs="Arial"/>
        </w:rPr>
        <w:t>, así como e</w:t>
      </w:r>
      <w:r w:rsidR="00466090" w:rsidRPr="00C11DA4">
        <w:rPr>
          <w:rFonts w:ascii="Arial" w:hAnsi="Arial" w:cs="Arial"/>
        </w:rPr>
        <w:t>n el artículo 6, párrafo tercero</w:t>
      </w:r>
      <w:r w:rsidR="00466090" w:rsidRPr="00C11DA4">
        <w:rPr>
          <w:rStyle w:val="Refdenotaalpie"/>
          <w:rFonts w:ascii="Arial" w:hAnsi="Arial" w:cs="Arial"/>
        </w:rPr>
        <w:footnoteReference w:id="11"/>
      </w:r>
      <w:r w:rsidR="00466090" w:rsidRPr="00C11DA4">
        <w:rPr>
          <w:rFonts w:ascii="Arial" w:hAnsi="Arial" w:cs="Arial"/>
        </w:rPr>
        <w:t xml:space="preserve">, el derecho humano de acceso a las tecnologías de la información y comunicación. </w:t>
      </w:r>
      <w:r w:rsidRPr="00C11DA4">
        <w:rPr>
          <w:rFonts w:ascii="Arial" w:hAnsi="Arial" w:cs="Arial"/>
        </w:rPr>
        <w:t xml:space="preserve"> </w:t>
      </w:r>
    </w:p>
    <w:p w:rsidR="00D36906" w:rsidRPr="00C11DA4" w:rsidRDefault="009B5ED2" w:rsidP="003F0B9A">
      <w:pPr>
        <w:pStyle w:val="NormalWeb"/>
        <w:shd w:val="clear" w:color="auto" w:fill="FFFFFF"/>
        <w:spacing w:line="360" w:lineRule="auto"/>
        <w:jc w:val="both"/>
        <w:rPr>
          <w:rFonts w:ascii="Arial" w:hAnsi="Arial" w:cs="Arial"/>
        </w:rPr>
      </w:pPr>
      <w:r w:rsidRPr="00C11DA4">
        <w:rPr>
          <w:rFonts w:ascii="Arial" w:hAnsi="Arial" w:cs="Arial"/>
        </w:rPr>
        <w:t xml:space="preserve">Asimismo, la Constitución del Estado de Oaxaca </w:t>
      </w:r>
      <w:r w:rsidR="00087E88" w:rsidRPr="00C11DA4">
        <w:rPr>
          <w:rFonts w:ascii="Arial" w:hAnsi="Arial" w:cs="Arial"/>
        </w:rPr>
        <w:t>en el artículo 3, p</w:t>
      </w:r>
      <w:r w:rsidR="00B234FC" w:rsidRPr="00C11DA4">
        <w:rPr>
          <w:rFonts w:ascii="Arial" w:hAnsi="Arial" w:cs="Arial"/>
        </w:rPr>
        <w:t xml:space="preserve">árrafo séptimo, señala que </w:t>
      </w:r>
      <w:r w:rsidR="00E041D6" w:rsidRPr="00C11DA4">
        <w:rPr>
          <w:rFonts w:ascii="Arial" w:hAnsi="Arial" w:cs="Arial"/>
        </w:rPr>
        <w:t xml:space="preserve">el Estado </w:t>
      </w:r>
      <w:r w:rsidR="00234AE8" w:rsidRPr="00C11DA4">
        <w:rPr>
          <w:rFonts w:ascii="Arial" w:hAnsi="Arial" w:cs="Arial"/>
        </w:rPr>
        <w:t>garantizará y fomentará el derecho de acceso a las tecnologías de la información.</w:t>
      </w:r>
    </w:p>
    <w:p w:rsidR="00F7791E" w:rsidRPr="00C11DA4" w:rsidRDefault="00C273D3" w:rsidP="003F0B9A">
      <w:pPr>
        <w:pStyle w:val="NormalWeb"/>
        <w:shd w:val="clear" w:color="auto" w:fill="FFFFFF"/>
        <w:spacing w:line="360" w:lineRule="auto"/>
        <w:jc w:val="both"/>
        <w:rPr>
          <w:rFonts w:ascii="Arial" w:hAnsi="Arial" w:cs="Arial"/>
        </w:rPr>
      </w:pPr>
      <w:r w:rsidRPr="00C11DA4">
        <w:rPr>
          <w:rFonts w:ascii="Arial" w:hAnsi="Arial" w:cs="Arial"/>
        </w:rPr>
        <w:t xml:space="preserve">Así, </w:t>
      </w:r>
      <w:r w:rsidR="007E54BF" w:rsidRPr="00C11DA4">
        <w:rPr>
          <w:rFonts w:ascii="Arial" w:hAnsi="Arial" w:cs="Arial"/>
        </w:rPr>
        <w:t xml:space="preserve">tanto la Constitución Federal como la local garantizan por un lado el derecho a la justicia expedita y, por otro, el </w:t>
      </w:r>
      <w:r w:rsidR="003B1EFD" w:rsidRPr="00C11DA4">
        <w:rPr>
          <w:rFonts w:ascii="Arial" w:hAnsi="Arial" w:cs="Arial"/>
        </w:rPr>
        <w:t>acceso a tecnologías de la información, lo que obliga a las autoridades a utilizar estas herramientas para lograr que</w:t>
      </w:r>
      <w:r w:rsidR="00C526C0" w:rsidRPr="00C11DA4">
        <w:rPr>
          <w:rFonts w:ascii="Arial" w:hAnsi="Arial" w:cs="Arial"/>
        </w:rPr>
        <w:t xml:space="preserve"> </w:t>
      </w:r>
      <w:r w:rsidR="003B1EFD" w:rsidRPr="00C11DA4">
        <w:rPr>
          <w:rFonts w:ascii="Arial" w:hAnsi="Arial" w:cs="Arial"/>
        </w:rPr>
        <w:t xml:space="preserve">los juicios se desarrollen con </w:t>
      </w:r>
      <w:r w:rsidR="006F25AD" w:rsidRPr="00C11DA4">
        <w:rPr>
          <w:rFonts w:ascii="Arial" w:hAnsi="Arial" w:cs="Arial"/>
        </w:rPr>
        <w:t xml:space="preserve">la expedites requerida.  </w:t>
      </w:r>
    </w:p>
    <w:p w:rsidR="008E0121" w:rsidRPr="00C11DA4" w:rsidRDefault="00C364F7" w:rsidP="003F0B9A">
      <w:pPr>
        <w:pStyle w:val="NormalWeb"/>
        <w:shd w:val="clear" w:color="auto" w:fill="FFFFFF"/>
        <w:spacing w:line="360" w:lineRule="auto"/>
        <w:jc w:val="both"/>
        <w:rPr>
          <w:rFonts w:ascii="Arial" w:hAnsi="Arial" w:cs="Arial"/>
        </w:rPr>
      </w:pPr>
      <w:r w:rsidRPr="00C11DA4">
        <w:rPr>
          <w:rFonts w:ascii="Arial" w:hAnsi="Arial" w:cs="Arial"/>
        </w:rPr>
        <w:t xml:space="preserve">En ese sentido, la Ley de Medios </w:t>
      </w:r>
      <w:r w:rsidR="00721DB9" w:rsidRPr="00C11DA4">
        <w:rPr>
          <w:rFonts w:ascii="Arial" w:hAnsi="Arial" w:cs="Arial"/>
        </w:rPr>
        <w:t>local prevé en el artículo 9, numeral 3</w:t>
      </w:r>
      <w:r w:rsidR="00E430FC" w:rsidRPr="00C11DA4">
        <w:rPr>
          <w:rStyle w:val="Refdenotaalpie"/>
          <w:rFonts w:ascii="Arial" w:hAnsi="Arial" w:cs="Arial"/>
        </w:rPr>
        <w:footnoteReference w:id="12"/>
      </w:r>
      <w:r w:rsidR="00721DB9" w:rsidRPr="00C11DA4">
        <w:rPr>
          <w:rFonts w:ascii="Arial" w:hAnsi="Arial" w:cs="Arial"/>
        </w:rPr>
        <w:t xml:space="preserve">, </w:t>
      </w:r>
      <w:r w:rsidR="00F07B32" w:rsidRPr="00C11DA4">
        <w:rPr>
          <w:rFonts w:ascii="Arial" w:hAnsi="Arial" w:cs="Arial"/>
        </w:rPr>
        <w:t xml:space="preserve">que </w:t>
      </w:r>
      <w:r w:rsidR="007C53C7" w:rsidRPr="00C11DA4">
        <w:rPr>
          <w:rFonts w:ascii="Arial" w:hAnsi="Arial" w:cs="Arial"/>
        </w:rPr>
        <w:t>las partes pueden solicitar la notificación electrónica de las ac</w:t>
      </w:r>
      <w:r w:rsidR="00E430FC" w:rsidRPr="00C11DA4">
        <w:rPr>
          <w:rFonts w:ascii="Arial" w:hAnsi="Arial" w:cs="Arial"/>
        </w:rPr>
        <w:t>tuaciones judiciales</w:t>
      </w:r>
      <w:r w:rsidR="006E18F7" w:rsidRPr="00C11DA4">
        <w:rPr>
          <w:rFonts w:ascii="Arial" w:hAnsi="Arial" w:cs="Arial"/>
        </w:rPr>
        <w:t>,</w:t>
      </w:r>
      <w:r w:rsidR="00E430FC" w:rsidRPr="00C11DA4">
        <w:rPr>
          <w:rFonts w:ascii="Arial" w:hAnsi="Arial" w:cs="Arial"/>
        </w:rPr>
        <w:t xml:space="preserve"> y para ello el Tribunal </w:t>
      </w:r>
      <w:r w:rsidR="00750898" w:rsidRPr="00C11DA4">
        <w:rPr>
          <w:rFonts w:ascii="Arial" w:hAnsi="Arial" w:cs="Arial"/>
        </w:rPr>
        <w:t xml:space="preserve">local </w:t>
      </w:r>
      <w:r w:rsidR="00E430FC" w:rsidRPr="00C11DA4">
        <w:rPr>
          <w:rFonts w:ascii="Arial" w:hAnsi="Arial" w:cs="Arial"/>
        </w:rPr>
        <w:t xml:space="preserve">debe proveer un certificado </w:t>
      </w:r>
      <w:r w:rsidR="008A46D8" w:rsidRPr="00C11DA4">
        <w:rPr>
          <w:rFonts w:ascii="Arial" w:hAnsi="Arial" w:cs="Arial"/>
        </w:rPr>
        <w:t>de firma electrónica avanzada</w:t>
      </w:r>
      <w:r w:rsidR="00691ED6" w:rsidRPr="00C11DA4">
        <w:rPr>
          <w:rFonts w:ascii="Arial" w:hAnsi="Arial" w:cs="Arial"/>
        </w:rPr>
        <w:t xml:space="preserve">; asimismo, </w:t>
      </w:r>
      <w:r w:rsidR="009A63E7" w:rsidRPr="00C11DA4">
        <w:rPr>
          <w:rFonts w:ascii="Arial" w:hAnsi="Arial" w:cs="Arial"/>
        </w:rPr>
        <w:t>las</w:t>
      </w:r>
      <w:r w:rsidR="008A46D8" w:rsidRPr="00C11DA4">
        <w:rPr>
          <w:rFonts w:ascii="Arial" w:hAnsi="Arial" w:cs="Arial"/>
        </w:rPr>
        <w:t xml:space="preserve"> partes </w:t>
      </w:r>
      <w:r w:rsidR="00691ED6" w:rsidRPr="00C11DA4">
        <w:rPr>
          <w:rFonts w:ascii="Arial" w:hAnsi="Arial" w:cs="Arial"/>
        </w:rPr>
        <w:t>proporcionarán</w:t>
      </w:r>
      <w:r w:rsidR="008A46D8" w:rsidRPr="00C11DA4">
        <w:rPr>
          <w:rFonts w:ascii="Arial" w:hAnsi="Arial" w:cs="Arial"/>
        </w:rPr>
        <w:t xml:space="preserve"> dirección de correo electrónico que cuente con mecanismos de confirmación de los envíos de las notificaciones.</w:t>
      </w:r>
    </w:p>
    <w:p w:rsidR="00A8196E" w:rsidRPr="00C11DA4" w:rsidRDefault="00A8196E" w:rsidP="003F0B9A">
      <w:pPr>
        <w:pStyle w:val="NormalWeb"/>
        <w:shd w:val="clear" w:color="auto" w:fill="FFFFFF"/>
        <w:spacing w:line="360" w:lineRule="auto"/>
        <w:jc w:val="both"/>
        <w:rPr>
          <w:rFonts w:ascii="Arial" w:hAnsi="Arial" w:cs="Arial"/>
        </w:rPr>
      </w:pPr>
      <w:r w:rsidRPr="00C11DA4">
        <w:rPr>
          <w:rFonts w:ascii="Arial" w:hAnsi="Arial" w:cs="Arial"/>
        </w:rPr>
        <w:t xml:space="preserve">Igualmente, </w:t>
      </w:r>
      <w:r w:rsidR="00411D48" w:rsidRPr="00C11DA4">
        <w:rPr>
          <w:rFonts w:ascii="Arial" w:hAnsi="Arial" w:cs="Arial"/>
        </w:rPr>
        <w:t>los artículos</w:t>
      </w:r>
      <w:r w:rsidR="00A475DA" w:rsidRPr="00C11DA4">
        <w:rPr>
          <w:rFonts w:ascii="Arial" w:hAnsi="Arial" w:cs="Arial"/>
        </w:rPr>
        <w:t xml:space="preserve"> 26</w:t>
      </w:r>
      <w:r w:rsidR="00411D48" w:rsidRPr="00C11DA4">
        <w:rPr>
          <w:rFonts w:ascii="Arial" w:hAnsi="Arial" w:cs="Arial"/>
        </w:rPr>
        <w:t xml:space="preserve"> y 93</w:t>
      </w:r>
      <w:r w:rsidR="00811D27" w:rsidRPr="00C11DA4">
        <w:rPr>
          <w:rStyle w:val="Refdenotaalpie"/>
          <w:rFonts w:ascii="Arial" w:hAnsi="Arial" w:cs="Arial"/>
        </w:rPr>
        <w:footnoteReference w:id="13"/>
      </w:r>
      <w:r w:rsidR="00A475DA" w:rsidRPr="00C11DA4">
        <w:rPr>
          <w:rFonts w:ascii="Arial" w:hAnsi="Arial" w:cs="Arial"/>
        </w:rPr>
        <w:t xml:space="preserve"> de la ley señala</w:t>
      </w:r>
      <w:r w:rsidR="00411D48" w:rsidRPr="00C11DA4">
        <w:rPr>
          <w:rFonts w:ascii="Arial" w:hAnsi="Arial" w:cs="Arial"/>
        </w:rPr>
        <w:t>n</w:t>
      </w:r>
      <w:r w:rsidR="00A475DA" w:rsidRPr="00C11DA4">
        <w:rPr>
          <w:rFonts w:ascii="Arial" w:hAnsi="Arial" w:cs="Arial"/>
        </w:rPr>
        <w:t xml:space="preserve"> que las notificaciones se pueden realizar </w:t>
      </w:r>
      <w:r w:rsidR="006541CE" w:rsidRPr="00C11DA4">
        <w:rPr>
          <w:rFonts w:ascii="Arial" w:hAnsi="Arial" w:cs="Arial"/>
        </w:rPr>
        <w:t xml:space="preserve">por correo electrónico </w:t>
      </w:r>
      <w:r w:rsidR="0043211B" w:rsidRPr="00C11DA4">
        <w:rPr>
          <w:rFonts w:ascii="Arial" w:hAnsi="Arial" w:cs="Arial"/>
        </w:rPr>
        <w:t>según se requiera para la eficacia de la resolución</w:t>
      </w:r>
      <w:r w:rsidR="008D58BC" w:rsidRPr="00C11DA4">
        <w:rPr>
          <w:rFonts w:ascii="Arial" w:hAnsi="Arial" w:cs="Arial"/>
        </w:rPr>
        <w:t>, y el 29</w:t>
      </w:r>
      <w:r w:rsidR="00B06DFA" w:rsidRPr="00C11DA4">
        <w:rPr>
          <w:rStyle w:val="Refdenotaalpie"/>
          <w:rFonts w:ascii="Arial" w:hAnsi="Arial" w:cs="Arial"/>
        </w:rPr>
        <w:footnoteReference w:id="14"/>
      </w:r>
      <w:r w:rsidR="008D58BC" w:rsidRPr="00C11DA4">
        <w:rPr>
          <w:rFonts w:ascii="Arial" w:hAnsi="Arial" w:cs="Arial"/>
        </w:rPr>
        <w:t xml:space="preserve"> en su último párrafo indica que este tipo de notificaciones surten efectos a</w:t>
      </w:r>
      <w:r w:rsidR="000D6819" w:rsidRPr="00C11DA4">
        <w:rPr>
          <w:rFonts w:ascii="Arial" w:hAnsi="Arial" w:cs="Arial"/>
        </w:rPr>
        <w:t xml:space="preserve"> partir de que se tenga constancia de su recepción o que se cuente con el </w:t>
      </w:r>
      <w:r w:rsidR="000327E0" w:rsidRPr="00C11DA4">
        <w:rPr>
          <w:rFonts w:ascii="Arial" w:hAnsi="Arial" w:cs="Arial"/>
        </w:rPr>
        <w:t xml:space="preserve">acuse de recibo correspondiente. </w:t>
      </w:r>
    </w:p>
    <w:p w:rsidR="00DF3326" w:rsidRPr="00C11DA4" w:rsidRDefault="00691ED6" w:rsidP="003F0B9A">
      <w:pPr>
        <w:pStyle w:val="NormalWeb"/>
        <w:shd w:val="clear" w:color="auto" w:fill="FFFFFF"/>
        <w:spacing w:line="360" w:lineRule="auto"/>
        <w:jc w:val="both"/>
        <w:rPr>
          <w:rFonts w:ascii="Arial" w:hAnsi="Arial" w:cs="Arial"/>
        </w:rPr>
      </w:pPr>
      <w:r w:rsidRPr="00C11DA4">
        <w:rPr>
          <w:rFonts w:ascii="Arial" w:hAnsi="Arial" w:cs="Arial"/>
        </w:rPr>
        <w:t>A</w:t>
      </w:r>
      <w:r w:rsidR="008F596F" w:rsidRPr="00C11DA4">
        <w:rPr>
          <w:rFonts w:ascii="Arial" w:hAnsi="Arial" w:cs="Arial"/>
        </w:rPr>
        <w:t xml:space="preserve"> nivel federal, </w:t>
      </w:r>
      <w:r w:rsidR="00EC23C8" w:rsidRPr="00C11DA4">
        <w:rPr>
          <w:rFonts w:ascii="Arial" w:hAnsi="Arial" w:cs="Arial"/>
        </w:rPr>
        <w:t>la</w:t>
      </w:r>
      <w:r w:rsidR="008F596F" w:rsidRPr="00C11DA4">
        <w:rPr>
          <w:rFonts w:ascii="Arial" w:hAnsi="Arial" w:cs="Arial"/>
        </w:rPr>
        <w:t xml:space="preserve"> Ley de Medios</w:t>
      </w:r>
      <w:r w:rsidR="008A55C4" w:rsidRPr="00C11DA4">
        <w:rPr>
          <w:rStyle w:val="Refdenotaalpie"/>
          <w:rFonts w:ascii="Arial" w:hAnsi="Arial" w:cs="Arial"/>
        </w:rPr>
        <w:footnoteReference w:id="15"/>
      </w:r>
      <w:r w:rsidR="004B05C5" w:rsidRPr="00C11DA4">
        <w:rPr>
          <w:rFonts w:ascii="Arial" w:hAnsi="Arial" w:cs="Arial"/>
        </w:rPr>
        <w:t xml:space="preserve"> a partir de la reforma legal de dos mil ocho,</w:t>
      </w:r>
      <w:r w:rsidR="00EC23C8" w:rsidRPr="00C11DA4">
        <w:rPr>
          <w:rFonts w:ascii="Arial" w:hAnsi="Arial" w:cs="Arial"/>
        </w:rPr>
        <w:t xml:space="preserve"> </w:t>
      </w:r>
      <w:r w:rsidR="008F596F" w:rsidRPr="00C11DA4">
        <w:rPr>
          <w:rFonts w:ascii="Arial" w:hAnsi="Arial" w:cs="Arial"/>
        </w:rPr>
        <w:t>contempla una disposición similar referente a las notificaciones electrónicas</w:t>
      </w:r>
      <w:r w:rsidR="004B05C5" w:rsidRPr="00C11DA4">
        <w:rPr>
          <w:rFonts w:ascii="Arial" w:hAnsi="Arial" w:cs="Arial"/>
        </w:rPr>
        <w:t xml:space="preserve"> </w:t>
      </w:r>
      <w:r w:rsidR="00FF58CC" w:rsidRPr="00C11DA4">
        <w:rPr>
          <w:rFonts w:ascii="Arial" w:hAnsi="Arial" w:cs="Arial"/>
        </w:rPr>
        <w:t>y en</w:t>
      </w:r>
      <w:r w:rsidR="004B05C5" w:rsidRPr="00C11DA4">
        <w:rPr>
          <w:rFonts w:ascii="Arial" w:hAnsi="Arial" w:cs="Arial"/>
        </w:rPr>
        <w:t xml:space="preserve"> el Reglamento Interno se</w:t>
      </w:r>
      <w:r w:rsidR="00FF58CC" w:rsidRPr="00C11DA4">
        <w:rPr>
          <w:rFonts w:ascii="Arial" w:hAnsi="Arial" w:cs="Arial"/>
        </w:rPr>
        <w:t xml:space="preserve"> detalla todo lo relativo </w:t>
      </w:r>
      <w:r w:rsidR="00272243" w:rsidRPr="00C11DA4">
        <w:rPr>
          <w:rFonts w:ascii="Arial" w:hAnsi="Arial" w:cs="Arial"/>
        </w:rPr>
        <w:t>sobre el</w:t>
      </w:r>
      <w:r w:rsidR="00FF58CC" w:rsidRPr="00C11DA4">
        <w:rPr>
          <w:rFonts w:ascii="Arial" w:hAnsi="Arial" w:cs="Arial"/>
        </w:rPr>
        <w:t xml:space="preserve"> expediente</w:t>
      </w:r>
      <w:r w:rsidR="00272243" w:rsidRPr="00C11DA4">
        <w:rPr>
          <w:rFonts w:ascii="Arial" w:hAnsi="Arial" w:cs="Arial"/>
        </w:rPr>
        <w:t xml:space="preserve"> electrónico</w:t>
      </w:r>
      <w:r w:rsidR="00FF58CC" w:rsidRPr="00C11DA4">
        <w:rPr>
          <w:rFonts w:ascii="Arial" w:hAnsi="Arial" w:cs="Arial"/>
        </w:rPr>
        <w:t xml:space="preserve"> </w:t>
      </w:r>
      <w:r w:rsidR="00272243" w:rsidRPr="00C11DA4">
        <w:rPr>
          <w:rFonts w:ascii="Arial" w:hAnsi="Arial" w:cs="Arial"/>
        </w:rPr>
        <w:t>y la</w:t>
      </w:r>
      <w:r w:rsidR="00FF58CC" w:rsidRPr="00C11DA4">
        <w:rPr>
          <w:rFonts w:ascii="Arial" w:hAnsi="Arial" w:cs="Arial"/>
        </w:rPr>
        <w:t xml:space="preserve"> firma electrónic</w:t>
      </w:r>
      <w:r w:rsidR="00272243" w:rsidRPr="00C11DA4">
        <w:rPr>
          <w:rFonts w:ascii="Arial" w:hAnsi="Arial" w:cs="Arial"/>
        </w:rPr>
        <w:t>a</w:t>
      </w:r>
      <w:r w:rsidR="00124462" w:rsidRPr="00C11DA4">
        <w:rPr>
          <w:rFonts w:ascii="Arial" w:hAnsi="Arial" w:cs="Arial"/>
        </w:rPr>
        <w:t xml:space="preserve"> como mecanismo que produce los mismos efectos que una firma autógrafa</w:t>
      </w:r>
      <w:r w:rsidR="00DF3326" w:rsidRPr="00C11DA4">
        <w:rPr>
          <w:rFonts w:ascii="Arial" w:hAnsi="Arial" w:cs="Arial"/>
        </w:rPr>
        <w:t>.</w:t>
      </w:r>
    </w:p>
    <w:p w:rsidR="00E071EB" w:rsidRPr="00C11DA4" w:rsidRDefault="00794C6D" w:rsidP="00612943">
      <w:pPr>
        <w:pStyle w:val="NormalWeb"/>
        <w:shd w:val="clear" w:color="auto" w:fill="FFFFFF"/>
        <w:spacing w:line="360" w:lineRule="auto"/>
        <w:jc w:val="both"/>
        <w:rPr>
          <w:rFonts w:ascii="Arial" w:hAnsi="Arial" w:cs="Arial"/>
        </w:rPr>
      </w:pPr>
      <w:r w:rsidRPr="00C11DA4">
        <w:rPr>
          <w:rFonts w:ascii="Arial" w:hAnsi="Arial" w:cs="Arial"/>
        </w:rPr>
        <w:t xml:space="preserve">Asimismo, </w:t>
      </w:r>
      <w:r w:rsidR="00B868AB" w:rsidRPr="00C11DA4">
        <w:rPr>
          <w:rFonts w:ascii="Arial" w:hAnsi="Arial" w:cs="Arial"/>
        </w:rPr>
        <w:t xml:space="preserve">la Ley de Amparo </w:t>
      </w:r>
      <w:r w:rsidR="00D027D1" w:rsidRPr="00C11DA4">
        <w:rPr>
          <w:rFonts w:ascii="Arial" w:hAnsi="Arial" w:cs="Arial"/>
        </w:rPr>
        <w:t>publicada en el Diario Oficial de la Federación de dos mil trece</w:t>
      </w:r>
      <w:r w:rsidR="00E071EB" w:rsidRPr="00C11DA4">
        <w:rPr>
          <w:rFonts w:ascii="Arial" w:hAnsi="Arial" w:cs="Arial"/>
        </w:rPr>
        <w:t xml:space="preserve"> incorporó el uso de tecnologías en la tramitación del juicio de amparo a través del uso de la firma electrónica y la integración de un expediente electrónico. </w:t>
      </w:r>
    </w:p>
    <w:p w:rsidR="0051776D" w:rsidRPr="00C11DA4" w:rsidRDefault="00E071EB" w:rsidP="00612943">
      <w:pPr>
        <w:pStyle w:val="NormalWeb"/>
        <w:shd w:val="clear" w:color="auto" w:fill="FFFFFF"/>
        <w:spacing w:line="360" w:lineRule="auto"/>
        <w:jc w:val="both"/>
        <w:rPr>
          <w:rFonts w:ascii="Arial" w:hAnsi="Arial" w:cs="Arial"/>
        </w:rPr>
      </w:pPr>
      <w:r w:rsidRPr="00C11DA4">
        <w:rPr>
          <w:rFonts w:ascii="Arial" w:hAnsi="Arial" w:cs="Arial"/>
        </w:rPr>
        <w:t xml:space="preserve">Por esa razón, las autoridades jurisdiccionales federales consideraron necesario </w:t>
      </w:r>
      <w:r w:rsidR="006F63FC" w:rsidRPr="00C11DA4">
        <w:rPr>
          <w:rFonts w:ascii="Arial" w:hAnsi="Arial" w:cs="Arial"/>
        </w:rPr>
        <w:t xml:space="preserve">emitir un </w:t>
      </w:r>
      <w:r w:rsidR="00612943" w:rsidRPr="00C11DA4">
        <w:rPr>
          <w:rFonts w:ascii="Arial" w:hAnsi="Arial" w:cs="Arial"/>
        </w:rPr>
        <w:t>Acuerdo General conjunto</w:t>
      </w:r>
      <w:r w:rsidR="00F87AFA" w:rsidRPr="00C11DA4">
        <w:rPr>
          <w:rStyle w:val="Refdenotaalpie"/>
          <w:rFonts w:ascii="Arial" w:hAnsi="Arial" w:cs="Arial"/>
        </w:rPr>
        <w:footnoteReference w:id="16"/>
      </w:r>
      <w:r w:rsidR="00612943" w:rsidRPr="00C11DA4">
        <w:rPr>
          <w:rFonts w:ascii="Arial" w:hAnsi="Arial" w:cs="Arial"/>
        </w:rPr>
        <w:t xml:space="preserve"> </w:t>
      </w:r>
      <w:r w:rsidR="006F63FC" w:rsidRPr="00C11DA4">
        <w:rPr>
          <w:rFonts w:ascii="Arial" w:hAnsi="Arial" w:cs="Arial"/>
        </w:rPr>
        <w:t>entre la</w:t>
      </w:r>
      <w:r w:rsidR="00612943" w:rsidRPr="00C11DA4">
        <w:rPr>
          <w:rFonts w:ascii="Arial" w:hAnsi="Arial" w:cs="Arial"/>
        </w:rPr>
        <w:t xml:space="preserve"> SCJN, Consejo de la Judicatura Federal y del Tribunal Electoral para re</w:t>
      </w:r>
      <w:r w:rsidR="002A2AC6" w:rsidRPr="00C11DA4">
        <w:rPr>
          <w:rFonts w:ascii="Arial" w:hAnsi="Arial" w:cs="Arial"/>
        </w:rPr>
        <w:t>gular la firma electrónica certificada y el expediente electrónico.</w:t>
      </w:r>
    </w:p>
    <w:p w:rsidR="0044388B" w:rsidRPr="00C11DA4" w:rsidRDefault="003E7D28" w:rsidP="0044388B">
      <w:pPr>
        <w:pStyle w:val="NormalWeb"/>
        <w:shd w:val="clear" w:color="auto" w:fill="FFFFFF"/>
        <w:spacing w:line="360" w:lineRule="auto"/>
        <w:jc w:val="both"/>
        <w:rPr>
          <w:rFonts w:ascii="Arial" w:hAnsi="Arial" w:cs="Arial"/>
        </w:rPr>
      </w:pPr>
      <w:r w:rsidRPr="00C11DA4">
        <w:rPr>
          <w:rFonts w:ascii="Arial" w:hAnsi="Arial" w:cs="Arial"/>
        </w:rPr>
        <w:t>Asimismo, la Sala Superior emitió el Acuerdo General 1/2018</w:t>
      </w:r>
      <w:r w:rsidRPr="00C11DA4">
        <w:rPr>
          <w:rStyle w:val="Refdenotaalpie"/>
          <w:rFonts w:ascii="Arial" w:hAnsi="Arial" w:cs="Arial"/>
        </w:rPr>
        <w:footnoteReference w:id="17"/>
      </w:r>
      <w:r w:rsidRPr="00C11DA4">
        <w:rPr>
          <w:rFonts w:ascii="Arial" w:hAnsi="Arial" w:cs="Arial"/>
        </w:rPr>
        <w:t xml:space="preserve"> por el que adec</w:t>
      </w:r>
      <w:r w:rsidR="0044388B" w:rsidRPr="00C11DA4">
        <w:rPr>
          <w:rFonts w:ascii="Arial" w:hAnsi="Arial" w:cs="Arial"/>
        </w:rPr>
        <w:t>uó</w:t>
      </w:r>
      <w:r w:rsidRPr="00C11DA4">
        <w:rPr>
          <w:rFonts w:ascii="Arial" w:hAnsi="Arial" w:cs="Arial"/>
        </w:rPr>
        <w:t xml:space="preserve"> el procedimiento para la notificación por correo electrónico</w:t>
      </w:r>
      <w:r w:rsidR="0044388B" w:rsidRPr="00C11DA4">
        <w:rPr>
          <w:rFonts w:ascii="Arial" w:hAnsi="Arial" w:cs="Arial"/>
        </w:rPr>
        <w:t xml:space="preserve"> y el más reciente fue el Acuerdo General 3/2020</w:t>
      </w:r>
      <w:r w:rsidR="0044388B" w:rsidRPr="00C11DA4">
        <w:rPr>
          <w:rStyle w:val="Refdenotaalpie"/>
          <w:rFonts w:ascii="Arial" w:hAnsi="Arial" w:cs="Arial"/>
        </w:rPr>
        <w:footnoteReference w:id="18"/>
      </w:r>
      <w:r w:rsidR="0044388B" w:rsidRPr="00C11DA4">
        <w:rPr>
          <w:rFonts w:ascii="Arial" w:hAnsi="Arial" w:cs="Arial"/>
        </w:rPr>
        <w:t xml:space="preserve"> en el que </w:t>
      </w:r>
      <w:r w:rsidR="00FB6FF1" w:rsidRPr="00C11DA4">
        <w:rPr>
          <w:rFonts w:ascii="Arial" w:hAnsi="Arial" w:cs="Arial"/>
        </w:rPr>
        <w:t xml:space="preserve">se </w:t>
      </w:r>
      <w:r w:rsidR="0044388B" w:rsidRPr="00C11DA4">
        <w:rPr>
          <w:rFonts w:ascii="Arial" w:hAnsi="Arial" w:cs="Arial"/>
        </w:rPr>
        <w:t>implementó la firma electrónica certificada en los acuerdos, resoluciones y sentencias que se dicten.</w:t>
      </w:r>
    </w:p>
    <w:p w:rsidR="002A2AC6" w:rsidRPr="00C11DA4" w:rsidRDefault="002A2AC6" w:rsidP="00612943">
      <w:pPr>
        <w:pStyle w:val="NormalWeb"/>
        <w:shd w:val="clear" w:color="auto" w:fill="FFFFFF"/>
        <w:spacing w:line="360" w:lineRule="auto"/>
        <w:jc w:val="both"/>
        <w:rPr>
          <w:rFonts w:ascii="Arial" w:hAnsi="Arial" w:cs="Arial"/>
        </w:rPr>
      </w:pPr>
      <w:r w:rsidRPr="00C11DA4">
        <w:rPr>
          <w:rFonts w:ascii="Arial" w:hAnsi="Arial" w:cs="Arial"/>
        </w:rPr>
        <w:t>Es decir, si bien</w:t>
      </w:r>
      <w:r w:rsidR="006B0E80" w:rsidRPr="00C11DA4">
        <w:rPr>
          <w:rFonts w:ascii="Arial" w:hAnsi="Arial" w:cs="Arial"/>
        </w:rPr>
        <w:t xml:space="preserve"> a nivel federal</w:t>
      </w:r>
      <w:r w:rsidRPr="00C11DA4">
        <w:rPr>
          <w:rFonts w:ascii="Arial" w:hAnsi="Arial" w:cs="Arial"/>
        </w:rPr>
        <w:t xml:space="preserve"> </w:t>
      </w:r>
      <w:r w:rsidR="000B415D" w:rsidRPr="00C11DA4">
        <w:rPr>
          <w:rFonts w:ascii="Arial" w:hAnsi="Arial" w:cs="Arial"/>
        </w:rPr>
        <w:t>había una disposición legal prevista</w:t>
      </w:r>
      <w:r w:rsidR="00BF6DCF" w:rsidRPr="00C11DA4">
        <w:rPr>
          <w:rFonts w:ascii="Arial" w:hAnsi="Arial" w:cs="Arial"/>
        </w:rPr>
        <w:t xml:space="preserve"> sobre las notificaciones electrónicas y el acceso a un expediente judicial,</w:t>
      </w:r>
      <w:r w:rsidR="000B415D" w:rsidRPr="00C11DA4">
        <w:rPr>
          <w:rFonts w:ascii="Arial" w:hAnsi="Arial" w:cs="Arial"/>
        </w:rPr>
        <w:t xml:space="preserve"> </w:t>
      </w:r>
      <w:r w:rsidR="006F63FC" w:rsidRPr="00C11DA4">
        <w:rPr>
          <w:rFonts w:ascii="Arial" w:hAnsi="Arial" w:cs="Arial"/>
        </w:rPr>
        <w:t>se re</w:t>
      </w:r>
      <w:r w:rsidR="00793CE1" w:rsidRPr="00C11DA4">
        <w:rPr>
          <w:rFonts w:ascii="Arial" w:hAnsi="Arial" w:cs="Arial"/>
        </w:rPr>
        <w:t>quiere</w:t>
      </w:r>
      <w:r w:rsidR="00DD4D8E" w:rsidRPr="00C11DA4">
        <w:rPr>
          <w:rFonts w:ascii="Arial" w:hAnsi="Arial" w:cs="Arial"/>
        </w:rPr>
        <w:t>,</w:t>
      </w:r>
      <w:r w:rsidR="00793CE1" w:rsidRPr="00C11DA4">
        <w:rPr>
          <w:rFonts w:ascii="Arial" w:hAnsi="Arial" w:cs="Arial"/>
        </w:rPr>
        <w:t xml:space="preserve"> para su ejecución</w:t>
      </w:r>
      <w:r w:rsidR="00DD4D8E" w:rsidRPr="00C11DA4">
        <w:rPr>
          <w:rFonts w:ascii="Arial" w:hAnsi="Arial" w:cs="Arial"/>
        </w:rPr>
        <w:t>,</w:t>
      </w:r>
      <w:r w:rsidR="00793CE1" w:rsidRPr="00C11DA4">
        <w:rPr>
          <w:rFonts w:ascii="Arial" w:hAnsi="Arial" w:cs="Arial"/>
        </w:rPr>
        <w:t xml:space="preserve"> que las autoridades detallen o regulen la forma en que operaran tales mecanismos electrónicos de notificación y de acceso al expediente electrónico </w:t>
      </w:r>
      <w:r w:rsidR="00F040C0" w:rsidRPr="00C11DA4">
        <w:rPr>
          <w:rFonts w:ascii="Arial" w:hAnsi="Arial" w:cs="Arial"/>
        </w:rPr>
        <w:t xml:space="preserve">que brinde seguridad jurídica y certeza en los justiciables respecto </w:t>
      </w:r>
      <w:r w:rsidR="00900E63" w:rsidRPr="00C11DA4">
        <w:rPr>
          <w:rFonts w:ascii="Arial" w:hAnsi="Arial" w:cs="Arial"/>
        </w:rPr>
        <w:t xml:space="preserve">a su funcionamiento. </w:t>
      </w:r>
    </w:p>
    <w:p w:rsidR="00C24FBF" w:rsidRPr="00C11DA4" w:rsidRDefault="008465D1" w:rsidP="00A9556E">
      <w:pPr>
        <w:pStyle w:val="NormalWeb"/>
        <w:shd w:val="clear" w:color="auto" w:fill="FFFFFF"/>
        <w:spacing w:line="360" w:lineRule="auto"/>
        <w:jc w:val="both"/>
        <w:outlineLvl w:val="2"/>
        <w:rPr>
          <w:rFonts w:ascii="Arial" w:hAnsi="Arial" w:cs="Arial"/>
          <w:b/>
        </w:rPr>
      </w:pPr>
      <w:bookmarkStart w:id="17" w:name="_Toc37945912"/>
      <w:r w:rsidRPr="00C11DA4">
        <w:rPr>
          <w:rFonts w:ascii="Arial" w:hAnsi="Arial" w:cs="Arial"/>
          <w:b/>
        </w:rPr>
        <w:t xml:space="preserve">b) </w:t>
      </w:r>
      <w:r w:rsidR="00E3322D" w:rsidRPr="00C11DA4">
        <w:rPr>
          <w:rFonts w:ascii="Arial" w:hAnsi="Arial" w:cs="Arial"/>
          <w:b/>
        </w:rPr>
        <w:t>Contingencia sanitaria</w:t>
      </w:r>
      <w:bookmarkEnd w:id="17"/>
    </w:p>
    <w:p w:rsidR="0003159F" w:rsidRPr="00C11DA4" w:rsidRDefault="00C24FBF" w:rsidP="00C24FBF">
      <w:pPr>
        <w:pStyle w:val="NormalWeb"/>
        <w:shd w:val="clear" w:color="auto" w:fill="FFFFFF"/>
        <w:spacing w:line="360" w:lineRule="auto"/>
        <w:jc w:val="both"/>
        <w:rPr>
          <w:rFonts w:ascii="Arial" w:hAnsi="Arial" w:cs="Arial"/>
          <w:b/>
        </w:rPr>
      </w:pPr>
      <w:r w:rsidRPr="00C11DA4">
        <w:rPr>
          <w:rFonts w:ascii="Arial" w:hAnsi="Arial" w:cs="Arial"/>
        </w:rPr>
        <w:t>E</w:t>
      </w:r>
      <w:r w:rsidR="0003159F" w:rsidRPr="00C11DA4">
        <w:rPr>
          <w:rFonts w:ascii="Arial" w:hAnsi="Arial" w:cs="Arial"/>
        </w:rPr>
        <w:t>n diciembre de</w:t>
      </w:r>
      <w:r w:rsidR="00212338" w:rsidRPr="00C11DA4">
        <w:rPr>
          <w:rFonts w:ascii="Arial" w:hAnsi="Arial" w:cs="Arial"/>
        </w:rPr>
        <w:t>l año pasado,</w:t>
      </w:r>
      <w:r w:rsidR="0003159F" w:rsidRPr="00C11DA4">
        <w:rPr>
          <w:rFonts w:ascii="Arial" w:hAnsi="Arial" w:cs="Arial"/>
        </w:rPr>
        <w:t xml:space="preserve"> en la ciudad de Wuhan de la República Popular China, inició un brote de neumonía denominado como la enfermedad por coronavirus COVID-19 que se ha expandido y</w:t>
      </w:r>
      <w:r w:rsidR="00DD4D8E" w:rsidRPr="00C11DA4">
        <w:rPr>
          <w:rFonts w:ascii="Arial" w:hAnsi="Arial" w:cs="Arial"/>
        </w:rPr>
        <w:t xml:space="preserve"> afectado</w:t>
      </w:r>
      <w:r w:rsidR="0003159F" w:rsidRPr="00C11DA4">
        <w:rPr>
          <w:rFonts w:ascii="Arial" w:hAnsi="Arial" w:cs="Arial"/>
        </w:rPr>
        <w:t xml:space="preserve"> diversas regiones de otros países, entre los que se encuentra México</w:t>
      </w:r>
      <w:r w:rsidR="00212338" w:rsidRPr="00C11DA4">
        <w:rPr>
          <w:rFonts w:ascii="Arial" w:hAnsi="Arial" w:cs="Arial"/>
        </w:rPr>
        <w:t>.</w:t>
      </w:r>
    </w:p>
    <w:p w:rsidR="0003159F" w:rsidRPr="00C11DA4" w:rsidRDefault="00212338" w:rsidP="00212338">
      <w:pPr>
        <w:shd w:val="clear" w:color="auto" w:fill="FFFFFF"/>
        <w:spacing w:before="100" w:beforeAutospacing="1" w:after="100" w:afterAutospacing="1" w:line="360" w:lineRule="auto"/>
        <w:jc w:val="both"/>
        <w:rPr>
          <w:rFonts w:eastAsia="Times New Roman" w:cs="Arial"/>
          <w:sz w:val="24"/>
          <w:szCs w:val="24"/>
          <w:lang w:eastAsia="es-MX"/>
        </w:rPr>
      </w:pPr>
      <w:r w:rsidRPr="00C11DA4">
        <w:rPr>
          <w:rFonts w:eastAsia="Times New Roman" w:cs="Arial"/>
          <w:sz w:val="24"/>
          <w:szCs w:val="24"/>
          <w:lang w:eastAsia="es-MX"/>
        </w:rPr>
        <w:t>El</w:t>
      </w:r>
      <w:r w:rsidR="0003159F" w:rsidRPr="00C11DA4">
        <w:rPr>
          <w:rFonts w:eastAsia="Times New Roman" w:cs="Arial"/>
          <w:sz w:val="24"/>
          <w:szCs w:val="24"/>
          <w:lang w:eastAsia="es-MX"/>
        </w:rPr>
        <w:t xml:space="preserve"> COVID-19 es una enfermedad infecciosa que pone en riesgo la salud y, por tanto, de la población en general, en razón de su fácil propagación por contacto con personas infectadas por el virus o por tocar objetos o superficies que rodean a dichas personas y llevarse las manos a los ojos, nariz o boca;</w:t>
      </w:r>
    </w:p>
    <w:p w:rsidR="0003159F" w:rsidRPr="00C11DA4" w:rsidRDefault="00B2098A" w:rsidP="00B2098A">
      <w:pPr>
        <w:shd w:val="clear" w:color="auto" w:fill="FFFFFF"/>
        <w:spacing w:before="100" w:beforeAutospacing="1" w:after="100" w:afterAutospacing="1" w:line="360" w:lineRule="auto"/>
        <w:jc w:val="both"/>
        <w:rPr>
          <w:rFonts w:eastAsia="Times New Roman" w:cs="Arial"/>
          <w:sz w:val="24"/>
          <w:szCs w:val="24"/>
          <w:lang w:eastAsia="es-MX"/>
        </w:rPr>
      </w:pPr>
      <w:r w:rsidRPr="00C11DA4">
        <w:rPr>
          <w:rFonts w:eastAsia="Times New Roman" w:cs="Arial"/>
          <w:sz w:val="24"/>
          <w:szCs w:val="24"/>
          <w:lang w:eastAsia="es-MX"/>
        </w:rPr>
        <w:t>A</w:t>
      </w:r>
      <w:r w:rsidR="0003159F" w:rsidRPr="00C11DA4">
        <w:rPr>
          <w:rFonts w:eastAsia="Times New Roman" w:cs="Arial"/>
          <w:sz w:val="24"/>
          <w:szCs w:val="24"/>
          <w:lang w:eastAsia="es-MX"/>
        </w:rPr>
        <w:t xml:space="preserve">nte los niveles alarmantes tanto de propagación y gravedad, como de inacción, el </w:t>
      </w:r>
      <w:r w:rsidRPr="00C11DA4">
        <w:rPr>
          <w:rFonts w:eastAsia="Times New Roman" w:cs="Arial"/>
          <w:sz w:val="24"/>
          <w:szCs w:val="24"/>
          <w:lang w:eastAsia="es-MX"/>
        </w:rPr>
        <w:t>once</w:t>
      </w:r>
      <w:r w:rsidR="0003159F" w:rsidRPr="00C11DA4">
        <w:rPr>
          <w:rFonts w:eastAsia="Times New Roman" w:cs="Arial"/>
          <w:sz w:val="24"/>
          <w:szCs w:val="24"/>
          <w:lang w:eastAsia="es-MX"/>
        </w:rPr>
        <w:t xml:space="preserve"> de marzo, la OMS, declaró que </w:t>
      </w:r>
      <w:r w:rsidR="00DD4D8E" w:rsidRPr="00C11DA4">
        <w:rPr>
          <w:rFonts w:eastAsia="Times New Roman" w:cs="Arial"/>
          <w:sz w:val="24"/>
          <w:szCs w:val="24"/>
          <w:lang w:eastAsia="es-MX"/>
        </w:rPr>
        <w:t>el</w:t>
      </w:r>
      <w:r w:rsidR="0003159F" w:rsidRPr="00C11DA4">
        <w:rPr>
          <w:rFonts w:eastAsia="Times New Roman" w:cs="Arial"/>
          <w:sz w:val="24"/>
          <w:szCs w:val="24"/>
          <w:lang w:eastAsia="es-MX"/>
        </w:rPr>
        <w:t xml:space="preserve"> </w:t>
      </w:r>
      <w:r w:rsidR="00B55B53" w:rsidRPr="00C11DA4">
        <w:rPr>
          <w:rFonts w:eastAsia="Times New Roman" w:cs="Arial"/>
          <w:sz w:val="24"/>
          <w:szCs w:val="24"/>
          <w:lang w:eastAsia="es-MX"/>
        </w:rPr>
        <w:t xml:space="preserve">virus </w:t>
      </w:r>
      <w:r w:rsidR="0003159F" w:rsidRPr="00C11DA4">
        <w:rPr>
          <w:rFonts w:eastAsia="Times New Roman" w:cs="Arial"/>
          <w:sz w:val="24"/>
          <w:szCs w:val="24"/>
          <w:lang w:eastAsia="es-MX"/>
        </w:rPr>
        <w:t>COVID-19 pas</w:t>
      </w:r>
      <w:r w:rsidR="001E7B71" w:rsidRPr="00C11DA4">
        <w:rPr>
          <w:rFonts w:eastAsia="Times New Roman" w:cs="Arial"/>
          <w:sz w:val="24"/>
          <w:szCs w:val="24"/>
          <w:lang w:eastAsia="es-MX"/>
        </w:rPr>
        <w:t>ó</w:t>
      </w:r>
      <w:r w:rsidR="0003159F" w:rsidRPr="00C11DA4">
        <w:rPr>
          <w:rFonts w:eastAsia="Times New Roman" w:cs="Arial"/>
          <w:sz w:val="24"/>
          <w:szCs w:val="24"/>
          <w:lang w:eastAsia="es-MX"/>
        </w:rPr>
        <w:t xml:space="preserve"> de ser una epidemia a una pandemia</w:t>
      </w:r>
      <w:r w:rsidRPr="00C11DA4">
        <w:rPr>
          <w:rFonts w:eastAsia="Times New Roman" w:cs="Arial"/>
          <w:sz w:val="24"/>
          <w:szCs w:val="24"/>
          <w:lang w:eastAsia="es-MX"/>
        </w:rPr>
        <w:t>.</w:t>
      </w:r>
    </w:p>
    <w:p w:rsidR="0003159F" w:rsidRPr="00C11DA4" w:rsidRDefault="00B2098A" w:rsidP="00B2098A">
      <w:pPr>
        <w:shd w:val="clear" w:color="auto" w:fill="FFFFFF"/>
        <w:spacing w:before="100" w:beforeAutospacing="1" w:after="100" w:afterAutospacing="1" w:line="360" w:lineRule="auto"/>
        <w:jc w:val="both"/>
        <w:rPr>
          <w:rFonts w:eastAsia="Times New Roman" w:cs="Arial"/>
          <w:sz w:val="24"/>
          <w:szCs w:val="24"/>
          <w:lang w:eastAsia="es-MX"/>
        </w:rPr>
      </w:pPr>
      <w:r w:rsidRPr="00C11DA4">
        <w:rPr>
          <w:rFonts w:eastAsia="Times New Roman" w:cs="Arial"/>
          <w:sz w:val="24"/>
          <w:szCs w:val="24"/>
          <w:lang w:eastAsia="es-MX"/>
        </w:rPr>
        <w:t xml:space="preserve">En ese sentido, </w:t>
      </w:r>
      <w:r w:rsidR="0003159F" w:rsidRPr="00C11DA4">
        <w:rPr>
          <w:rFonts w:eastAsia="Times New Roman" w:cs="Arial"/>
          <w:sz w:val="24"/>
          <w:szCs w:val="24"/>
          <w:lang w:eastAsia="es-MX"/>
        </w:rPr>
        <w:t>México ha</w:t>
      </w:r>
      <w:r w:rsidR="00533299" w:rsidRPr="00C11DA4">
        <w:rPr>
          <w:rFonts w:eastAsia="Times New Roman" w:cs="Arial"/>
          <w:sz w:val="24"/>
          <w:szCs w:val="24"/>
          <w:lang w:eastAsia="es-MX"/>
        </w:rPr>
        <w:t xml:space="preserve"> </w:t>
      </w:r>
      <w:r w:rsidR="0003159F" w:rsidRPr="00C11DA4">
        <w:rPr>
          <w:rFonts w:eastAsia="Times New Roman" w:cs="Arial"/>
          <w:sz w:val="24"/>
          <w:szCs w:val="24"/>
          <w:lang w:eastAsia="es-MX"/>
        </w:rPr>
        <w:t xml:space="preserve">adoptado diversas acciones para contener </w:t>
      </w:r>
      <w:r w:rsidR="00B55B53" w:rsidRPr="00C11DA4">
        <w:rPr>
          <w:rFonts w:eastAsia="Times New Roman" w:cs="Arial"/>
          <w:sz w:val="24"/>
          <w:szCs w:val="24"/>
          <w:lang w:eastAsia="es-MX"/>
        </w:rPr>
        <w:t xml:space="preserve">el virus </w:t>
      </w:r>
      <w:r w:rsidR="0003159F" w:rsidRPr="00C11DA4">
        <w:rPr>
          <w:rFonts w:eastAsia="Times New Roman" w:cs="Arial"/>
          <w:sz w:val="24"/>
          <w:szCs w:val="24"/>
          <w:lang w:eastAsia="es-MX"/>
        </w:rPr>
        <w:t>COVID-19, entre</w:t>
      </w:r>
      <w:r w:rsidR="0028010A" w:rsidRPr="00C11DA4">
        <w:rPr>
          <w:rFonts w:eastAsia="Times New Roman" w:cs="Arial"/>
          <w:sz w:val="24"/>
          <w:szCs w:val="24"/>
          <w:lang w:eastAsia="es-MX"/>
        </w:rPr>
        <w:t xml:space="preserve"> las que se encuentran medidas de higiene, suspensión de actos y eventos masivos, filtros sanitarios en escuelas, centros de trabajo y aeropuertos, así como la suspensión o restricción en la entrada y salida a su territorio o a algunas regiones </w:t>
      </w:r>
      <w:proofErr w:type="gramStart"/>
      <w:r w:rsidR="0028010A" w:rsidRPr="00C11DA4">
        <w:rPr>
          <w:rFonts w:eastAsia="Times New Roman" w:cs="Arial"/>
          <w:sz w:val="24"/>
          <w:szCs w:val="24"/>
          <w:lang w:eastAsia="es-MX"/>
        </w:rPr>
        <w:t>del mismo</w:t>
      </w:r>
      <w:proofErr w:type="gramEnd"/>
      <w:r w:rsidR="0028010A" w:rsidRPr="00C11DA4">
        <w:rPr>
          <w:rFonts w:eastAsia="Times New Roman" w:cs="Arial"/>
          <w:sz w:val="24"/>
          <w:szCs w:val="24"/>
          <w:lang w:eastAsia="es-MX"/>
        </w:rPr>
        <w:t>.</w:t>
      </w:r>
    </w:p>
    <w:p w:rsidR="00CA3A93" w:rsidRPr="00C11DA4" w:rsidRDefault="0001405B" w:rsidP="00CA3A93">
      <w:pPr>
        <w:shd w:val="clear" w:color="auto" w:fill="FFFFFF"/>
        <w:spacing w:before="100" w:beforeAutospacing="1" w:after="100" w:afterAutospacing="1" w:line="360" w:lineRule="auto"/>
        <w:jc w:val="both"/>
        <w:rPr>
          <w:rFonts w:eastAsia="Times New Roman" w:cs="Arial"/>
          <w:sz w:val="24"/>
          <w:szCs w:val="24"/>
          <w:lang w:eastAsia="es-MX"/>
        </w:rPr>
      </w:pPr>
      <w:r w:rsidRPr="00C11DA4">
        <w:rPr>
          <w:rFonts w:eastAsia="Times New Roman" w:cs="Arial"/>
          <w:sz w:val="24"/>
          <w:szCs w:val="24"/>
          <w:lang w:eastAsia="es-MX"/>
        </w:rPr>
        <w:t xml:space="preserve">Así, </w:t>
      </w:r>
      <w:r w:rsidR="0053488C" w:rsidRPr="00C11DA4">
        <w:rPr>
          <w:rFonts w:eastAsia="Times New Roman" w:cs="Arial"/>
          <w:sz w:val="24"/>
          <w:szCs w:val="24"/>
          <w:lang w:eastAsia="es-MX"/>
        </w:rPr>
        <w:t>e</w:t>
      </w:r>
      <w:r w:rsidR="00CA3A93" w:rsidRPr="00C11DA4">
        <w:rPr>
          <w:rFonts w:eastAsia="Times New Roman" w:cs="Arial"/>
          <w:sz w:val="24"/>
          <w:szCs w:val="24"/>
          <w:lang w:eastAsia="es-MX"/>
        </w:rPr>
        <w:t xml:space="preserve">l diecisiete de marzo, el Pleno de la </w:t>
      </w:r>
      <w:r w:rsidR="007C26D8" w:rsidRPr="00C11DA4">
        <w:rPr>
          <w:rFonts w:eastAsia="Times New Roman" w:cs="Arial"/>
          <w:sz w:val="24"/>
          <w:szCs w:val="24"/>
          <w:lang w:eastAsia="es-MX"/>
        </w:rPr>
        <w:t>SCJN</w:t>
      </w:r>
      <w:r w:rsidR="007C26D8" w:rsidRPr="00C11DA4">
        <w:rPr>
          <w:rStyle w:val="Refdenotaalpie"/>
          <w:rFonts w:eastAsia="Times New Roman" w:cs="Arial"/>
          <w:sz w:val="24"/>
          <w:szCs w:val="24"/>
          <w:lang w:eastAsia="es-MX"/>
        </w:rPr>
        <w:footnoteReference w:id="19"/>
      </w:r>
      <w:r w:rsidR="00CA3A93" w:rsidRPr="00C11DA4">
        <w:rPr>
          <w:rFonts w:eastAsia="Times New Roman" w:cs="Arial"/>
          <w:sz w:val="24"/>
          <w:szCs w:val="24"/>
          <w:lang w:eastAsia="es-MX"/>
        </w:rPr>
        <w:t xml:space="preserve"> acordó</w:t>
      </w:r>
      <w:r w:rsidR="002D7CEE" w:rsidRPr="00C11DA4">
        <w:rPr>
          <w:rFonts w:eastAsia="Times New Roman" w:cs="Arial"/>
          <w:sz w:val="24"/>
          <w:szCs w:val="24"/>
          <w:lang w:eastAsia="es-MX"/>
        </w:rPr>
        <w:t>, como medida urgente,</w:t>
      </w:r>
      <w:r w:rsidR="00CA3A93" w:rsidRPr="00C11DA4">
        <w:rPr>
          <w:rFonts w:eastAsia="Times New Roman" w:cs="Arial"/>
          <w:sz w:val="24"/>
          <w:szCs w:val="24"/>
          <w:lang w:eastAsia="es-MX"/>
        </w:rPr>
        <w:t> </w:t>
      </w:r>
      <w:r w:rsidR="0011066B" w:rsidRPr="00C11DA4">
        <w:rPr>
          <w:rFonts w:eastAsia="Times New Roman" w:cs="Arial"/>
          <w:sz w:val="24"/>
          <w:szCs w:val="24"/>
          <w:lang w:eastAsia="es-MX"/>
        </w:rPr>
        <w:t xml:space="preserve">la </w:t>
      </w:r>
      <w:r w:rsidR="00CA3A93" w:rsidRPr="00C11DA4">
        <w:rPr>
          <w:rFonts w:eastAsia="Times New Roman" w:cs="Arial"/>
          <w:sz w:val="24"/>
          <w:szCs w:val="24"/>
          <w:lang w:eastAsia="es-MX"/>
        </w:rPr>
        <w:t>suspen</w:t>
      </w:r>
      <w:r w:rsidR="0011066B" w:rsidRPr="00C11DA4">
        <w:rPr>
          <w:rFonts w:eastAsia="Times New Roman" w:cs="Arial"/>
          <w:sz w:val="24"/>
          <w:szCs w:val="24"/>
          <w:lang w:eastAsia="es-MX"/>
        </w:rPr>
        <w:t xml:space="preserve">sión </w:t>
      </w:r>
      <w:r w:rsidR="006626F1" w:rsidRPr="00C11DA4">
        <w:rPr>
          <w:rFonts w:eastAsia="Times New Roman" w:cs="Arial"/>
          <w:sz w:val="24"/>
          <w:szCs w:val="24"/>
          <w:lang w:eastAsia="es-MX"/>
        </w:rPr>
        <w:t xml:space="preserve">de las </w:t>
      </w:r>
      <w:r w:rsidR="00CA3A93" w:rsidRPr="00C11DA4">
        <w:rPr>
          <w:rFonts w:eastAsia="Times New Roman" w:cs="Arial"/>
          <w:sz w:val="24"/>
          <w:szCs w:val="24"/>
          <w:lang w:eastAsia="es-MX"/>
        </w:rPr>
        <w:t>actividad</w:t>
      </w:r>
      <w:r w:rsidR="006626F1" w:rsidRPr="00C11DA4">
        <w:rPr>
          <w:rFonts w:eastAsia="Times New Roman" w:cs="Arial"/>
          <w:sz w:val="24"/>
          <w:szCs w:val="24"/>
          <w:lang w:eastAsia="es-MX"/>
        </w:rPr>
        <w:t>es</w:t>
      </w:r>
      <w:r w:rsidR="00CA3A93" w:rsidRPr="00C11DA4">
        <w:rPr>
          <w:rFonts w:eastAsia="Times New Roman" w:cs="Arial"/>
          <w:sz w:val="24"/>
          <w:szCs w:val="24"/>
          <w:lang w:eastAsia="es-MX"/>
        </w:rPr>
        <w:t xml:space="preserve"> jurisdiccional</w:t>
      </w:r>
      <w:r w:rsidR="006626F1" w:rsidRPr="00C11DA4">
        <w:rPr>
          <w:rFonts w:eastAsia="Times New Roman" w:cs="Arial"/>
          <w:sz w:val="24"/>
          <w:szCs w:val="24"/>
          <w:lang w:eastAsia="es-MX"/>
        </w:rPr>
        <w:t>es</w:t>
      </w:r>
      <w:r w:rsidR="00CA3A93" w:rsidRPr="00C11DA4">
        <w:rPr>
          <w:rFonts w:eastAsia="Times New Roman" w:cs="Arial"/>
          <w:sz w:val="24"/>
          <w:szCs w:val="24"/>
          <w:lang w:eastAsia="es-MX"/>
        </w:rPr>
        <w:t xml:space="preserve"> durante el periodo comprendido del dieciocho de marzo al diecinueve de abril de dos mil veinte</w:t>
      </w:r>
      <w:r w:rsidR="00360C20" w:rsidRPr="00C11DA4">
        <w:rPr>
          <w:rFonts w:eastAsia="Times New Roman" w:cs="Arial"/>
          <w:sz w:val="24"/>
          <w:szCs w:val="24"/>
          <w:lang w:eastAsia="es-MX"/>
        </w:rPr>
        <w:t xml:space="preserve"> y, por ende, </w:t>
      </w:r>
      <w:r w:rsidR="007712A8" w:rsidRPr="00C11DA4">
        <w:rPr>
          <w:rFonts w:eastAsia="Times New Roman" w:cs="Arial"/>
          <w:sz w:val="24"/>
          <w:szCs w:val="24"/>
          <w:lang w:eastAsia="es-MX"/>
        </w:rPr>
        <w:t xml:space="preserve">los declaró días inhábiles. </w:t>
      </w:r>
    </w:p>
    <w:p w:rsidR="006778C9" w:rsidRPr="00C11DA4" w:rsidRDefault="006778C9" w:rsidP="006778C9">
      <w:pPr>
        <w:shd w:val="clear" w:color="auto" w:fill="FFFFFF"/>
        <w:spacing w:before="100" w:beforeAutospacing="1" w:after="100" w:afterAutospacing="1" w:line="360" w:lineRule="auto"/>
        <w:jc w:val="both"/>
        <w:rPr>
          <w:rFonts w:eastAsia="Times New Roman" w:cs="Arial"/>
          <w:b/>
          <w:sz w:val="24"/>
          <w:szCs w:val="24"/>
          <w:lang w:eastAsia="es-MX"/>
        </w:rPr>
      </w:pPr>
      <w:r w:rsidRPr="00C11DA4">
        <w:rPr>
          <w:rFonts w:eastAsia="Times New Roman" w:cs="Arial"/>
          <w:bCs/>
          <w:sz w:val="24"/>
          <w:szCs w:val="24"/>
          <w:lang w:eastAsia="es-MX"/>
        </w:rPr>
        <w:t>También, el Consejo de la Judicatura Federal</w:t>
      </w:r>
      <w:r w:rsidRPr="00C11DA4">
        <w:rPr>
          <w:rStyle w:val="Refdenotaalpie"/>
          <w:rFonts w:eastAsia="Times New Roman" w:cs="Arial"/>
          <w:bCs/>
          <w:sz w:val="24"/>
          <w:szCs w:val="24"/>
          <w:lang w:eastAsia="es-MX"/>
        </w:rPr>
        <w:footnoteReference w:id="20"/>
      </w:r>
      <w:r w:rsidRPr="00C11DA4">
        <w:rPr>
          <w:rFonts w:eastAsia="Times New Roman" w:cs="Arial"/>
          <w:bCs/>
          <w:sz w:val="24"/>
          <w:szCs w:val="24"/>
          <w:lang w:eastAsia="es-MX"/>
        </w:rPr>
        <w:t>, ante dicha emergencia, ordenó la suspensión de labores de los Tribunales y Juzgados Federales</w:t>
      </w:r>
      <w:r w:rsidRPr="00C11DA4">
        <w:rPr>
          <w:rFonts w:eastAsia="Times New Roman" w:cs="Arial"/>
          <w:sz w:val="24"/>
          <w:szCs w:val="24"/>
          <w:lang w:eastAsia="es-MX"/>
        </w:rPr>
        <w:t> </w:t>
      </w:r>
      <w:r w:rsidR="002A794E" w:rsidRPr="00C11DA4">
        <w:rPr>
          <w:rFonts w:eastAsia="Times New Roman" w:cs="Arial"/>
          <w:sz w:val="24"/>
          <w:szCs w:val="24"/>
          <w:lang w:eastAsia="es-MX"/>
        </w:rPr>
        <w:t>respecto del mismo periodo</w:t>
      </w:r>
      <w:r w:rsidRPr="00C11DA4">
        <w:rPr>
          <w:rFonts w:eastAsia="Times New Roman" w:cs="Arial"/>
          <w:sz w:val="24"/>
          <w:szCs w:val="24"/>
          <w:lang w:eastAsia="es-MX"/>
        </w:rPr>
        <w:t xml:space="preserve">, y determinó que únicamente laboraran los órganos jurisdiccionales que se encontraran en guardia para resolver asuntos urgentes </w:t>
      </w:r>
      <w:r w:rsidRPr="00C11DA4">
        <w:rPr>
          <w:rFonts w:eastAsia="Times New Roman" w:cs="Arial"/>
          <w:b/>
          <w:sz w:val="24"/>
          <w:szCs w:val="24"/>
          <w:lang w:eastAsia="es-MX"/>
        </w:rPr>
        <w:t>privilegiando el trabajo a distancia haciendo uso de las herramientas tecnológicas que fuesen necesarias.</w:t>
      </w:r>
    </w:p>
    <w:p w:rsidR="00D556E2" w:rsidRPr="00C11DA4" w:rsidRDefault="00012C1D" w:rsidP="00012C1D">
      <w:pPr>
        <w:shd w:val="clear" w:color="auto" w:fill="FFFFFF"/>
        <w:spacing w:before="100" w:beforeAutospacing="1" w:after="100" w:afterAutospacing="1" w:line="360" w:lineRule="auto"/>
        <w:jc w:val="both"/>
        <w:rPr>
          <w:rFonts w:cs="Arial"/>
          <w:sz w:val="24"/>
          <w:szCs w:val="24"/>
          <w:shd w:val="clear" w:color="auto" w:fill="FFFFFF"/>
        </w:rPr>
      </w:pPr>
      <w:r w:rsidRPr="00C11DA4">
        <w:rPr>
          <w:rFonts w:eastAsia="Times New Roman" w:cs="Arial"/>
          <w:bCs/>
          <w:sz w:val="24"/>
          <w:szCs w:val="24"/>
          <w:lang w:eastAsia="es-MX"/>
        </w:rPr>
        <w:t xml:space="preserve">El </w:t>
      </w:r>
      <w:r w:rsidR="0095567C" w:rsidRPr="00C11DA4">
        <w:rPr>
          <w:rFonts w:eastAsia="Times New Roman" w:cs="Arial"/>
          <w:bCs/>
          <w:sz w:val="24"/>
          <w:szCs w:val="24"/>
          <w:lang w:eastAsia="es-MX"/>
        </w:rPr>
        <w:t>dieciséis</w:t>
      </w:r>
      <w:r w:rsidRPr="00C11DA4">
        <w:rPr>
          <w:rFonts w:eastAsia="Times New Roman" w:cs="Arial"/>
          <w:bCs/>
          <w:sz w:val="24"/>
          <w:szCs w:val="24"/>
          <w:lang w:eastAsia="es-MX"/>
        </w:rPr>
        <w:t xml:space="preserve"> de marzo, </w:t>
      </w:r>
      <w:r w:rsidR="0095567C" w:rsidRPr="00C11DA4">
        <w:rPr>
          <w:rFonts w:eastAsia="Times New Roman" w:cs="Arial"/>
          <w:bCs/>
          <w:sz w:val="24"/>
          <w:szCs w:val="24"/>
          <w:lang w:eastAsia="es-MX"/>
        </w:rPr>
        <w:t>el Magistrado Presidente</w:t>
      </w:r>
      <w:r w:rsidR="009252C3" w:rsidRPr="00C11DA4">
        <w:rPr>
          <w:rStyle w:val="Refdenotaalpie"/>
          <w:rFonts w:eastAsia="Times New Roman" w:cs="Arial"/>
          <w:bCs/>
          <w:sz w:val="24"/>
          <w:szCs w:val="24"/>
          <w:lang w:eastAsia="es-MX"/>
        </w:rPr>
        <w:footnoteReference w:id="21"/>
      </w:r>
      <w:r w:rsidR="0095567C" w:rsidRPr="00C11DA4">
        <w:rPr>
          <w:rFonts w:eastAsia="Times New Roman" w:cs="Arial"/>
          <w:bCs/>
          <w:sz w:val="24"/>
          <w:szCs w:val="24"/>
          <w:lang w:eastAsia="es-MX"/>
        </w:rPr>
        <w:t xml:space="preserve"> de </w:t>
      </w:r>
      <w:r w:rsidR="0025350A" w:rsidRPr="00C11DA4">
        <w:rPr>
          <w:rFonts w:eastAsia="Times New Roman" w:cs="Arial"/>
          <w:bCs/>
          <w:sz w:val="24"/>
          <w:szCs w:val="24"/>
          <w:lang w:eastAsia="es-MX"/>
        </w:rPr>
        <w:t xml:space="preserve">la Sala Superior </w:t>
      </w:r>
      <w:r w:rsidR="00D556E2" w:rsidRPr="00C11DA4">
        <w:rPr>
          <w:rFonts w:eastAsia="Times New Roman" w:cs="Arial"/>
          <w:bCs/>
          <w:sz w:val="24"/>
          <w:szCs w:val="24"/>
          <w:lang w:eastAsia="es-MX"/>
        </w:rPr>
        <w:t xml:space="preserve">acordó </w:t>
      </w:r>
      <w:r w:rsidR="009252C3" w:rsidRPr="00C11DA4">
        <w:rPr>
          <w:rFonts w:eastAsia="Times New Roman" w:cs="Arial"/>
          <w:bCs/>
          <w:sz w:val="24"/>
          <w:szCs w:val="24"/>
          <w:lang w:eastAsia="es-MX"/>
        </w:rPr>
        <w:t xml:space="preserve">la implementación de </w:t>
      </w:r>
      <w:r w:rsidR="00E21A46" w:rsidRPr="00C11DA4">
        <w:rPr>
          <w:rFonts w:cs="Arial"/>
          <w:sz w:val="24"/>
          <w:szCs w:val="24"/>
          <w:shd w:val="clear" w:color="auto" w:fill="FFFFFF"/>
        </w:rPr>
        <w:t>medidas que garanti</w:t>
      </w:r>
      <w:r w:rsidR="00BC6C80" w:rsidRPr="00C11DA4">
        <w:rPr>
          <w:rFonts w:cs="Arial"/>
          <w:sz w:val="24"/>
          <w:szCs w:val="24"/>
          <w:shd w:val="clear" w:color="auto" w:fill="FFFFFF"/>
        </w:rPr>
        <w:t>zaran</w:t>
      </w:r>
      <w:r w:rsidR="00E21A46" w:rsidRPr="00C11DA4">
        <w:rPr>
          <w:rFonts w:cs="Arial"/>
          <w:sz w:val="24"/>
          <w:szCs w:val="24"/>
          <w:shd w:val="clear" w:color="auto" w:fill="FFFFFF"/>
        </w:rPr>
        <w:t xml:space="preserve"> el adecuado funcionamiento en la prestación de los servicios esenciales y preventivas </w:t>
      </w:r>
      <w:r w:rsidR="00BC6C80" w:rsidRPr="00C11DA4">
        <w:rPr>
          <w:rFonts w:cs="Arial"/>
          <w:sz w:val="24"/>
          <w:szCs w:val="24"/>
          <w:shd w:val="clear" w:color="auto" w:fill="FFFFFF"/>
        </w:rPr>
        <w:t>entre éstas la de suspender las actividades académicas</w:t>
      </w:r>
      <w:r w:rsidR="00B045D1" w:rsidRPr="00C11DA4">
        <w:rPr>
          <w:rFonts w:cs="Arial"/>
          <w:sz w:val="24"/>
          <w:szCs w:val="24"/>
          <w:shd w:val="clear" w:color="auto" w:fill="FFFFFF"/>
        </w:rPr>
        <w:t xml:space="preserve"> y la celebración de sesiones públicas</w:t>
      </w:r>
      <w:r w:rsidR="00787203" w:rsidRPr="00C11DA4">
        <w:rPr>
          <w:rFonts w:cs="Arial"/>
          <w:sz w:val="24"/>
          <w:szCs w:val="24"/>
          <w:shd w:val="clear" w:color="auto" w:fill="FFFFFF"/>
        </w:rPr>
        <w:t xml:space="preserve">, </w:t>
      </w:r>
      <w:r w:rsidR="00147370" w:rsidRPr="00C11DA4">
        <w:rPr>
          <w:rFonts w:cs="Arial"/>
          <w:sz w:val="24"/>
          <w:szCs w:val="24"/>
          <w:shd w:val="clear" w:color="auto" w:fill="FFFFFF"/>
        </w:rPr>
        <w:t>así como la realización de</w:t>
      </w:r>
      <w:r w:rsidR="00787203" w:rsidRPr="00C11DA4">
        <w:rPr>
          <w:rFonts w:cs="Arial"/>
          <w:sz w:val="24"/>
          <w:szCs w:val="24"/>
          <w:shd w:val="clear" w:color="auto" w:fill="FFFFFF"/>
        </w:rPr>
        <w:t xml:space="preserve"> sesiones virtuales de las comisiones y comités internos</w:t>
      </w:r>
      <w:r w:rsidR="00B045D1" w:rsidRPr="00C11DA4">
        <w:rPr>
          <w:rFonts w:cs="Arial"/>
          <w:sz w:val="24"/>
          <w:szCs w:val="24"/>
          <w:shd w:val="clear" w:color="auto" w:fill="FFFFFF"/>
        </w:rPr>
        <w:t>.</w:t>
      </w:r>
    </w:p>
    <w:p w:rsidR="00B045D1" w:rsidRPr="00C11DA4" w:rsidRDefault="00B045D1" w:rsidP="00012C1D">
      <w:pPr>
        <w:shd w:val="clear" w:color="auto" w:fill="FFFFFF"/>
        <w:spacing w:before="100" w:beforeAutospacing="1" w:after="100" w:afterAutospacing="1" w:line="360" w:lineRule="auto"/>
        <w:jc w:val="both"/>
        <w:rPr>
          <w:rFonts w:eastAsia="Times New Roman" w:cs="Arial"/>
          <w:b/>
          <w:bCs/>
          <w:sz w:val="24"/>
          <w:szCs w:val="24"/>
          <w:lang w:eastAsia="es-MX"/>
        </w:rPr>
      </w:pPr>
      <w:r w:rsidRPr="00C11DA4">
        <w:rPr>
          <w:rFonts w:eastAsia="Times New Roman" w:cs="Arial"/>
          <w:bCs/>
          <w:sz w:val="24"/>
          <w:szCs w:val="24"/>
          <w:lang w:eastAsia="es-MX"/>
        </w:rPr>
        <w:t xml:space="preserve">Asimismo, indicó que </w:t>
      </w:r>
      <w:r w:rsidRPr="00C11DA4">
        <w:rPr>
          <w:rFonts w:eastAsia="Times New Roman" w:cs="Arial"/>
          <w:b/>
          <w:bCs/>
          <w:sz w:val="24"/>
          <w:szCs w:val="24"/>
          <w:lang w:eastAsia="es-MX"/>
        </w:rPr>
        <w:t>se debían privilegiar las notificaciones electrónicas y por estrados, sobre las personales.</w:t>
      </w:r>
    </w:p>
    <w:p w:rsidR="00C6681F" w:rsidRPr="00C11DA4" w:rsidRDefault="00490267" w:rsidP="00B2098A">
      <w:pPr>
        <w:shd w:val="clear" w:color="auto" w:fill="FFFFFF"/>
        <w:spacing w:before="100" w:beforeAutospacing="1" w:after="100" w:afterAutospacing="1" w:line="360" w:lineRule="auto"/>
        <w:jc w:val="both"/>
        <w:rPr>
          <w:rFonts w:eastAsia="Times New Roman" w:cs="Arial"/>
          <w:sz w:val="24"/>
          <w:szCs w:val="24"/>
          <w:lang w:eastAsia="es-MX"/>
        </w:rPr>
      </w:pPr>
      <w:r w:rsidRPr="00C11DA4">
        <w:rPr>
          <w:rFonts w:eastAsia="Times New Roman" w:cs="Arial"/>
          <w:sz w:val="24"/>
          <w:szCs w:val="24"/>
          <w:lang w:eastAsia="es-MX"/>
        </w:rPr>
        <w:t>Además</w:t>
      </w:r>
      <w:r w:rsidR="005C6E03" w:rsidRPr="00C11DA4">
        <w:rPr>
          <w:rFonts w:eastAsia="Times New Roman" w:cs="Arial"/>
          <w:sz w:val="24"/>
          <w:szCs w:val="24"/>
          <w:lang w:eastAsia="es-MX"/>
        </w:rPr>
        <w:t xml:space="preserve">, </w:t>
      </w:r>
      <w:r w:rsidR="00711D47" w:rsidRPr="00C11DA4">
        <w:rPr>
          <w:rFonts w:eastAsia="Times New Roman" w:cs="Arial"/>
          <w:sz w:val="24"/>
          <w:szCs w:val="24"/>
          <w:lang w:eastAsia="es-MX"/>
        </w:rPr>
        <w:t xml:space="preserve">el veintisiete de marzo, </w:t>
      </w:r>
      <w:r w:rsidR="004C3C0E" w:rsidRPr="00C11DA4">
        <w:rPr>
          <w:rFonts w:eastAsia="Times New Roman" w:cs="Arial"/>
          <w:sz w:val="24"/>
          <w:szCs w:val="24"/>
          <w:lang w:eastAsia="es-MX"/>
        </w:rPr>
        <w:t>la Sala Superior</w:t>
      </w:r>
      <w:r w:rsidR="004C3C0E" w:rsidRPr="00C11DA4">
        <w:rPr>
          <w:rStyle w:val="Refdenotaalpie"/>
          <w:rFonts w:eastAsia="Times New Roman" w:cs="Arial"/>
          <w:sz w:val="24"/>
          <w:szCs w:val="24"/>
          <w:lang w:eastAsia="es-MX"/>
        </w:rPr>
        <w:footnoteReference w:id="22"/>
      </w:r>
      <w:r w:rsidR="00711D47" w:rsidRPr="00C11DA4">
        <w:rPr>
          <w:rFonts w:eastAsia="Times New Roman" w:cs="Arial"/>
          <w:sz w:val="24"/>
          <w:szCs w:val="24"/>
          <w:lang w:eastAsia="es-MX"/>
        </w:rPr>
        <w:t xml:space="preserve"> </w:t>
      </w:r>
      <w:r w:rsidR="00034F62" w:rsidRPr="00C11DA4">
        <w:rPr>
          <w:rFonts w:eastAsia="Times New Roman" w:cs="Arial"/>
          <w:sz w:val="24"/>
          <w:szCs w:val="24"/>
          <w:lang w:eastAsia="es-MX"/>
        </w:rPr>
        <w:t xml:space="preserve">emitió el acuerdo general en </w:t>
      </w:r>
      <w:r w:rsidRPr="00C11DA4">
        <w:rPr>
          <w:rFonts w:eastAsia="Times New Roman" w:cs="Arial"/>
          <w:sz w:val="24"/>
          <w:szCs w:val="24"/>
          <w:lang w:eastAsia="es-MX"/>
        </w:rPr>
        <w:t xml:space="preserve">el que </w:t>
      </w:r>
      <w:r w:rsidR="00AB0782" w:rsidRPr="00C11DA4">
        <w:rPr>
          <w:rFonts w:eastAsia="Times New Roman" w:cs="Arial"/>
          <w:sz w:val="24"/>
          <w:szCs w:val="24"/>
          <w:lang w:eastAsia="es-MX"/>
        </w:rPr>
        <w:t xml:space="preserve">acordó la resolución no presencial </w:t>
      </w:r>
      <w:r w:rsidR="009E07A1" w:rsidRPr="00C11DA4">
        <w:rPr>
          <w:rFonts w:eastAsia="Times New Roman" w:cs="Arial"/>
          <w:sz w:val="24"/>
          <w:szCs w:val="24"/>
          <w:lang w:eastAsia="es-MX"/>
        </w:rPr>
        <w:t xml:space="preserve">sino virtual </w:t>
      </w:r>
      <w:r w:rsidR="00AB0782" w:rsidRPr="00C11DA4">
        <w:rPr>
          <w:rFonts w:eastAsia="Times New Roman" w:cs="Arial"/>
          <w:sz w:val="24"/>
          <w:szCs w:val="24"/>
          <w:lang w:eastAsia="es-MX"/>
        </w:rPr>
        <w:t>de los medios de impugnación</w:t>
      </w:r>
      <w:r w:rsidR="00A17A63" w:rsidRPr="00C11DA4">
        <w:rPr>
          <w:rFonts w:eastAsia="Times New Roman" w:cs="Arial"/>
          <w:sz w:val="24"/>
          <w:szCs w:val="24"/>
          <w:lang w:eastAsia="es-MX"/>
        </w:rPr>
        <w:t xml:space="preserve"> previstos en el artículo 12 del Reglamento Interno, así como los que se consideren urgentes</w:t>
      </w:r>
      <w:r w:rsidR="005113E1" w:rsidRPr="00C11DA4">
        <w:rPr>
          <w:rFonts w:eastAsia="Times New Roman" w:cs="Arial"/>
          <w:sz w:val="24"/>
          <w:szCs w:val="24"/>
          <w:lang w:eastAsia="es-MX"/>
        </w:rPr>
        <w:t xml:space="preserve"> o que pudieran generar la posibilidad de un daño irreparable,</w:t>
      </w:r>
      <w:r w:rsidR="00AB0782" w:rsidRPr="00C11DA4">
        <w:rPr>
          <w:rFonts w:eastAsia="Times New Roman" w:cs="Arial"/>
          <w:sz w:val="24"/>
          <w:szCs w:val="24"/>
          <w:lang w:eastAsia="es-MX"/>
        </w:rPr>
        <w:t xml:space="preserve"> </w:t>
      </w:r>
      <w:r w:rsidR="005B36D5" w:rsidRPr="00C11DA4">
        <w:rPr>
          <w:rFonts w:eastAsia="Times New Roman" w:cs="Arial"/>
          <w:sz w:val="24"/>
          <w:szCs w:val="24"/>
          <w:lang w:eastAsia="es-MX"/>
        </w:rPr>
        <w:t>y que su vigencia dependería de la situación sanitaria por la que atraviese el país, por lo que podr</w:t>
      </w:r>
      <w:r w:rsidR="00FB6E48" w:rsidRPr="00C11DA4">
        <w:rPr>
          <w:rFonts w:eastAsia="Times New Roman" w:cs="Arial"/>
          <w:sz w:val="24"/>
          <w:szCs w:val="24"/>
          <w:lang w:eastAsia="es-MX"/>
        </w:rPr>
        <w:t>ía</w:t>
      </w:r>
      <w:r w:rsidR="005B36D5" w:rsidRPr="00C11DA4">
        <w:rPr>
          <w:rFonts w:eastAsia="Times New Roman" w:cs="Arial"/>
          <w:sz w:val="24"/>
          <w:szCs w:val="24"/>
          <w:lang w:eastAsia="es-MX"/>
        </w:rPr>
        <w:t xml:space="preserve"> modificarse o ampliarse a partir de lo determinado por las autoridades sanitarias.</w:t>
      </w:r>
      <w:r w:rsidR="00637D2B" w:rsidRPr="00C11DA4">
        <w:rPr>
          <w:rFonts w:eastAsia="Times New Roman" w:cs="Arial"/>
          <w:sz w:val="24"/>
          <w:szCs w:val="24"/>
          <w:lang w:eastAsia="es-MX"/>
        </w:rPr>
        <w:t xml:space="preserve"> </w:t>
      </w:r>
    </w:p>
    <w:p w:rsidR="0014524A" w:rsidRPr="00C11DA4" w:rsidRDefault="0014524A" w:rsidP="0014524A">
      <w:pPr>
        <w:shd w:val="clear" w:color="auto" w:fill="FFFFFF"/>
        <w:spacing w:before="100" w:beforeAutospacing="1" w:after="100" w:afterAutospacing="1" w:line="360" w:lineRule="auto"/>
        <w:jc w:val="both"/>
        <w:rPr>
          <w:rFonts w:eastAsia="Times New Roman" w:cs="Arial"/>
          <w:sz w:val="24"/>
          <w:szCs w:val="24"/>
          <w:lang w:eastAsia="es-MX"/>
        </w:rPr>
      </w:pPr>
      <w:r w:rsidRPr="00C11DA4">
        <w:rPr>
          <w:rFonts w:eastAsia="Times New Roman" w:cs="Arial"/>
          <w:sz w:val="24"/>
          <w:szCs w:val="24"/>
          <w:lang w:eastAsia="es-MX"/>
        </w:rPr>
        <w:t>El treinta de marzo, el Consejo de Salubridad General</w:t>
      </w:r>
      <w:r w:rsidRPr="00C11DA4">
        <w:rPr>
          <w:rStyle w:val="Refdenotaalpie"/>
          <w:rFonts w:eastAsia="Times New Roman" w:cs="Arial"/>
          <w:sz w:val="24"/>
          <w:szCs w:val="24"/>
          <w:lang w:eastAsia="es-MX"/>
        </w:rPr>
        <w:footnoteReference w:id="23"/>
      </w:r>
      <w:r w:rsidRPr="00C11DA4">
        <w:rPr>
          <w:rFonts w:eastAsia="Times New Roman" w:cs="Arial"/>
          <w:sz w:val="24"/>
          <w:szCs w:val="24"/>
          <w:lang w:eastAsia="es-MX"/>
        </w:rPr>
        <w:t xml:space="preserve"> emitió un acuerdo en el que declar</w:t>
      </w:r>
      <w:r w:rsidR="00A02A23" w:rsidRPr="00C11DA4">
        <w:rPr>
          <w:rFonts w:eastAsia="Times New Roman" w:cs="Arial"/>
          <w:sz w:val="24"/>
          <w:szCs w:val="24"/>
          <w:lang w:eastAsia="es-MX"/>
        </w:rPr>
        <w:t>ó</w:t>
      </w:r>
      <w:r w:rsidRPr="00C11DA4">
        <w:rPr>
          <w:rFonts w:eastAsia="Times New Roman" w:cs="Arial"/>
          <w:sz w:val="24"/>
          <w:szCs w:val="24"/>
          <w:lang w:eastAsia="es-MX"/>
        </w:rPr>
        <w:t xml:space="preserve"> como emergencia sanitaria por causa de fuerza mayor, a la epidemia de enfermedad generada por el virus SARS-CoV2 (COVID-19).</w:t>
      </w:r>
    </w:p>
    <w:p w:rsidR="00B168D4" w:rsidRDefault="00B62E1B" w:rsidP="00C24FBF">
      <w:pPr>
        <w:pStyle w:val="NormalWeb"/>
        <w:shd w:val="clear" w:color="auto" w:fill="FFFFFF"/>
        <w:spacing w:line="360" w:lineRule="auto"/>
        <w:jc w:val="both"/>
        <w:rPr>
          <w:rFonts w:ascii="Arial" w:hAnsi="Arial" w:cs="Arial"/>
        </w:rPr>
      </w:pPr>
      <w:r w:rsidRPr="00C11DA4">
        <w:rPr>
          <w:rFonts w:ascii="Arial" w:hAnsi="Arial" w:cs="Arial"/>
        </w:rPr>
        <w:t xml:space="preserve">Finalmente, el dos de abril </w:t>
      </w:r>
      <w:r w:rsidR="0067112C" w:rsidRPr="00C11DA4">
        <w:rPr>
          <w:rFonts w:ascii="Arial" w:hAnsi="Arial" w:cs="Arial"/>
        </w:rPr>
        <w:t xml:space="preserve">se emitió </w:t>
      </w:r>
      <w:r w:rsidR="00133057" w:rsidRPr="00C11DA4">
        <w:rPr>
          <w:rFonts w:ascii="Arial" w:hAnsi="Arial" w:cs="Arial"/>
        </w:rPr>
        <w:t>el A</w:t>
      </w:r>
      <w:r w:rsidR="0067112C" w:rsidRPr="00C11DA4">
        <w:rPr>
          <w:rFonts w:ascii="Arial" w:hAnsi="Arial" w:cs="Arial"/>
        </w:rPr>
        <w:t>cuerdo</w:t>
      </w:r>
      <w:r w:rsidR="00133057" w:rsidRPr="00C11DA4">
        <w:rPr>
          <w:rFonts w:ascii="Arial" w:hAnsi="Arial" w:cs="Arial"/>
        </w:rPr>
        <w:t xml:space="preserve"> General 3/2020</w:t>
      </w:r>
      <w:r w:rsidR="00D51BD0" w:rsidRPr="00C11DA4">
        <w:rPr>
          <w:rStyle w:val="Refdenotaalpie"/>
          <w:rFonts w:ascii="Arial" w:hAnsi="Arial" w:cs="Arial"/>
        </w:rPr>
        <w:footnoteReference w:id="24"/>
      </w:r>
      <w:r w:rsidR="00962B0F" w:rsidRPr="00C11DA4">
        <w:rPr>
          <w:rFonts w:ascii="Arial" w:hAnsi="Arial" w:cs="Arial"/>
        </w:rPr>
        <w:t xml:space="preserve"> por el que implementa la firma electrónica certificada del Poder Judicial de la Federación</w:t>
      </w:r>
      <w:r w:rsidR="00CC46B0" w:rsidRPr="00C11DA4">
        <w:rPr>
          <w:rFonts w:ascii="Arial" w:hAnsi="Arial" w:cs="Arial"/>
        </w:rPr>
        <w:t xml:space="preserve"> en los acuerdos, resoluciones y sentencias que se dicten en los medios de impugnación en materia electoral.</w:t>
      </w:r>
    </w:p>
    <w:p w:rsidR="00A55F4D" w:rsidRDefault="00A55F4D" w:rsidP="00C24FBF">
      <w:pPr>
        <w:pStyle w:val="NormalWeb"/>
        <w:shd w:val="clear" w:color="auto" w:fill="FFFFFF"/>
        <w:spacing w:line="360" w:lineRule="auto"/>
        <w:jc w:val="both"/>
        <w:rPr>
          <w:rFonts w:ascii="Arial" w:hAnsi="Arial" w:cs="Arial"/>
        </w:rPr>
      </w:pPr>
    </w:p>
    <w:p w:rsidR="00A55F4D" w:rsidRPr="00C11DA4" w:rsidRDefault="00A55F4D" w:rsidP="00C24FBF">
      <w:pPr>
        <w:pStyle w:val="NormalWeb"/>
        <w:shd w:val="clear" w:color="auto" w:fill="FFFFFF"/>
        <w:spacing w:line="360" w:lineRule="auto"/>
        <w:jc w:val="both"/>
        <w:rPr>
          <w:rFonts w:ascii="Arial" w:hAnsi="Arial" w:cs="Arial"/>
        </w:rPr>
      </w:pPr>
    </w:p>
    <w:p w:rsidR="00C35216" w:rsidRPr="00C11DA4" w:rsidRDefault="001047A6" w:rsidP="00A9556E">
      <w:pPr>
        <w:pStyle w:val="NormalWeb"/>
        <w:shd w:val="clear" w:color="auto" w:fill="FFFFFF"/>
        <w:spacing w:line="360" w:lineRule="auto"/>
        <w:jc w:val="both"/>
        <w:outlineLvl w:val="2"/>
        <w:rPr>
          <w:rFonts w:ascii="Arial" w:hAnsi="Arial" w:cs="Arial"/>
          <w:b/>
        </w:rPr>
      </w:pPr>
      <w:bookmarkStart w:id="18" w:name="_Toc37945913"/>
      <w:r w:rsidRPr="00C11DA4">
        <w:rPr>
          <w:rFonts w:ascii="Arial" w:hAnsi="Arial" w:cs="Arial"/>
          <w:b/>
        </w:rPr>
        <w:t xml:space="preserve">c) </w:t>
      </w:r>
      <w:r w:rsidR="00C35216" w:rsidRPr="00C11DA4">
        <w:rPr>
          <w:rFonts w:ascii="Arial" w:hAnsi="Arial" w:cs="Arial"/>
          <w:b/>
        </w:rPr>
        <w:t xml:space="preserve">El derecho </w:t>
      </w:r>
      <w:r w:rsidR="00FD62A3" w:rsidRPr="00C11DA4">
        <w:rPr>
          <w:rFonts w:ascii="Arial" w:hAnsi="Arial" w:cs="Arial"/>
          <w:b/>
        </w:rPr>
        <w:t>a l</w:t>
      </w:r>
      <w:r w:rsidR="00C35216" w:rsidRPr="00C11DA4">
        <w:rPr>
          <w:rFonts w:ascii="Arial" w:hAnsi="Arial" w:cs="Arial"/>
          <w:b/>
        </w:rPr>
        <w:t>a salud</w:t>
      </w:r>
      <w:bookmarkEnd w:id="18"/>
    </w:p>
    <w:p w:rsidR="00C35216" w:rsidRPr="00C11DA4" w:rsidRDefault="00273FB6" w:rsidP="00DD3D08">
      <w:pPr>
        <w:pStyle w:val="NormalWeb"/>
        <w:shd w:val="clear" w:color="auto" w:fill="FFFFFF"/>
        <w:spacing w:before="0" w:beforeAutospacing="0" w:after="240" w:afterAutospacing="0" w:line="360" w:lineRule="auto"/>
        <w:jc w:val="both"/>
        <w:rPr>
          <w:rFonts w:ascii="Arial" w:hAnsi="Arial" w:cs="Arial"/>
        </w:rPr>
      </w:pPr>
      <w:r w:rsidRPr="00C11DA4">
        <w:rPr>
          <w:rFonts w:ascii="Arial" w:hAnsi="Arial" w:cs="Arial"/>
        </w:rPr>
        <w:t>E</w:t>
      </w:r>
      <w:r w:rsidR="00DD3D08" w:rsidRPr="00C11DA4">
        <w:rPr>
          <w:rFonts w:ascii="Arial" w:hAnsi="Arial" w:cs="Arial"/>
        </w:rPr>
        <w:t>l derecho a la salud previsto en</w:t>
      </w:r>
      <w:r w:rsidRPr="00C11DA4">
        <w:rPr>
          <w:rFonts w:ascii="Arial" w:hAnsi="Arial" w:cs="Arial"/>
        </w:rPr>
        <w:t xml:space="preserve"> el artículo 4</w:t>
      </w:r>
      <w:r w:rsidR="0065096D" w:rsidRPr="00C11DA4">
        <w:rPr>
          <w:rStyle w:val="Refdenotaalpie"/>
          <w:rFonts w:ascii="Arial" w:hAnsi="Arial" w:cs="Arial"/>
        </w:rPr>
        <w:footnoteReference w:id="25"/>
      </w:r>
      <w:r w:rsidRPr="00C11DA4">
        <w:rPr>
          <w:rFonts w:ascii="Arial" w:hAnsi="Arial" w:cs="Arial"/>
        </w:rPr>
        <w:t>,</w:t>
      </w:r>
      <w:r w:rsidR="00DD3D08" w:rsidRPr="00C11DA4">
        <w:rPr>
          <w:rFonts w:ascii="Arial" w:hAnsi="Arial" w:cs="Arial"/>
        </w:rPr>
        <w:t xml:space="preserve"> de la Constitución,</w:t>
      </w:r>
      <w:r w:rsidRPr="00C11DA4">
        <w:rPr>
          <w:rFonts w:ascii="Arial" w:hAnsi="Arial" w:cs="Arial"/>
        </w:rPr>
        <w:t xml:space="preserve"> </w:t>
      </w:r>
      <w:r w:rsidR="00962F4D" w:rsidRPr="00C11DA4">
        <w:rPr>
          <w:rFonts w:ascii="Arial" w:hAnsi="Arial" w:cs="Arial"/>
        </w:rPr>
        <w:t>implica obligaciones positivas para las autoridades, ya que requiere que se asegure asistencia médica</w:t>
      </w:r>
      <w:r w:rsidR="001A1008" w:rsidRPr="00C11DA4">
        <w:rPr>
          <w:rFonts w:ascii="Arial" w:hAnsi="Arial" w:cs="Arial"/>
        </w:rPr>
        <w:t xml:space="preserve"> y también obligaciones positivas de no hacer, es decir, evitar </w:t>
      </w:r>
      <w:r w:rsidR="001265A5" w:rsidRPr="00C11DA4">
        <w:rPr>
          <w:rFonts w:ascii="Arial" w:hAnsi="Arial" w:cs="Arial"/>
        </w:rPr>
        <w:t xml:space="preserve">dañar la salud. </w:t>
      </w:r>
    </w:p>
    <w:p w:rsidR="00781631" w:rsidRPr="00C11DA4" w:rsidRDefault="000E2839" w:rsidP="00612943">
      <w:pPr>
        <w:pStyle w:val="NormalWeb"/>
        <w:shd w:val="clear" w:color="auto" w:fill="FFFFFF"/>
        <w:spacing w:line="360" w:lineRule="auto"/>
        <w:jc w:val="both"/>
        <w:rPr>
          <w:rFonts w:ascii="Arial" w:hAnsi="Arial" w:cs="Arial"/>
        </w:rPr>
      </w:pPr>
      <w:r w:rsidRPr="00C11DA4">
        <w:rPr>
          <w:rFonts w:ascii="Arial" w:hAnsi="Arial" w:cs="Arial"/>
        </w:rPr>
        <w:t xml:space="preserve">La salud tiene </w:t>
      </w:r>
      <w:r w:rsidR="00C60666" w:rsidRPr="00C11DA4">
        <w:rPr>
          <w:rFonts w:ascii="Arial" w:hAnsi="Arial" w:cs="Arial"/>
        </w:rPr>
        <w:t>una dimensión</w:t>
      </w:r>
      <w:r w:rsidRPr="00C11DA4">
        <w:rPr>
          <w:rFonts w:ascii="Arial" w:hAnsi="Arial" w:cs="Arial"/>
        </w:rPr>
        <w:t xml:space="preserve"> individual y otr</w:t>
      </w:r>
      <w:r w:rsidR="00C60666" w:rsidRPr="00C11DA4">
        <w:rPr>
          <w:rFonts w:ascii="Arial" w:hAnsi="Arial" w:cs="Arial"/>
        </w:rPr>
        <w:t>a</w:t>
      </w:r>
      <w:r w:rsidRPr="00C11DA4">
        <w:rPr>
          <w:rFonts w:ascii="Arial" w:hAnsi="Arial" w:cs="Arial"/>
        </w:rPr>
        <w:t xml:space="preserve"> social</w:t>
      </w:r>
      <w:r w:rsidR="00781631" w:rsidRPr="00C11DA4">
        <w:rPr>
          <w:rStyle w:val="Refdenotaalpie"/>
          <w:rFonts w:ascii="Arial" w:hAnsi="Arial" w:cs="Arial"/>
        </w:rPr>
        <w:footnoteReference w:id="26"/>
      </w:r>
      <w:r w:rsidR="00C60666" w:rsidRPr="00C11DA4">
        <w:rPr>
          <w:rFonts w:ascii="Arial" w:hAnsi="Arial" w:cs="Arial"/>
        </w:rPr>
        <w:t xml:space="preserve">, </w:t>
      </w:r>
      <w:r w:rsidR="00781631" w:rsidRPr="00C11DA4">
        <w:rPr>
          <w:rFonts w:ascii="Arial" w:hAnsi="Arial" w:cs="Arial"/>
        </w:rPr>
        <w:t xml:space="preserve">en el aspecto individual es la obtención de un determinado bienestar general integrado por el estado físico, mental, emocional y social de la persona. </w:t>
      </w:r>
    </w:p>
    <w:p w:rsidR="00BB16BE" w:rsidRPr="00C11DA4" w:rsidRDefault="00781631" w:rsidP="00B540BA">
      <w:pPr>
        <w:pStyle w:val="NormalWeb"/>
        <w:shd w:val="clear" w:color="auto" w:fill="FFFFFF"/>
        <w:spacing w:line="360" w:lineRule="auto"/>
        <w:jc w:val="both"/>
        <w:rPr>
          <w:rFonts w:ascii="Arial" w:hAnsi="Arial" w:cs="Arial"/>
        </w:rPr>
      </w:pPr>
      <w:r w:rsidRPr="00C11DA4">
        <w:rPr>
          <w:rFonts w:ascii="Arial" w:hAnsi="Arial" w:cs="Arial"/>
        </w:rPr>
        <w:t>Por otro lado, en la faceta social o pública</w:t>
      </w:r>
      <w:r w:rsidR="002A55FE" w:rsidRPr="00C11DA4">
        <w:rPr>
          <w:rFonts w:ascii="Arial" w:hAnsi="Arial" w:cs="Arial"/>
        </w:rPr>
        <w:t xml:space="preserve">, </w:t>
      </w:r>
      <w:r w:rsidR="00D074F9" w:rsidRPr="00C11DA4">
        <w:rPr>
          <w:rFonts w:ascii="Arial" w:hAnsi="Arial" w:cs="Arial"/>
        </w:rPr>
        <w:t>este derecho</w:t>
      </w:r>
      <w:r w:rsidRPr="00C11DA4">
        <w:rPr>
          <w:rFonts w:ascii="Arial" w:hAnsi="Arial" w:cs="Arial"/>
        </w:rPr>
        <w:t xml:space="preserve"> c</w:t>
      </w:r>
      <w:r w:rsidR="00A546D9" w:rsidRPr="00C11DA4">
        <w:rPr>
          <w:rFonts w:ascii="Arial" w:hAnsi="Arial" w:cs="Arial"/>
        </w:rPr>
        <w:t xml:space="preserve">omprende </w:t>
      </w:r>
      <w:r w:rsidRPr="00C11DA4">
        <w:rPr>
          <w:rFonts w:ascii="Arial" w:hAnsi="Arial" w:cs="Arial"/>
        </w:rPr>
        <w:t xml:space="preserve">el deber del Estado de atender los problemas de salud que afectan a la sociedad en general, </w:t>
      </w:r>
      <w:r w:rsidR="00A546D9" w:rsidRPr="00C11DA4">
        <w:rPr>
          <w:rFonts w:ascii="Arial" w:hAnsi="Arial" w:cs="Arial"/>
        </w:rPr>
        <w:t>para lo cual debe emprender</w:t>
      </w:r>
      <w:r w:rsidRPr="00C11DA4">
        <w:rPr>
          <w:rFonts w:ascii="Arial" w:hAnsi="Arial" w:cs="Arial"/>
        </w:rPr>
        <w:t xml:space="preserve"> las acciones necesarias para alcanzar ese fin, tales como identificación de los principales problemas que afecten la salud pública del conglomerado social, entre otras.</w:t>
      </w:r>
    </w:p>
    <w:p w:rsidR="00A546D9" w:rsidRPr="00C11DA4" w:rsidRDefault="003E7131" w:rsidP="00B540BA">
      <w:pPr>
        <w:pStyle w:val="NormalWeb"/>
        <w:shd w:val="clear" w:color="auto" w:fill="FFFFFF"/>
        <w:spacing w:line="360" w:lineRule="auto"/>
        <w:jc w:val="both"/>
        <w:rPr>
          <w:rFonts w:ascii="Arial" w:hAnsi="Arial" w:cs="Arial"/>
          <w:b/>
        </w:rPr>
      </w:pPr>
      <w:r w:rsidRPr="00C11DA4">
        <w:rPr>
          <w:rFonts w:ascii="Arial" w:hAnsi="Arial" w:cs="Arial"/>
          <w:b/>
        </w:rPr>
        <w:t xml:space="preserve">En esta dimensión colectiva del derecho a la salud necesariamente debe considerarse aquellos factores sociales que la pueden poner en riesgo como son las pandemias. </w:t>
      </w:r>
    </w:p>
    <w:p w:rsidR="002347E4" w:rsidRPr="00C11DA4" w:rsidRDefault="00976977" w:rsidP="00B540BA">
      <w:pPr>
        <w:pStyle w:val="NormalWeb"/>
        <w:shd w:val="clear" w:color="auto" w:fill="FFFFFF"/>
        <w:spacing w:line="360" w:lineRule="auto"/>
        <w:jc w:val="both"/>
        <w:rPr>
          <w:rFonts w:ascii="Arial" w:hAnsi="Arial" w:cs="Arial"/>
        </w:rPr>
      </w:pPr>
      <w:r w:rsidRPr="00C11DA4">
        <w:rPr>
          <w:rFonts w:ascii="Arial" w:hAnsi="Arial" w:cs="Arial"/>
        </w:rPr>
        <w:t>A nivel internacional este derecho está protegido en distintos instrumentos que resultan obligatorios para el Estado mexicano</w:t>
      </w:r>
      <w:r w:rsidR="00731A1D" w:rsidRPr="00C11DA4">
        <w:rPr>
          <w:rStyle w:val="Refdenotaalpie"/>
          <w:rFonts w:ascii="Arial" w:hAnsi="Arial" w:cs="Arial"/>
        </w:rPr>
        <w:footnoteReference w:id="27"/>
      </w:r>
      <w:r w:rsidRPr="00C11DA4">
        <w:rPr>
          <w:rFonts w:ascii="Arial" w:hAnsi="Arial" w:cs="Arial"/>
        </w:rPr>
        <w:t xml:space="preserve">. </w:t>
      </w:r>
    </w:p>
    <w:p w:rsidR="009D69C4" w:rsidRPr="00C11DA4" w:rsidRDefault="00DC2A9A" w:rsidP="00B540BA">
      <w:pPr>
        <w:pStyle w:val="NormalWeb"/>
        <w:shd w:val="clear" w:color="auto" w:fill="FFFFFF"/>
        <w:spacing w:line="360" w:lineRule="auto"/>
        <w:jc w:val="both"/>
        <w:rPr>
          <w:rFonts w:ascii="Arial" w:hAnsi="Arial" w:cs="Arial"/>
          <w:color w:val="000000"/>
        </w:rPr>
      </w:pPr>
      <w:r w:rsidRPr="00C11DA4">
        <w:rPr>
          <w:rFonts w:ascii="Arial" w:hAnsi="Arial" w:cs="Arial"/>
          <w:color w:val="000000"/>
        </w:rPr>
        <w:t>L</w:t>
      </w:r>
      <w:r w:rsidR="00B540BA" w:rsidRPr="00C11DA4">
        <w:rPr>
          <w:rFonts w:ascii="Arial" w:hAnsi="Arial" w:cs="Arial"/>
          <w:color w:val="000000"/>
        </w:rPr>
        <w:t xml:space="preserve">a protección del derecho a la salud </w:t>
      </w:r>
      <w:r w:rsidR="009D69C4" w:rsidRPr="00C11DA4">
        <w:rPr>
          <w:rFonts w:ascii="Arial" w:hAnsi="Arial" w:cs="Arial"/>
          <w:color w:val="000000"/>
        </w:rPr>
        <w:t>entraña</w:t>
      </w:r>
      <w:r w:rsidR="00B540BA" w:rsidRPr="00C11DA4">
        <w:rPr>
          <w:rFonts w:ascii="Arial" w:hAnsi="Arial" w:cs="Arial"/>
          <w:color w:val="000000"/>
        </w:rPr>
        <w:t xml:space="preserve"> obligaciones </w:t>
      </w:r>
      <w:r w:rsidR="009D69C4" w:rsidRPr="00C11DA4">
        <w:rPr>
          <w:rFonts w:ascii="Arial" w:hAnsi="Arial" w:cs="Arial"/>
          <w:color w:val="000000"/>
        </w:rPr>
        <w:t xml:space="preserve">para todas las autoridades del país, </w:t>
      </w:r>
      <w:r w:rsidR="00E7120D" w:rsidRPr="00C11DA4">
        <w:rPr>
          <w:rFonts w:ascii="Arial" w:hAnsi="Arial" w:cs="Arial"/>
          <w:color w:val="000000"/>
        </w:rPr>
        <w:t>acorde a lo que dispone</w:t>
      </w:r>
      <w:r w:rsidR="009D69C4" w:rsidRPr="00C11DA4">
        <w:rPr>
          <w:rFonts w:ascii="Arial" w:hAnsi="Arial" w:cs="Arial"/>
          <w:color w:val="000000"/>
        </w:rPr>
        <w:t xml:space="preserve"> el artículo 1 de la Constitución, </w:t>
      </w:r>
      <w:r w:rsidR="00A31C29" w:rsidRPr="00C11DA4">
        <w:rPr>
          <w:rFonts w:ascii="Arial" w:hAnsi="Arial" w:cs="Arial"/>
          <w:color w:val="000000"/>
        </w:rPr>
        <w:t>por lo que, deben velar por evitar amenazas a este der</w:t>
      </w:r>
      <w:r w:rsidR="0028494E" w:rsidRPr="00C11DA4">
        <w:rPr>
          <w:rFonts w:ascii="Arial" w:hAnsi="Arial" w:cs="Arial"/>
          <w:color w:val="000000"/>
        </w:rPr>
        <w:t>echo.</w:t>
      </w:r>
    </w:p>
    <w:p w:rsidR="0028494E" w:rsidRPr="00C11DA4" w:rsidRDefault="0028494E" w:rsidP="00B540BA">
      <w:pPr>
        <w:pStyle w:val="NormalWeb"/>
        <w:shd w:val="clear" w:color="auto" w:fill="FFFFFF"/>
        <w:spacing w:line="360" w:lineRule="auto"/>
        <w:jc w:val="both"/>
        <w:rPr>
          <w:rFonts w:ascii="Arial" w:hAnsi="Arial" w:cs="Arial"/>
          <w:color w:val="000000"/>
        </w:rPr>
      </w:pPr>
      <w:r w:rsidRPr="00C11DA4">
        <w:rPr>
          <w:rFonts w:ascii="Arial" w:hAnsi="Arial" w:cs="Arial"/>
          <w:color w:val="000000"/>
        </w:rPr>
        <w:t>El derecho a la salud es tan primordial porque de él depende uno de los derechos más básicos de todos, que es el de la vida</w:t>
      </w:r>
      <w:r w:rsidR="005F2640" w:rsidRPr="00C11DA4">
        <w:rPr>
          <w:rFonts w:ascii="Arial" w:hAnsi="Arial" w:cs="Arial"/>
          <w:color w:val="000000"/>
        </w:rPr>
        <w:t xml:space="preserve">. </w:t>
      </w:r>
    </w:p>
    <w:p w:rsidR="00FB6FF1" w:rsidRPr="00C11DA4" w:rsidRDefault="00C35216" w:rsidP="007E6520">
      <w:pPr>
        <w:pStyle w:val="NormalWeb"/>
        <w:shd w:val="clear" w:color="auto" w:fill="FFFFFF"/>
        <w:spacing w:line="360" w:lineRule="auto"/>
        <w:jc w:val="both"/>
        <w:outlineLvl w:val="2"/>
        <w:rPr>
          <w:rFonts w:ascii="Arial" w:hAnsi="Arial" w:cs="Arial"/>
          <w:b/>
        </w:rPr>
      </w:pPr>
      <w:bookmarkStart w:id="19" w:name="_Toc37945914"/>
      <w:r w:rsidRPr="00C11DA4">
        <w:rPr>
          <w:rFonts w:ascii="Arial" w:hAnsi="Arial" w:cs="Arial"/>
          <w:b/>
        </w:rPr>
        <w:t xml:space="preserve">d) </w:t>
      </w:r>
      <w:r w:rsidR="001047A6" w:rsidRPr="00C11DA4">
        <w:rPr>
          <w:rFonts w:ascii="Arial" w:hAnsi="Arial" w:cs="Arial"/>
          <w:b/>
        </w:rPr>
        <w:t>Caso concreto</w:t>
      </w:r>
      <w:bookmarkEnd w:id="19"/>
    </w:p>
    <w:p w:rsidR="001047A6" w:rsidRPr="00C11DA4" w:rsidRDefault="001047A6" w:rsidP="004A401D">
      <w:pPr>
        <w:pStyle w:val="NormalWeb"/>
        <w:shd w:val="clear" w:color="auto" w:fill="FFFFFF"/>
        <w:spacing w:line="360" w:lineRule="auto"/>
        <w:jc w:val="both"/>
        <w:rPr>
          <w:rFonts w:ascii="Arial" w:hAnsi="Arial" w:cs="Arial"/>
        </w:rPr>
      </w:pPr>
      <w:r w:rsidRPr="00C11DA4">
        <w:rPr>
          <w:rFonts w:ascii="Arial" w:hAnsi="Arial" w:cs="Arial"/>
        </w:rPr>
        <w:t xml:space="preserve">En el caso, la actora señala que </w:t>
      </w:r>
      <w:r w:rsidR="00B47F0A" w:rsidRPr="00C11DA4">
        <w:rPr>
          <w:rFonts w:ascii="Arial" w:hAnsi="Arial" w:cs="Arial"/>
        </w:rPr>
        <w:t>el Tribunal</w:t>
      </w:r>
      <w:r w:rsidR="001E7B71" w:rsidRPr="00C11DA4">
        <w:rPr>
          <w:rFonts w:ascii="Arial" w:hAnsi="Arial" w:cs="Arial"/>
        </w:rPr>
        <w:t xml:space="preserve"> local</w:t>
      </w:r>
      <w:r w:rsidR="00B47F0A" w:rsidRPr="00C11DA4">
        <w:rPr>
          <w:rFonts w:ascii="Arial" w:hAnsi="Arial" w:cs="Arial"/>
        </w:rPr>
        <w:t xml:space="preserve"> ha sido omiso en regular las notificaciones electrónicas, razón por la cual resultaba </w:t>
      </w:r>
      <w:r w:rsidR="00E711EB" w:rsidRPr="00C11DA4">
        <w:rPr>
          <w:rFonts w:ascii="Arial" w:hAnsi="Arial" w:cs="Arial"/>
        </w:rPr>
        <w:t xml:space="preserve">contrario a Derecho el acuerdo de trámite en el que la Magistrada Instructora </w:t>
      </w:r>
      <w:r w:rsidR="003B4C17" w:rsidRPr="00C11DA4">
        <w:rPr>
          <w:rFonts w:ascii="Arial" w:hAnsi="Arial" w:cs="Arial"/>
        </w:rPr>
        <w:t xml:space="preserve">no </w:t>
      </w:r>
      <w:r w:rsidR="001E7B71" w:rsidRPr="00C11DA4">
        <w:rPr>
          <w:rFonts w:ascii="Arial" w:hAnsi="Arial" w:cs="Arial"/>
        </w:rPr>
        <w:t xml:space="preserve">acordó </w:t>
      </w:r>
      <w:r w:rsidR="003B4C17" w:rsidRPr="00C11DA4">
        <w:rPr>
          <w:rFonts w:ascii="Arial" w:hAnsi="Arial" w:cs="Arial"/>
        </w:rPr>
        <w:t xml:space="preserve">en su favor realizar las notificaciones por esa vía. </w:t>
      </w:r>
    </w:p>
    <w:p w:rsidR="00D5766E" w:rsidRPr="00C11DA4" w:rsidRDefault="00D5766E" w:rsidP="004A401D">
      <w:pPr>
        <w:pStyle w:val="NormalWeb"/>
        <w:shd w:val="clear" w:color="auto" w:fill="FFFFFF"/>
        <w:spacing w:line="360" w:lineRule="auto"/>
        <w:jc w:val="both"/>
        <w:rPr>
          <w:rFonts w:ascii="Arial" w:hAnsi="Arial" w:cs="Arial"/>
        </w:rPr>
      </w:pPr>
      <w:r w:rsidRPr="00C11DA4">
        <w:rPr>
          <w:rFonts w:ascii="Arial" w:hAnsi="Arial" w:cs="Arial"/>
        </w:rPr>
        <w:t xml:space="preserve">Considera la promovente que la implementación de las notificaciones electrónicas resulta de suma importancia dada la contingencia sanitaria en la que </w:t>
      </w:r>
      <w:r w:rsidR="00741B8E" w:rsidRPr="00C11DA4">
        <w:rPr>
          <w:rFonts w:ascii="Arial" w:hAnsi="Arial" w:cs="Arial"/>
        </w:rPr>
        <w:t xml:space="preserve">nos encontramos. </w:t>
      </w:r>
    </w:p>
    <w:p w:rsidR="003B4C17" w:rsidRPr="00C11DA4" w:rsidRDefault="003B4C17" w:rsidP="004A401D">
      <w:pPr>
        <w:pStyle w:val="NormalWeb"/>
        <w:shd w:val="clear" w:color="auto" w:fill="FFFFFF"/>
        <w:spacing w:line="360" w:lineRule="auto"/>
        <w:jc w:val="both"/>
        <w:rPr>
          <w:rFonts w:ascii="Arial" w:hAnsi="Arial" w:cs="Arial"/>
        </w:rPr>
      </w:pPr>
      <w:r w:rsidRPr="00C11DA4">
        <w:rPr>
          <w:rFonts w:ascii="Arial" w:hAnsi="Arial" w:cs="Arial"/>
        </w:rPr>
        <w:t xml:space="preserve">El Tribunal local en su informe circunstanciado aduce que </w:t>
      </w:r>
      <w:r w:rsidR="00C76533" w:rsidRPr="00C11DA4">
        <w:rPr>
          <w:rFonts w:ascii="Arial" w:hAnsi="Arial" w:cs="Arial"/>
        </w:rPr>
        <w:t>tiene</w:t>
      </w:r>
      <w:r w:rsidR="00741B8E" w:rsidRPr="00C11DA4">
        <w:rPr>
          <w:rFonts w:ascii="Arial" w:hAnsi="Arial" w:cs="Arial"/>
        </w:rPr>
        <w:t xml:space="preserve"> un </w:t>
      </w:r>
      <w:r w:rsidR="00AD034B" w:rsidRPr="00C11DA4">
        <w:rPr>
          <w:rFonts w:ascii="Arial" w:hAnsi="Arial" w:cs="Arial"/>
        </w:rPr>
        <w:t xml:space="preserve">sistema de notificaciones electrónicas y que por ello no se ha regulado, además de que </w:t>
      </w:r>
      <w:r w:rsidR="00C76533" w:rsidRPr="00C11DA4">
        <w:rPr>
          <w:rFonts w:ascii="Arial" w:hAnsi="Arial" w:cs="Arial"/>
        </w:rPr>
        <w:t>no cuenta con</w:t>
      </w:r>
      <w:r w:rsidR="00AD034B" w:rsidRPr="00C11DA4">
        <w:rPr>
          <w:rFonts w:ascii="Arial" w:hAnsi="Arial" w:cs="Arial"/>
        </w:rPr>
        <w:t xml:space="preserve"> un presupuesto para su realización, pero, que </w:t>
      </w:r>
      <w:r w:rsidR="00DF5D6B" w:rsidRPr="00C11DA4">
        <w:rPr>
          <w:rFonts w:ascii="Arial" w:hAnsi="Arial" w:cs="Arial"/>
        </w:rPr>
        <w:t>por esa razón</w:t>
      </w:r>
      <w:r w:rsidR="00DB66C0" w:rsidRPr="00C11DA4">
        <w:rPr>
          <w:rFonts w:ascii="Arial" w:hAnsi="Arial" w:cs="Arial"/>
        </w:rPr>
        <w:t xml:space="preserve"> había requerido a la actora</w:t>
      </w:r>
      <w:r w:rsidR="00D961C0" w:rsidRPr="00C11DA4">
        <w:rPr>
          <w:rFonts w:ascii="Arial" w:hAnsi="Arial" w:cs="Arial"/>
        </w:rPr>
        <w:t xml:space="preserve"> a que </w:t>
      </w:r>
      <w:r w:rsidR="00DB66C0" w:rsidRPr="00C11DA4">
        <w:rPr>
          <w:rFonts w:ascii="Arial" w:hAnsi="Arial" w:cs="Arial"/>
        </w:rPr>
        <w:t>señalar</w:t>
      </w:r>
      <w:r w:rsidR="00D961C0" w:rsidRPr="00C11DA4">
        <w:rPr>
          <w:rFonts w:ascii="Arial" w:hAnsi="Arial" w:cs="Arial"/>
        </w:rPr>
        <w:t>a</w:t>
      </w:r>
      <w:r w:rsidR="00DB66C0" w:rsidRPr="00C11DA4">
        <w:rPr>
          <w:rFonts w:ascii="Arial" w:hAnsi="Arial" w:cs="Arial"/>
        </w:rPr>
        <w:t xml:space="preserve"> un domicilio para oír y recibir notificaciones</w:t>
      </w:r>
      <w:r w:rsidR="00AD034B" w:rsidRPr="00C11DA4">
        <w:rPr>
          <w:rFonts w:ascii="Arial" w:hAnsi="Arial" w:cs="Arial"/>
        </w:rPr>
        <w:t xml:space="preserve">. </w:t>
      </w:r>
    </w:p>
    <w:p w:rsidR="00DB66C0" w:rsidRPr="00C11DA4" w:rsidRDefault="00CC1509" w:rsidP="00C623AF">
      <w:pPr>
        <w:pStyle w:val="NormalWeb"/>
        <w:shd w:val="clear" w:color="auto" w:fill="FFFFFF"/>
        <w:spacing w:line="276" w:lineRule="auto"/>
        <w:jc w:val="both"/>
        <w:outlineLvl w:val="2"/>
        <w:rPr>
          <w:rFonts w:ascii="Arial" w:hAnsi="Arial" w:cs="Arial"/>
          <w:b/>
        </w:rPr>
      </w:pPr>
      <w:bookmarkStart w:id="20" w:name="_Toc37945915"/>
      <w:r w:rsidRPr="00C11DA4">
        <w:rPr>
          <w:rFonts w:ascii="Arial" w:hAnsi="Arial" w:cs="Arial"/>
          <w:b/>
        </w:rPr>
        <w:t>e</w:t>
      </w:r>
      <w:r w:rsidR="00632D88" w:rsidRPr="00C11DA4">
        <w:rPr>
          <w:rFonts w:ascii="Arial" w:hAnsi="Arial" w:cs="Arial"/>
          <w:b/>
        </w:rPr>
        <w:t>) Decisión</w:t>
      </w:r>
      <w:bookmarkEnd w:id="20"/>
    </w:p>
    <w:p w:rsidR="00632D88" w:rsidRPr="00C11DA4" w:rsidRDefault="00632D88" w:rsidP="00C623AF">
      <w:pPr>
        <w:pStyle w:val="NormalWeb"/>
        <w:shd w:val="clear" w:color="auto" w:fill="FFFFFF"/>
        <w:spacing w:line="276" w:lineRule="auto"/>
        <w:jc w:val="both"/>
        <w:rPr>
          <w:rFonts w:ascii="Arial" w:hAnsi="Arial" w:cs="Arial"/>
        </w:rPr>
      </w:pPr>
      <w:r w:rsidRPr="00C11DA4">
        <w:rPr>
          <w:rFonts w:ascii="Arial" w:hAnsi="Arial" w:cs="Arial"/>
        </w:rPr>
        <w:t xml:space="preserve">Esta Sala Superior considera </w:t>
      </w:r>
      <w:r w:rsidRPr="00C11DA4">
        <w:rPr>
          <w:rFonts w:ascii="Arial" w:hAnsi="Arial" w:cs="Arial"/>
          <w:b/>
        </w:rPr>
        <w:t xml:space="preserve">fundada </w:t>
      </w:r>
      <w:r w:rsidRPr="00C11DA4">
        <w:rPr>
          <w:rFonts w:ascii="Arial" w:hAnsi="Arial" w:cs="Arial"/>
        </w:rPr>
        <w:t>la omisión</w:t>
      </w:r>
      <w:r w:rsidR="008471D2" w:rsidRPr="00C11DA4">
        <w:rPr>
          <w:rFonts w:ascii="Arial" w:hAnsi="Arial" w:cs="Arial"/>
        </w:rPr>
        <w:t>,</w:t>
      </w:r>
      <w:r w:rsidR="00385A53" w:rsidRPr="00C11DA4">
        <w:rPr>
          <w:rFonts w:ascii="Arial" w:hAnsi="Arial" w:cs="Arial"/>
        </w:rPr>
        <w:t xml:space="preserve"> por lo que a continuación se explica. </w:t>
      </w:r>
    </w:p>
    <w:p w:rsidR="00385A53" w:rsidRPr="00C11DA4" w:rsidRDefault="00385A53" w:rsidP="004A401D">
      <w:pPr>
        <w:pStyle w:val="NormalWeb"/>
        <w:shd w:val="clear" w:color="auto" w:fill="FFFFFF"/>
        <w:spacing w:line="360" w:lineRule="auto"/>
        <w:jc w:val="both"/>
        <w:rPr>
          <w:rFonts w:ascii="Arial" w:hAnsi="Arial" w:cs="Arial"/>
          <w:b/>
        </w:rPr>
      </w:pPr>
      <w:r w:rsidRPr="00C11DA4">
        <w:rPr>
          <w:rFonts w:ascii="Arial" w:hAnsi="Arial" w:cs="Arial"/>
        </w:rPr>
        <w:t>La Ley de Medios de Oaxaca</w:t>
      </w:r>
      <w:r w:rsidR="00D961C0" w:rsidRPr="00C11DA4">
        <w:rPr>
          <w:rFonts w:ascii="Arial" w:hAnsi="Arial" w:cs="Arial"/>
        </w:rPr>
        <w:t xml:space="preserve">, como se </w:t>
      </w:r>
      <w:r w:rsidR="008471D2" w:rsidRPr="00C11DA4">
        <w:rPr>
          <w:rFonts w:ascii="Arial" w:hAnsi="Arial" w:cs="Arial"/>
        </w:rPr>
        <w:t>señaló</w:t>
      </w:r>
      <w:r w:rsidR="00D961C0" w:rsidRPr="00C11DA4">
        <w:rPr>
          <w:rFonts w:ascii="Arial" w:hAnsi="Arial" w:cs="Arial"/>
        </w:rPr>
        <w:t>, establece las</w:t>
      </w:r>
      <w:r w:rsidRPr="00C11DA4">
        <w:rPr>
          <w:rFonts w:ascii="Arial" w:hAnsi="Arial" w:cs="Arial"/>
        </w:rPr>
        <w:t xml:space="preserve"> notificaciones electrónicas desde que se </w:t>
      </w:r>
      <w:r w:rsidR="00C55236" w:rsidRPr="00C11DA4">
        <w:rPr>
          <w:rFonts w:ascii="Arial" w:hAnsi="Arial" w:cs="Arial"/>
        </w:rPr>
        <w:t>publicó en el Periódico Oficial de la entidad el diecisiete de agosto de dos mil doce</w:t>
      </w:r>
      <w:r w:rsidR="00D961C0" w:rsidRPr="00C11DA4">
        <w:rPr>
          <w:rFonts w:ascii="Arial" w:hAnsi="Arial" w:cs="Arial"/>
        </w:rPr>
        <w:t xml:space="preserve">, es decir, </w:t>
      </w:r>
      <w:r w:rsidR="00D961C0" w:rsidRPr="00C11DA4">
        <w:rPr>
          <w:rFonts w:ascii="Arial" w:hAnsi="Arial" w:cs="Arial"/>
          <w:b/>
        </w:rPr>
        <w:t xml:space="preserve">han pasado ya </w:t>
      </w:r>
      <w:r w:rsidR="0031143A" w:rsidRPr="00C11DA4">
        <w:rPr>
          <w:rFonts w:ascii="Arial" w:hAnsi="Arial" w:cs="Arial"/>
          <w:b/>
        </w:rPr>
        <w:t xml:space="preserve">casi ocho años desde que se emitió la ley a la fecha en que </w:t>
      </w:r>
      <w:r w:rsidR="008E3F22" w:rsidRPr="00C11DA4">
        <w:rPr>
          <w:rFonts w:ascii="Arial" w:hAnsi="Arial" w:cs="Arial"/>
          <w:b/>
        </w:rPr>
        <w:t xml:space="preserve">contempla la vía electrónica para realizar las notificaciones. </w:t>
      </w:r>
    </w:p>
    <w:p w:rsidR="00BE26C8" w:rsidRPr="00C11DA4" w:rsidRDefault="00901EF1" w:rsidP="004A401D">
      <w:pPr>
        <w:pStyle w:val="NormalWeb"/>
        <w:shd w:val="clear" w:color="auto" w:fill="FFFFFF"/>
        <w:spacing w:line="360" w:lineRule="auto"/>
        <w:jc w:val="both"/>
        <w:rPr>
          <w:rFonts w:ascii="Arial" w:hAnsi="Arial" w:cs="Arial"/>
        </w:rPr>
      </w:pPr>
      <w:bookmarkStart w:id="21" w:name="_Hlk15984589"/>
      <w:r w:rsidRPr="00C11DA4">
        <w:rPr>
          <w:rFonts w:ascii="Arial" w:hAnsi="Arial" w:cs="Arial"/>
        </w:rPr>
        <w:t>Ahora bien, la razón del Tribunal de Oaxaca para no realizar las notificaciones electrónicas</w:t>
      </w:r>
      <w:r w:rsidR="008471D2" w:rsidRPr="00C11DA4">
        <w:rPr>
          <w:rFonts w:ascii="Arial" w:hAnsi="Arial" w:cs="Arial"/>
        </w:rPr>
        <w:t>, según lo refiere en su informe circunstanciado,</w:t>
      </w:r>
      <w:r w:rsidRPr="00C11DA4">
        <w:rPr>
          <w:rFonts w:ascii="Arial" w:hAnsi="Arial" w:cs="Arial"/>
        </w:rPr>
        <w:t xml:space="preserve"> es porque no ha emitido la </w:t>
      </w:r>
      <w:r w:rsidR="00EF3B3D" w:rsidRPr="00C11DA4">
        <w:rPr>
          <w:rFonts w:ascii="Arial" w:hAnsi="Arial" w:cs="Arial"/>
        </w:rPr>
        <w:t>regulación respectiva, es decir, la propia autoridad reconoce que ha sido omisa en acatar lo que establece la Ley de Medios</w:t>
      </w:r>
      <w:r w:rsidR="008762A2" w:rsidRPr="00C11DA4">
        <w:rPr>
          <w:rFonts w:ascii="Arial" w:hAnsi="Arial" w:cs="Arial"/>
        </w:rPr>
        <w:t>, no obstante que ya transcurrió un plazo más que razonable</w:t>
      </w:r>
      <w:r w:rsidR="00BE26C8" w:rsidRPr="00C11DA4">
        <w:rPr>
          <w:rFonts w:ascii="Arial" w:hAnsi="Arial" w:cs="Arial"/>
        </w:rPr>
        <w:t>.</w:t>
      </w:r>
    </w:p>
    <w:p w:rsidR="006F25AD" w:rsidRPr="00C11DA4" w:rsidRDefault="00C0082B" w:rsidP="004A401D">
      <w:pPr>
        <w:pStyle w:val="NormalWeb"/>
        <w:shd w:val="clear" w:color="auto" w:fill="FFFFFF"/>
        <w:spacing w:line="360" w:lineRule="auto"/>
        <w:jc w:val="both"/>
        <w:rPr>
          <w:rFonts w:ascii="Arial" w:hAnsi="Arial" w:cs="Arial"/>
        </w:rPr>
      </w:pPr>
      <w:r w:rsidRPr="00C11DA4">
        <w:rPr>
          <w:rFonts w:ascii="Arial" w:hAnsi="Arial" w:cs="Arial"/>
        </w:rPr>
        <w:t xml:space="preserve">Emitir la regulación referente a las notificaciones electrónicas es indispensable para que éstas puedan operar, </w:t>
      </w:r>
      <w:r w:rsidR="000356D0" w:rsidRPr="00C11DA4">
        <w:rPr>
          <w:rFonts w:ascii="Arial" w:hAnsi="Arial" w:cs="Arial"/>
        </w:rPr>
        <w:t xml:space="preserve">porque es necesario que el Tribunal local </w:t>
      </w:r>
      <w:r w:rsidR="000F4A3C" w:rsidRPr="00C11DA4">
        <w:rPr>
          <w:rFonts w:ascii="Arial" w:hAnsi="Arial" w:cs="Arial"/>
        </w:rPr>
        <w:t xml:space="preserve">especifique </w:t>
      </w:r>
      <w:r w:rsidR="00123204" w:rsidRPr="00C11DA4">
        <w:rPr>
          <w:rFonts w:ascii="Arial" w:hAnsi="Arial" w:cs="Arial"/>
        </w:rPr>
        <w:t xml:space="preserve">el mecanismo técnico de seguridad </w:t>
      </w:r>
      <w:r w:rsidR="002371F0" w:rsidRPr="00C11DA4">
        <w:rPr>
          <w:rFonts w:ascii="Arial" w:hAnsi="Arial" w:cs="Arial"/>
        </w:rPr>
        <w:t>a través del cual funcionarían</w:t>
      </w:r>
      <w:r w:rsidR="000F4A3C" w:rsidRPr="00C11DA4">
        <w:rPr>
          <w:rFonts w:ascii="Arial" w:hAnsi="Arial" w:cs="Arial"/>
        </w:rPr>
        <w:t xml:space="preserve">. </w:t>
      </w:r>
    </w:p>
    <w:p w:rsidR="00FF5A8F" w:rsidRPr="00C11DA4" w:rsidRDefault="009D4922" w:rsidP="004A401D">
      <w:pPr>
        <w:pStyle w:val="NormalWeb"/>
        <w:shd w:val="clear" w:color="auto" w:fill="FFFFFF"/>
        <w:spacing w:line="360" w:lineRule="auto"/>
        <w:jc w:val="both"/>
        <w:rPr>
          <w:rFonts w:ascii="Arial" w:hAnsi="Arial" w:cs="Arial"/>
        </w:rPr>
      </w:pPr>
      <w:r w:rsidRPr="00C11DA4">
        <w:rPr>
          <w:rFonts w:ascii="Arial" w:hAnsi="Arial" w:cs="Arial"/>
        </w:rPr>
        <w:t>Al respecto, el Tribunal local cuenta con facultades para emitir acuerdos generales</w:t>
      </w:r>
      <w:r w:rsidR="007E180A" w:rsidRPr="00C11DA4">
        <w:rPr>
          <w:rFonts w:ascii="Arial" w:hAnsi="Arial" w:cs="Arial"/>
        </w:rPr>
        <w:t xml:space="preserve"> y lineamientos</w:t>
      </w:r>
      <w:r w:rsidR="007E180A" w:rsidRPr="00C11DA4">
        <w:rPr>
          <w:rStyle w:val="Refdenotaalpie"/>
          <w:rFonts w:ascii="Arial" w:hAnsi="Arial" w:cs="Arial"/>
        </w:rPr>
        <w:footnoteReference w:id="28"/>
      </w:r>
      <w:r w:rsidRPr="00C11DA4">
        <w:rPr>
          <w:rFonts w:ascii="Arial" w:hAnsi="Arial" w:cs="Arial"/>
        </w:rPr>
        <w:t xml:space="preserve"> que </w:t>
      </w:r>
      <w:r w:rsidR="007E180A" w:rsidRPr="00C11DA4">
        <w:rPr>
          <w:rFonts w:ascii="Arial" w:hAnsi="Arial" w:cs="Arial"/>
        </w:rPr>
        <w:t xml:space="preserve">se requieran para su funcionamiento. </w:t>
      </w:r>
    </w:p>
    <w:bookmarkEnd w:id="21"/>
    <w:p w:rsidR="002159F4" w:rsidRPr="00C11DA4" w:rsidRDefault="002159F4" w:rsidP="004A401D">
      <w:pPr>
        <w:pStyle w:val="NormalWeb"/>
        <w:shd w:val="clear" w:color="auto" w:fill="FFFFFF"/>
        <w:spacing w:line="360" w:lineRule="auto"/>
        <w:jc w:val="both"/>
        <w:rPr>
          <w:rFonts w:ascii="Arial" w:hAnsi="Arial" w:cs="Arial"/>
        </w:rPr>
      </w:pPr>
      <w:r w:rsidRPr="00C11DA4">
        <w:rPr>
          <w:rFonts w:ascii="Arial" w:hAnsi="Arial" w:cs="Arial"/>
        </w:rPr>
        <w:t>Por lo que, esta Sala Superior considera que el Tribunal</w:t>
      </w:r>
      <w:r w:rsidR="001E7B71" w:rsidRPr="00C11DA4">
        <w:rPr>
          <w:rFonts w:ascii="Arial" w:hAnsi="Arial" w:cs="Arial"/>
        </w:rPr>
        <w:t xml:space="preserve"> local</w:t>
      </w:r>
      <w:r w:rsidRPr="00C11DA4">
        <w:rPr>
          <w:rFonts w:ascii="Arial" w:hAnsi="Arial" w:cs="Arial"/>
        </w:rPr>
        <w:t xml:space="preserve"> ha incurrido en una omisión </w:t>
      </w:r>
      <w:r w:rsidR="00A95A83" w:rsidRPr="00C11DA4">
        <w:rPr>
          <w:rFonts w:ascii="Arial" w:hAnsi="Arial" w:cs="Arial"/>
        </w:rPr>
        <w:t xml:space="preserve">de ejercer sus atribuciones para emitir el acuerdo o lineamientos en los que se definan los parámetros u operatividad de las notificaciones electrónicas. </w:t>
      </w:r>
    </w:p>
    <w:p w:rsidR="005B4E5D" w:rsidRPr="00C11DA4" w:rsidRDefault="005B4E5D" w:rsidP="005B4E5D">
      <w:pPr>
        <w:pStyle w:val="NormalWeb"/>
        <w:shd w:val="clear" w:color="auto" w:fill="FFFFFF"/>
        <w:spacing w:line="360" w:lineRule="auto"/>
        <w:jc w:val="both"/>
        <w:rPr>
          <w:rFonts w:ascii="Arial" w:hAnsi="Arial" w:cs="Arial"/>
        </w:rPr>
      </w:pPr>
      <w:r w:rsidRPr="00C11DA4">
        <w:rPr>
          <w:rFonts w:ascii="Arial" w:hAnsi="Arial" w:cs="Arial"/>
        </w:rPr>
        <w:t xml:space="preserve">Lo anterior, ya que se insiste que para que puedan operar las notificaciones electrónicas no basta con que la Ley de Medios lo </w:t>
      </w:r>
      <w:r w:rsidR="00004AA7" w:rsidRPr="00C11DA4">
        <w:rPr>
          <w:rFonts w:ascii="Arial" w:hAnsi="Arial" w:cs="Arial"/>
        </w:rPr>
        <w:t>establezca,</w:t>
      </w:r>
      <w:r w:rsidRPr="00C11DA4">
        <w:rPr>
          <w:rFonts w:ascii="Arial" w:hAnsi="Arial" w:cs="Arial"/>
        </w:rPr>
        <w:t xml:space="preserve"> sino que es necesario que el Tribunal local emita el manual o regulación relativa que garantice la autenticidad e integridad del contenido de las notificaciones que se realicen en los asuntos de su competencia. </w:t>
      </w:r>
    </w:p>
    <w:p w:rsidR="00F8722E" w:rsidRPr="00C11DA4" w:rsidRDefault="00FF15A5" w:rsidP="004A401D">
      <w:pPr>
        <w:pStyle w:val="NormalWeb"/>
        <w:shd w:val="clear" w:color="auto" w:fill="FFFFFF"/>
        <w:spacing w:line="360" w:lineRule="auto"/>
        <w:jc w:val="both"/>
        <w:rPr>
          <w:rFonts w:ascii="Arial" w:hAnsi="Arial" w:cs="Arial"/>
        </w:rPr>
      </w:pPr>
      <w:r w:rsidRPr="00C11DA4">
        <w:rPr>
          <w:rFonts w:ascii="Arial" w:hAnsi="Arial" w:cs="Arial"/>
        </w:rPr>
        <w:t xml:space="preserve">Precisado lo anterior, </w:t>
      </w:r>
      <w:r w:rsidRPr="00C11DA4">
        <w:rPr>
          <w:rFonts w:ascii="Arial" w:hAnsi="Arial" w:cs="Arial"/>
          <w:b/>
        </w:rPr>
        <w:t xml:space="preserve">se debe determinar </w:t>
      </w:r>
      <w:r w:rsidR="005F38CC" w:rsidRPr="00C11DA4">
        <w:rPr>
          <w:rFonts w:ascii="Arial" w:hAnsi="Arial" w:cs="Arial"/>
          <w:b/>
        </w:rPr>
        <w:t>si dicha omisión actualiza una violación constitucional</w:t>
      </w:r>
      <w:r w:rsidR="005F38CC" w:rsidRPr="00C11DA4">
        <w:rPr>
          <w:rFonts w:ascii="Arial" w:hAnsi="Arial" w:cs="Arial"/>
        </w:rPr>
        <w:t xml:space="preserve"> en perjuicio de la actora y de los justiciables en general</w:t>
      </w:r>
      <w:r w:rsidR="00F8722E" w:rsidRPr="00C11DA4">
        <w:rPr>
          <w:rFonts w:ascii="Arial" w:hAnsi="Arial" w:cs="Arial"/>
        </w:rPr>
        <w:t>.</w:t>
      </w:r>
    </w:p>
    <w:p w:rsidR="00064BA4" w:rsidRPr="00C11DA4" w:rsidRDefault="00D7292A" w:rsidP="004A401D">
      <w:pPr>
        <w:pStyle w:val="NormalWeb"/>
        <w:shd w:val="clear" w:color="auto" w:fill="FFFFFF"/>
        <w:spacing w:line="360" w:lineRule="auto"/>
        <w:jc w:val="both"/>
        <w:rPr>
          <w:rFonts w:ascii="Arial" w:hAnsi="Arial" w:cs="Arial"/>
        </w:rPr>
      </w:pPr>
      <w:r w:rsidRPr="00C11DA4">
        <w:rPr>
          <w:rFonts w:ascii="Arial" w:hAnsi="Arial" w:cs="Arial"/>
        </w:rPr>
        <w:t xml:space="preserve">Como quedó expuesto, </w:t>
      </w:r>
      <w:r w:rsidR="00735ACB" w:rsidRPr="00C11DA4">
        <w:rPr>
          <w:rFonts w:ascii="Arial" w:hAnsi="Arial" w:cs="Arial"/>
        </w:rPr>
        <w:t xml:space="preserve">el país atraviesa una situación de emergencia sanitaria ocasionada por </w:t>
      </w:r>
      <w:r w:rsidR="008F1052" w:rsidRPr="00C11DA4">
        <w:rPr>
          <w:rFonts w:ascii="Arial" w:hAnsi="Arial" w:cs="Arial"/>
        </w:rPr>
        <w:t>el virus COVID-19</w:t>
      </w:r>
      <w:r w:rsidR="00735ACB" w:rsidRPr="00C11DA4">
        <w:rPr>
          <w:rFonts w:ascii="Arial" w:hAnsi="Arial" w:cs="Arial"/>
        </w:rPr>
        <w:t xml:space="preserve">. Esta enfermedad </w:t>
      </w:r>
      <w:r w:rsidR="00555644" w:rsidRPr="00C11DA4">
        <w:rPr>
          <w:rFonts w:ascii="Arial" w:hAnsi="Arial" w:cs="Arial"/>
        </w:rPr>
        <w:t xml:space="preserve">ha afectado a la población a nivel mundial, </w:t>
      </w:r>
      <w:r w:rsidR="00735ACB" w:rsidRPr="00C11DA4">
        <w:rPr>
          <w:rFonts w:ascii="Arial" w:hAnsi="Arial" w:cs="Arial"/>
        </w:rPr>
        <w:t xml:space="preserve">de ahí que se haya considerado como </w:t>
      </w:r>
      <w:r w:rsidR="00064BA4" w:rsidRPr="00C11DA4">
        <w:rPr>
          <w:rFonts w:ascii="Arial" w:hAnsi="Arial" w:cs="Arial"/>
        </w:rPr>
        <w:t xml:space="preserve">pandemia. </w:t>
      </w:r>
    </w:p>
    <w:p w:rsidR="001A2957" w:rsidRPr="00C11DA4" w:rsidRDefault="00064BA4" w:rsidP="004A401D">
      <w:pPr>
        <w:pStyle w:val="NormalWeb"/>
        <w:shd w:val="clear" w:color="auto" w:fill="FFFFFF"/>
        <w:spacing w:line="360" w:lineRule="auto"/>
        <w:jc w:val="both"/>
        <w:rPr>
          <w:rFonts w:ascii="Arial" w:hAnsi="Arial" w:cs="Arial"/>
        </w:rPr>
      </w:pPr>
      <w:r w:rsidRPr="00C11DA4">
        <w:rPr>
          <w:rFonts w:ascii="Arial" w:hAnsi="Arial" w:cs="Arial"/>
        </w:rPr>
        <w:t xml:space="preserve">La enfermedad pone en riesgo la salud de la población en general dada su fácil propagación </w:t>
      </w:r>
      <w:r w:rsidR="00E8503E" w:rsidRPr="00C11DA4">
        <w:rPr>
          <w:rFonts w:ascii="Arial" w:hAnsi="Arial" w:cs="Arial"/>
        </w:rPr>
        <w:t xml:space="preserve">y por eso las autoridades federales </w:t>
      </w:r>
      <w:r w:rsidR="003949F6" w:rsidRPr="00C11DA4">
        <w:rPr>
          <w:rFonts w:ascii="Arial" w:hAnsi="Arial" w:cs="Arial"/>
        </w:rPr>
        <w:t xml:space="preserve">han establecido las medidas necesarias para prevenir y controlar esa pandemia, </w:t>
      </w:r>
      <w:r w:rsidR="00B40A82" w:rsidRPr="00C11DA4">
        <w:rPr>
          <w:rFonts w:ascii="Arial" w:hAnsi="Arial" w:cs="Arial"/>
        </w:rPr>
        <w:t>entre las que se encuentran las medidas de higiene</w:t>
      </w:r>
      <w:r w:rsidR="00894BA0" w:rsidRPr="00C11DA4">
        <w:rPr>
          <w:rFonts w:ascii="Arial" w:hAnsi="Arial" w:cs="Arial"/>
        </w:rPr>
        <w:t>, suspensión de actos y eventos masivos</w:t>
      </w:r>
      <w:r w:rsidR="00C86675" w:rsidRPr="00C11DA4">
        <w:rPr>
          <w:rFonts w:ascii="Arial" w:hAnsi="Arial" w:cs="Arial"/>
        </w:rPr>
        <w:t>.</w:t>
      </w:r>
    </w:p>
    <w:p w:rsidR="000B7D4F" w:rsidRPr="00C11DA4" w:rsidRDefault="0033467F" w:rsidP="004A401D">
      <w:pPr>
        <w:pStyle w:val="NormalWeb"/>
        <w:shd w:val="clear" w:color="auto" w:fill="FFFFFF"/>
        <w:spacing w:line="360" w:lineRule="auto"/>
        <w:jc w:val="both"/>
        <w:rPr>
          <w:rFonts w:ascii="Arial" w:hAnsi="Arial" w:cs="Arial"/>
        </w:rPr>
      </w:pPr>
      <w:r w:rsidRPr="00C11DA4">
        <w:rPr>
          <w:rFonts w:ascii="Arial" w:hAnsi="Arial" w:cs="Arial"/>
        </w:rPr>
        <w:t>Este contexto coloca a los órganos jurisdiccionales</w:t>
      </w:r>
      <w:r w:rsidR="00496C6E" w:rsidRPr="00C11DA4">
        <w:rPr>
          <w:rFonts w:ascii="Arial" w:hAnsi="Arial" w:cs="Arial"/>
        </w:rPr>
        <w:t xml:space="preserve"> en su deber de </w:t>
      </w:r>
      <w:r w:rsidR="005239E5" w:rsidRPr="00C11DA4">
        <w:rPr>
          <w:rFonts w:ascii="Arial" w:hAnsi="Arial" w:cs="Arial"/>
        </w:rPr>
        <w:t>adoptar medidas preventivas de riesgos laborales en los centros de trabajo, y protección al público en general</w:t>
      </w:r>
      <w:r w:rsidR="00B60702" w:rsidRPr="00C11DA4">
        <w:rPr>
          <w:rFonts w:ascii="Arial" w:hAnsi="Arial" w:cs="Arial"/>
        </w:rPr>
        <w:t>, sin detener su funcionamiento</w:t>
      </w:r>
      <w:r w:rsidR="00C623AF" w:rsidRPr="00C11DA4">
        <w:rPr>
          <w:rFonts w:ascii="Arial" w:hAnsi="Arial" w:cs="Arial"/>
        </w:rPr>
        <w:t xml:space="preserve">, pues </w:t>
      </w:r>
      <w:r w:rsidR="00F23567" w:rsidRPr="00C11DA4">
        <w:rPr>
          <w:rFonts w:ascii="Arial" w:hAnsi="Arial" w:cs="Arial"/>
        </w:rPr>
        <w:t xml:space="preserve">la impartición de justicia es una función </w:t>
      </w:r>
      <w:r w:rsidR="005239E5" w:rsidRPr="00C11DA4">
        <w:rPr>
          <w:rFonts w:ascii="Arial" w:hAnsi="Arial" w:cs="Arial"/>
        </w:rPr>
        <w:t xml:space="preserve">esencial </w:t>
      </w:r>
      <w:r w:rsidR="00B60702" w:rsidRPr="00C11DA4">
        <w:rPr>
          <w:rFonts w:ascii="Arial" w:hAnsi="Arial" w:cs="Arial"/>
        </w:rPr>
        <w:t xml:space="preserve">que exige que continúe su </w:t>
      </w:r>
      <w:r w:rsidR="005239E5" w:rsidRPr="00C11DA4">
        <w:rPr>
          <w:rFonts w:ascii="Arial" w:hAnsi="Arial" w:cs="Arial"/>
        </w:rPr>
        <w:t xml:space="preserve">operatividad </w:t>
      </w:r>
      <w:r w:rsidR="000B7D4F" w:rsidRPr="00C11DA4">
        <w:rPr>
          <w:rFonts w:ascii="Arial" w:hAnsi="Arial" w:cs="Arial"/>
        </w:rPr>
        <w:t>en la</w:t>
      </w:r>
      <w:r w:rsidR="005239E5" w:rsidRPr="00C11DA4">
        <w:rPr>
          <w:rFonts w:ascii="Arial" w:hAnsi="Arial" w:cs="Arial"/>
        </w:rPr>
        <w:t xml:space="preserve"> atención de casos urgentes</w:t>
      </w:r>
      <w:r w:rsidR="000B7D4F" w:rsidRPr="00C11DA4">
        <w:rPr>
          <w:rFonts w:ascii="Arial" w:hAnsi="Arial" w:cs="Arial"/>
        </w:rPr>
        <w:t>.</w:t>
      </w:r>
    </w:p>
    <w:p w:rsidR="001A2957" w:rsidRPr="00C11DA4" w:rsidRDefault="000748AB" w:rsidP="004A401D">
      <w:pPr>
        <w:pStyle w:val="NormalWeb"/>
        <w:shd w:val="clear" w:color="auto" w:fill="FFFFFF"/>
        <w:spacing w:line="360" w:lineRule="auto"/>
        <w:jc w:val="both"/>
        <w:rPr>
          <w:rFonts w:ascii="Arial" w:hAnsi="Arial" w:cs="Arial"/>
        </w:rPr>
      </w:pPr>
      <w:r w:rsidRPr="00C11DA4">
        <w:rPr>
          <w:rFonts w:ascii="Arial" w:hAnsi="Arial" w:cs="Arial"/>
        </w:rPr>
        <w:t xml:space="preserve">Lo anterior, porque </w:t>
      </w:r>
      <w:r w:rsidR="00E24094" w:rsidRPr="00C11DA4">
        <w:rPr>
          <w:rFonts w:ascii="Arial" w:hAnsi="Arial" w:cs="Arial"/>
        </w:rPr>
        <w:t xml:space="preserve">muchos asuntos no pueden esperar a que concluya el periodo de contingencia dado </w:t>
      </w:r>
      <w:r w:rsidR="00CC7F55" w:rsidRPr="00C11DA4">
        <w:rPr>
          <w:rFonts w:ascii="Arial" w:hAnsi="Arial" w:cs="Arial"/>
        </w:rPr>
        <w:t xml:space="preserve">los derechos involucrados </w:t>
      </w:r>
      <w:r w:rsidR="00E24094" w:rsidRPr="00C11DA4">
        <w:rPr>
          <w:rFonts w:ascii="Arial" w:hAnsi="Arial" w:cs="Arial"/>
        </w:rPr>
        <w:t>o</w:t>
      </w:r>
      <w:r w:rsidR="007A7730" w:rsidRPr="00C11DA4">
        <w:rPr>
          <w:rFonts w:ascii="Arial" w:hAnsi="Arial" w:cs="Arial"/>
        </w:rPr>
        <w:t xml:space="preserve"> </w:t>
      </w:r>
      <w:r w:rsidR="00640D6E" w:rsidRPr="00C11DA4">
        <w:rPr>
          <w:rFonts w:ascii="Arial" w:hAnsi="Arial" w:cs="Arial"/>
        </w:rPr>
        <w:t xml:space="preserve">las consecuencias que pudiera traer </w:t>
      </w:r>
      <w:r w:rsidR="00E24094" w:rsidRPr="00C11DA4">
        <w:rPr>
          <w:rFonts w:ascii="Arial" w:hAnsi="Arial" w:cs="Arial"/>
        </w:rPr>
        <w:t>su dilación en la resolución</w:t>
      </w:r>
      <w:r w:rsidR="00640D6E" w:rsidRPr="00C11DA4">
        <w:rPr>
          <w:rFonts w:ascii="Arial" w:hAnsi="Arial" w:cs="Arial"/>
        </w:rPr>
        <w:t>.</w:t>
      </w:r>
    </w:p>
    <w:p w:rsidR="007B21DB" w:rsidRPr="00C11DA4" w:rsidRDefault="007B21DB" w:rsidP="004A401D">
      <w:pPr>
        <w:pStyle w:val="NormalWeb"/>
        <w:shd w:val="clear" w:color="auto" w:fill="FFFFFF"/>
        <w:spacing w:line="360" w:lineRule="auto"/>
        <w:jc w:val="both"/>
        <w:rPr>
          <w:rFonts w:ascii="Arial" w:hAnsi="Arial" w:cs="Arial"/>
        </w:rPr>
      </w:pPr>
      <w:r w:rsidRPr="00C11DA4">
        <w:rPr>
          <w:rFonts w:ascii="Arial" w:hAnsi="Arial" w:cs="Arial"/>
        </w:rPr>
        <w:t xml:space="preserve">Por ello, es que ante esta situación inédita y extraordinaria que se presenta a nivel mundial, es que se requiere adoptar medidas especiales que permitan garantizar </w:t>
      </w:r>
      <w:r w:rsidR="00905A91" w:rsidRPr="00C11DA4">
        <w:rPr>
          <w:rFonts w:ascii="Arial" w:hAnsi="Arial" w:cs="Arial"/>
        </w:rPr>
        <w:t>el acceso a la justicia y también la protección de la salud de las personas.</w:t>
      </w:r>
    </w:p>
    <w:p w:rsidR="001343C8" w:rsidRPr="00C11DA4" w:rsidRDefault="001343C8" w:rsidP="004A401D">
      <w:pPr>
        <w:pStyle w:val="NormalWeb"/>
        <w:shd w:val="clear" w:color="auto" w:fill="FFFFFF"/>
        <w:spacing w:line="360" w:lineRule="auto"/>
        <w:jc w:val="both"/>
        <w:rPr>
          <w:rFonts w:ascii="Arial" w:hAnsi="Arial" w:cs="Arial"/>
        </w:rPr>
      </w:pPr>
      <w:r w:rsidRPr="00C11DA4">
        <w:rPr>
          <w:rFonts w:ascii="Arial" w:hAnsi="Arial" w:cs="Arial"/>
        </w:rPr>
        <w:t xml:space="preserve">A esto es a lo que </w:t>
      </w:r>
      <w:r w:rsidR="002D28B8" w:rsidRPr="00C11DA4">
        <w:rPr>
          <w:rFonts w:ascii="Arial" w:hAnsi="Arial" w:cs="Arial"/>
        </w:rPr>
        <w:t>obliga el artículo primero constitucional</w:t>
      </w:r>
      <w:r w:rsidR="00A96A3E" w:rsidRPr="00C11DA4">
        <w:rPr>
          <w:rFonts w:ascii="Arial" w:hAnsi="Arial" w:cs="Arial"/>
        </w:rPr>
        <w:t xml:space="preserve">, </w:t>
      </w:r>
      <w:r w:rsidR="00395254" w:rsidRPr="00C11DA4">
        <w:rPr>
          <w:rFonts w:ascii="Arial" w:hAnsi="Arial" w:cs="Arial"/>
        </w:rPr>
        <w:t>es decir</w:t>
      </w:r>
      <w:r w:rsidR="00A96A3E" w:rsidRPr="00C11DA4">
        <w:rPr>
          <w:rFonts w:ascii="Arial" w:hAnsi="Arial" w:cs="Arial"/>
        </w:rPr>
        <w:t>, generar eficacia directa en la medida de lo posible de todos los derechos reconocidos por el Estado mexicano</w:t>
      </w:r>
      <w:r w:rsidR="00435619" w:rsidRPr="00C11DA4">
        <w:rPr>
          <w:rFonts w:ascii="Arial" w:hAnsi="Arial" w:cs="Arial"/>
        </w:rPr>
        <w:t>.</w:t>
      </w:r>
    </w:p>
    <w:p w:rsidR="00435619" w:rsidRPr="00C11DA4" w:rsidRDefault="00435619" w:rsidP="004A401D">
      <w:pPr>
        <w:pStyle w:val="NormalWeb"/>
        <w:shd w:val="clear" w:color="auto" w:fill="FFFFFF"/>
        <w:spacing w:line="360" w:lineRule="auto"/>
        <w:jc w:val="both"/>
        <w:rPr>
          <w:rFonts w:ascii="Arial" w:hAnsi="Arial" w:cs="Arial"/>
        </w:rPr>
      </w:pPr>
      <w:r w:rsidRPr="00C11DA4">
        <w:rPr>
          <w:rFonts w:ascii="Arial" w:hAnsi="Arial" w:cs="Arial"/>
        </w:rPr>
        <w:t xml:space="preserve">Por ello, una aplicación correcta de </w:t>
      </w:r>
      <w:r w:rsidR="004364C2" w:rsidRPr="00C11DA4">
        <w:rPr>
          <w:rFonts w:ascii="Arial" w:hAnsi="Arial" w:cs="Arial"/>
        </w:rPr>
        <w:t>ambos</w:t>
      </w:r>
      <w:r w:rsidRPr="00C11DA4">
        <w:rPr>
          <w:rFonts w:ascii="Arial" w:hAnsi="Arial" w:cs="Arial"/>
        </w:rPr>
        <w:t xml:space="preserve"> derechos lleva a su armonización</w:t>
      </w:r>
      <w:r w:rsidR="00BD70E8" w:rsidRPr="00C11DA4">
        <w:rPr>
          <w:rFonts w:ascii="Arial" w:hAnsi="Arial" w:cs="Arial"/>
        </w:rPr>
        <w:t xml:space="preserve">, pero sin que se desplace de forma total alguno de ellos. </w:t>
      </w:r>
    </w:p>
    <w:p w:rsidR="00BD70E8" w:rsidRPr="00C11DA4" w:rsidRDefault="00BD70E8" w:rsidP="004A401D">
      <w:pPr>
        <w:pStyle w:val="NormalWeb"/>
        <w:shd w:val="clear" w:color="auto" w:fill="FFFFFF"/>
        <w:spacing w:line="360" w:lineRule="auto"/>
        <w:jc w:val="both"/>
        <w:rPr>
          <w:rFonts w:ascii="Arial" w:hAnsi="Arial" w:cs="Arial"/>
        </w:rPr>
      </w:pPr>
      <w:r w:rsidRPr="00C11DA4">
        <w:rPr>
          <w:rFonts w:ascii="Arial" w:hAnsi="Arial" w:cs="Arial"/>
        </w:rPr>
        <w:t xml:space="preserve">En el caso, el juicio local que se sustancia ante el Tribunal local promovido por la actora se relaciona con la obstrucción en el ejercicio de su cargo como regidora, en el que alegó violencia política de género e incluso el Tribunal dictó las medidas </w:t>
      </w:r>
      <w:r w:rsidR="001337CD" w:rsidRPr="00C11DA4">
        <w:rPr>
          <w:rFonts w:ascii="Arial" w:hAnsi="Arial" w:cs="Arial"/>
        </w:rPr>
        <w:t xml:space="preserve">de protección respectivas. </w:t>
      </w:r>
    </w:p>
    <w:p w:rsidR="001337CD" w:rsidRPr="00C11DA4" w:rsidRDefault="001337CD" w:rsidP="004A401D">
      <w:pPr>
        <w:pStyle w:val="NormalWeb"/>
        <w:shd w:val="clear" w:color="auto" w:fill="FFFFFF"/>
        <w:spacing w:line="360" w:lineRule="auto"/>
        <w:jc w:val="both"/>
        <w:rPr>
          <w:rFonts w:ascii="Arial" w:hAnsi="Arial" w:cs="Arial"/>
        </w:rPr>
      </w:pPr>
      <w:r w:rsidRPr="00C11DA4">
        <w:rPr>
          <w:rFonts w:ascii="Arial" w:hAnsi="Arial" w:cs="Arial"/>
        </w:rPr>
        <w:t>Por lo que, sin detener el funcionamiento de la justicia electoral</w:t>
      </w:r>
      <w:r w:rsidR="00453C34" w:rsidRPr="00C11DA4">
        <w:rPr>
          <w:rFonts w:ascii="Arial" w:hAnsi="Arial" w:cs="Arial"/>
        </w:rPr>
        <w:t>,</w:t>
      </w:r>
      <w:r w:rsidRPr="00C11DA4">
        <w:rPr>
          <w:rFonts w:ascii="Arial" w:hAnsi="Arial" w:cs="Arial"/>
        </w:rPr>
        <w:t xml:space="preserve"> </w:t>
      </w:r>
      <w:r w:rsidR="00453C34" w:rsidRPr="00C11DA4">
        <w:rPr>
          <w:rFonts w:ascii="Arial" w:hAnsi="Arial" w:cs="Arial"/>
        </w:rPr>
        <w:t xml:space="preserve">éste </w:t>
      </w:r>
      <w:r w:rsidRPr="00C11DA4">
        <w:rPr>
          <w:rFonts w:ascii="Arial" w:hAnsi="Arial" w:cs="Arial"/>
        </w:rPr>
        <w:t xml:space="preserve">debe realizarse adoptando las medidas necesarias para no poner en riesgo otro derecho tan esencial como es el de la salud. </w:t>
      </w:r>
    </w:p>
    <w:p w:rsidR="00766CA4" w:rsidRPr="00C11DA4" w:rsidRDefault="0061778D" w:rsidP="004A401D">
      <w:pPr>
        <w:pStyle w:val="NormalWeb"/>
        <w:shd w:val="clear" w:color="auto" w:fill="FFFFFF"/>
        <w:spacing w:line="360" w:lineRule="auto"/>
        <w:jc w:val="both"/>
        <w:rPr>
          <w:rFonts w:ascii="Arial" w:hAnsi="Arial" w:cs="Arial"/>
        </w:rPr>
      </w:pPr>
      <w:r w:rsidRPr="00C11DA4">
        <w:rPr>
          <w:rFonts w:ascii="Arial" w:hAnsi="Arial" w:cs="Arial"/>
        </w:rPr>
        <w:t xml:space="preserve">En ese tenor, omitir proveer las medidas o regulación que permita efectuar las notificaciones electrónicas arriesga la salud del personal que labora en el órgano jurisdiccional y del público en general.    </w:t>
      </w:r>
    </w:p>
    <w:p w:rsidR="000E4976" w:rsidRPr="00C11DA4" w:rsidRDefault="000E4976" w:rsidP="00C623AF">
      <w:pPr>
        <w:pStyle w:val="NormalWeb"/>
        <w:shd w:val="clear" w:color="auto" w:fill="FFFFFF"/>
        <w:spacing w:line="336" w:lineRule="auto"/>
        <w:jc w:val="both"/>
        <w:rPr>
          <w:rFonts w:ascii="Arial" w:hAnsi="Arial" w:cs="Arial"/>
        </w:rPr>
      </w:pPr>
      <w:r w:rsidRPr="00C11DA4">
        <w:rPr>
          <w:rFonts w:ascii="Arial" w:hAnsi="Arial" w:cs="Arial"/>
        </w:rPr>
        <w:t xml:space="preserve">En esa tesitura, el hecho de que al día en que se emite esta ejecutoria el Tribunal local no haya regulado </w:t>
      </w:r>
      <w:r w:rsidR="00A97DA8" w:rsidRPr="00C11DA4">
        <w:rPr>
          <w:rFonts w:ascii="Arial" w:hAnsi="Arial" w:cs="Arial"/>
        </w:rPr>
        <w:t>las notificaciones electrónicas</w:t>
      </w:r>
      <w:r w:rsidR="00C33DB7" w:rsidRPr="00C11DA4">
        <w:rPr>
          <w:rFonts w:ascii="Arial" w:hAnsi="Arial" w:cs="Arial"/>
        </w:rPr>
        <w:t xml:space="preserve"> coloca en peligro al personal jurisdiccional y a los justiciables en general</w:t>
      </w:r>
      <w:r w:rsidR="000E7896" w:rsidRPr="00C11DA4">
        <w:rPr>
          <w:rFonts w:ascii="Arial" w:hAnsi="Arial" w:cs="Arial"/>
        </w:rPr>
        <w:t xml:space="preserve"> y con ello incumple su deber de proteger el </w:t>
      </w:r>
      <w:r w:rsidR="00A87465" w:rsidRPr="00C11DA4">
        <w:rPr>
          <w:rFonts w:ascii="Arial" w:hAnsi="Arial" w:cs="Arial"/>
        </w:rPr>
        <w:t xml:space="preserve">derecho a la salud por lo que al ámbito de su competencia corresponde. </w:t>
      </w:r>
    </w:p>
    <w:p w:rsidR="00F162AA" w:rsidRPr="00C11DA4" w:rsidRDefault="007F076F" w:rsidP="00C623AF">
      <w:pPr>
        <w:pStyle w:val="NormalWeb"/>
        <w:shd w:val="clear" w:color="auto" w:fill="FFFFFF"/>
        <w:spacing w:line="336" w:lineRule="auto"/>
        <w:jc w:val="both"/>
        <w:rPr>
          <w:rFonts w:ascii="Arial" w:hAnsi="Arial" w:cs="Arial"/>
        </w:rPr>
      </w:pPr>
      <w:r w:rsidRPr="00C11DA4">
        <w:rPr>
          <w:rFonts w:ascii="Arial" w:hAnsi="Arial" w:cs="Arial"/>
        </w:rPr>
        <w:t xml:space="preserve">Ello, en razón de que </w:t>
      </w:r>
      <w:r w:rsidR="00F162AA" w:rsidRPr="00C11DA4">
        <w:rPr>
          <w:rFonts w:ascii="Arial" w:hAnsi="Arial" w:cs="Arial"/>
        </w:rPr>
        <w:t xml:space="preserve">la recomendación principal </w:t>
      </w:r>
      <w:r w:rsidRPr="00C11DA4">
        <w:rPr>
          <w:rFonts w:ascii="Arial" w:hAnsi="Arial" w:cs="Arial"/>
        </w:rPr>
        <w:t>para combatir al virus COVID-19 es que</w:t>
      </w:r>
      <w:r w:rsidR="00F162AA" w:rsidRPr="00C11DA4">
        <w:rPr>
          <w:rFonts w:ascii="Arial" w:hAnsi="Arial" w:cs="Arial"/>
        </w:rPr>
        <w:t xml:space="preserve"> los habitantes del país permanezcan en sus casas, para contener la enfermedad.</w:t>
      </w:r>
    </w:p>
    <w:p w:rsidR="001048EC" w:rsidRPr="00C11DA4" w:rsidRDefault="008C6BBE" w:rsidP="00C623AF">
      <w:pPr>
        <w:pStyle w:val="NormalWeb"/>
        <w:shd w:val="clear" w:color="auto" w:fill="FFFFFF"/>
        <w:spacing w:line="336" w:lineRule="auto"/>
        <w:jc w:val="both"/>
        <w:rPr>
          <w:rFonts w:ascii="Arial" w:hAnsi="Arial" w:cs="Arial"/>
        </w:rPr>
      </w:pPr>
      <w:r w:rsidRPr="00C11DA4">
        <w:rPr>
          <w:rFonts w:ascii="Arial" w:hAnsi="Arial" w:cs="Arial"/>
        </w:rPr>
        <w:t>Si bien el Tribunal alega la falta de recursos presupuestales</w:t>
      </w:r>
      <w:r w:rsidR="00A33250" w:rsidRPr="00C11DA4">
        <w:rPr>
          <w:rFonts w:ascii="Arial" w:hAnsi="Arial" w:cs="Arial"/>
        </w:rPr>
        <w:t xml:space="preserve">, no puede esto ser obstáculo para </w:t>
      </w:r>
      <w:r w:rsidR="003E52BB" w:rsidRPr="00C11DA4">
        <w:rPr>
          <w:rFonts w:ascii="Arial" w:hAnsi="Arial" w:cs="Arial"/>
        </w:rPr>
        <w:t xml:space="preserve">la materialización de este deber de la autoridad de garantizar el derecho a la salud. </w:t>
      </w:r>
    </w:p>
    <w:p w:rsidR="00B0102E" w:rsidRPr="00C11DA4" w:rsidRDefault="00B0102E" w:rsidP="00C623AF">
      <w:pPr>
        <w:pStyle w:val="NormalWeb"/>
        <w:shd w:val="clear" w:color="auto" w:fill="FFFFFF"/>
        <w:spacing w:line="336" w:lineRule="auto"/>
        <w:jc w:val="both"/>
        <w:rPr>
          <w:rFonts w:ascii="Arial" w:hAnsi="Arial" w:cs="Arial"/>
        </w:rPr>
      </w:pPr>
      <w:r w:rsidRPr="00C11DA4">
        <w:rPr>
          <w:rFonts w:ascii="Arial" w:hAnsi="Arial" w:cs="Arial"/>
        </w:rPr>
        <w:t>Esto porque la Constitución</w:t>
      </w:r>
      <w:r w:rsidR="003423E6" w:rsidRPr="00C11DA4">
        <w:rPr>
          <w:rFonts w:ascii="Arial" w:hAnsi="Arial" w:cs="Arial"/>
        </w:rPr>
        <w:t xml:space="preserve"> y los derechos reconocidos, no son de carácter </w:t>
      </w:r>
      <w:r w:rsidRPr="00C11DA4">
        <w:rPr>
          <w:rFonts w:ascii="Arial" w:hAnsi="Arial" w:cs="Arial"/>
        </w:rPr>
        <w:t>programático</w:t>
      </w:r>
      <w:r w:rsidR="003423E6" w:rsidRPr="00C11DA4">
        <w:rPr>
          <w:rFonts w:ascii="Arial" w:hAnsi="Arial" w:cs="Arial"/>
        </w:rPr>
        <w:t xml:space="preserve"> </w:t>
      </w:r>
      <w:r w:rsidR="002351D4" w:rsidRPr="00C11DA4">
        <w:rPr>
          <w:rFonts w:ascii="Arial" w:hAnsi="Arial" w:cs="Arial"/>
        </w:rPr>
        <w:t xml:space="preserve">o </w:t>
      </w:r>
      <w:r w:rsidRPr="00C11DA4">
        <w:rPr>
          <w:rFonts w:ascii="Arial" w:hAnsi="Arial" w:cs="Arial"/>
        </w:rPr>
        <w:t>pautas de actuación</w:t>
      </w:r>
      <w:r w:rsidR="008A0D76" w:rsidRPr="00C11DA4">
        <w:rPr>
          <w:rFonts w:ascii="Arial" w:hAnsi="Arial" w:cs="Arial"/>
        </w:rPr>
        <w:t xml:space="preserve">, sino que </w:t>
      </w:r>
      <w:r w:rsidR="002351D4" w:rsidRPr="00C11DA4">
        <w:rPr>
          <w:rFonts w:ascii="Arial" w:hAnsi="Arial" w:cs="Arial"/>
        </w:rPr>
        <w:t>es una auténtica</w:t>
      </w:r>
      <w:r w:rsidR="008A0D76" w:rsidRPr="00C11DA4">
        <w:rPr>
          <w:rFonts w:ascii="Arial" w:hAnsi="Arial" w:cs="Arial"/>
        </w:rPr>
        <w:t xml:space="preserve"> norma </w:t>
      </w:r>
      <w:r w:rsidR="00E5419F" w:rsidRPr="00C11DA4">
        <w:rPr>
          <w:rFonts w:ascii="Arial" w:hAnsi="Arial" w:cs="Arial"/>
        </w:rPr>
        <w:t xml:space="preserve">que debe ser aplicada </w:t>
      </w:r>
      <w:r w:rsidRPr="00C11DA4">
        <w:rPr>
          <w:rFonts w:ascii="Arial" w:hAnsi="Arial" w:cs="Arial"/>
        </w:rPr>
        <w:t xml:space="preserve">de forma directa </w:t>
      </w:r>
      <w:r w:rsidR="00E5419F" w:rsidRPr="00C11DA4">
        <w:rPr>
          <w:rFonts w:ascii="Arial" w:hAnsi="Arial" w:cs="Arial"/>
        </w:rPr>
        <w:t>por</w:t>
      </w:r>
      <w:r w:rsidRPr="00C11DA4">
        <w:rPr>
          <w:rFonts w:ascii="Arial" w:hAnsi="Arial" w:cs="Arial"/>
        </w:rPr>
        <w:t xml:space="preserve"> cualquier autoridad del Estado</w:t>
      </w:r>
      <w:r w:rsidR="00E5419F" w:rsidRPr="00C11DA4">
        <w:rPr>
          <w:rFonts w:ascii="Arial" w:hAnsi="Arial" w:cs="Arial"/>
        </w:rPr>
        <w:t>.</w:t>
      </w:r>
    </w:p>
    <w:p w:rsidR="00AA67DC" w:rsidRPr="00C11DA4" w:rsidRDefault="00AA67DC" w:rsidP="00C623AF">
      <w:pPr>
        <w:pStyle w:val="NormalWeb"/>
        <w:shd w:val="clear" w:color="auto" w:fill="FFFFFF"/>
        <w:spacing w:line="336" w:lineRule="auto"/>
        <w:jc w:val="both"/>
        <w:rPr>
          <w:rFonts w:ascii="Arial" w:hAnsi="Arial" w:cs="Arial"/>
        </w:rPr>
      </w:pPr>
      <w:r w:rsidRPr="00C11DA4">
        <w:rPr>
          <w:rFonts w:ascii="Arial" w:hAnsi="Arial" w:cs="Arial"/>
        </w:rPr>
        <w:t xml:space="preserve">De ahí que, de persistir la omisión del Tribunal </w:t>
      </w:r>
      <w:r w:rsidR="001E7B71" w:rsidRPr="00C11DA4">
        <w:rPr>
          <w:rFonts w:ascii="Arial" w:hAnsi="Arial" w:cs="Arial"/>
        </w:rPr>
        <w:t xml:space="preserve">local </w:t>
      </w:r>
      <w:r w:rsidR="00C13480" w:rsidRPr="00C11DA4">
        <w:rPr>
          <w:rFonts w:ascii="Arial" w:hAnsi="Arial" w:cs="Arial"/>
        </w:rPr>
        <w:t xml:space="preserve">se </w:t>
      </w:r>
      <w:r w:rsidR="00955A43" w:rsidRPr="00C11DA4">
        <w:rPr>
          <w:rFonts w:ascii="Arial" w:hAnsi="Arial" w:cs="Arial"/>
        </w:rPr>
        <w:t>pone</w:t>
      </w:r>
      <w:r w:rsidR="00544191" w:rsidRPr="00C11DA4">
        <w:rPr>
          <w:rFonts w:ascii="Arial" w:hAnsi="Arial" w:cs="Arial"/>
        </w:rPr>
        <w:t xml:space="preserve"> en peligro a la actora y a los justiciables en general</w:t>
      </w:r>
      <w:r w:rsidR="005C49C2" w:rsidRPr="00C11DA4">
        <w:rPr>
          <w:rFonts w:ascii="Arial" w:hAnsi="Arial" w:cs="Arial"/>
        </w:rPr>
        <w:t>,</w:t>
      </w:r>
      <w:r w:rsidR="00544191" w:rsidRPr="00C11DA4">
        <w:rPr>
          <w:rFonts w:ascii="Arial" w:hAnsi="Arial" w:cs="Arial"/>
        </w:rPr>
        <w:t xml:space="preserve"> de </w:t>
      </w:r>
      <w:r w:rsidR="00FA539B" w:rsidRPr="00C11DA4">
        <w:rPr>
          <w:rFonts w:ascii="Arial" w:hAnsi="Arial" w:cs="Arial"/>
        </w:rPr>
        <w:t>sufrir un daño personal y directo en su salud por no tomar las medidas necesarias que eviten el contacto físico entre las personas.</w:t>
      </w:r>
    </w:p>
    <w:p w:rsidR="005C49C2" w:rsidRPr="00C11DA4" w:rsidRDefault="005C49C2" w:rsidP="00C623AF">
      <w:pPr>
        <w:pStyle w:val="NormalWeb"/>
        <w:shd w:val="clear" w:color="auto" w:fill="FFFFFF"/>
        <w:spacing w:line="336" w:lineRule="auto"/>
        <w:jc w:val="both"/>
        <w:rPr>
          <w:rFonts w:ascii="Arial" w:hAnsi="Arial" w:cs="Arial"/>
        </w:rPr>
      </w:pPr>
      <w:r w:rsidRPr="00C11DA4">
        <w:rPr>
          <w:rFonts w:ascii="Arial" w:hAnsi="Arial" w:cs="Arial"/>
        </w:rPr>
        <w:t>Además, las notificaciones electrónicas son de gran importancia en esta situación pues permiten desahogar las actuaciones judiciales de manera expedita y remota</w:t>
      </w:r>
      <w:r w:rsidR="00D4682D" w:rsidRPr="00C11DA4">
        <w:rPr>
          <w:rFonts w:ascii="Arial" w:hAnsi="Arial" w:cs="Arial"/>
        </w:rPr>
        <w:t>, sin poner en riesgo a quienes participan y actúan en las comunicaciones procesales dentro de un medio de impugnación</w:t>
      </w:r>
      <w:r w:rsidR="00E47F9C" w:rsidRPr="00C11DA4">
        <w:rPr>
          <w:rFonts w:ascii="Arial" w:hAnsi="Arial" w:cs="Arial"/>
        </w:rPr>
        <w:t>.</w:t>
      </w:r>
    </w:p>
    <w:p w:rsidR="00E12727" w:rsidRPr="00C11DA4" w:rsidRDefault="005C49C2" w:rsidP="00C623AF">
      <w:pPr>
        <w:pStyle w:val="NormalWeb"/>
        <w:shd w:val="clear" w:color="auto" w:fill="FFFFFF"/>
        <w:spacing w:line="336" w:lineRule="auto"/>
        <w:jc w:val="both"/>
        <w:rPr>
          <w:rFonts w:ascii="Arial" w:hAnsi="Arial" w:cs="Arial"/>
        </w:rPr>
      </w:pPr>
      <w:r w:rsidRPr="00C11DA4">
        <w:rPr>
          <w:rFonts w:ascii="Arial" w:hAnsi="Arial" w:cs="Arial"/>
        </w:rPr>
        <w:t xml:space="preserve">Por lo que, sería una medida </w:t>
      </w:r>
      <w:r w:rsidR="00436384" w:rsidRPr="00C11DA4">
        <w:rPr>
          <w:rFonts w:ascii="Arial" w:hAnsi="Arial" w:cs="Arial"/>
        </w:rPr>
        <w:t xml:space="preserve">inscrita en el marco de las acciones adoptadas para atender la emergencia sanitaria, que permitiría a los funcionarios judiciales </w:t>
      </w:r>
      <w:r w:rsidRPr="00C11DA4">
        <w:rPr>
          <w:rFonts w:ascii="Arial" w:hAnsi="Arial" w:cs="Arial"/>
        </w:rPr>
        <w:t xml:space="preserve">seguir cumpliendo </w:t>
      </w:r>
      <w:r w:rsidR="00436384" w:rsidRPr="00C11DA4">
        <w:rPr>
          <w:rFonts w:ascii="Arial" w:hAnsi="Arial" w:cs="Arial"/>
        </w:rPr>
        <w:t xml:space="preserve">sus obligaciones </w:t>
      </w:r>
      <w:r w:rsidRPr="00C11DA4">
        <w:rPr>
          <w:rFonts w:ascii="Arial" w:hAnsi="Arial" w:cs="Arial"/>
        </w:rPr>
        <w:t xml:space="preserve">a través del </w:t>
      </w:r>
      <w:r w:rsidR="00436384" w:rsidRPr="00C11DA4">
        <w:rPr>
          <w:rFonts w:ascii="Arial" w:hAnsi="Arial" w:cs="Arial"/>
        </w:rPr>
        <w:t>uso</w:t>
      </w:r>
      <w:r w:rsidRPr="00C11DA4">
        <w:rPr>
          <w:rFonts w:ascii="Arial" w:hAnsi="Arial" w:cs="Arial"/>
        </w:rPr>
        <w:t xml:space="preserve"> de las herramientas tecnológicas con las que se cuenta</w:t>
      </w:r>
      <w:r w:rsidR="00436384" w:rsidRPr="00C11DA4">
        <w:rPr>
          <w:rFonts w:ascii="Arial" w:hAnsi="Arial" w:cs="Arial"/>
        </w:rPr>
        <w:t xml:space="preserve">, que además </w:t>
      </w:r>
      <w:r w:rsidR="00355510" w:rsidRPr="00C11DA4">
        <w:rPr>
          <w:rFonts w:ascii="Arial" w:hAnsi="Arial" w:cs="Arial"/>
        </w:rPr>
        <w:t>una vez superada la contingencia seguirán siendo de utilidad.</w:t>
      </w:r>
      <w:r w:rsidRPr="00C11DA4">
        <w:rPr>
          <w:rFonts w:ascii="Arial" w:hAnsi="Arial" w:cs="Arial"/>
        </w:rPr>
        <w:t xml:space="preserve"> </w:t>
      </w:r>
    </w:p>
    <w:p w:rsidR="005C49C2" w:rsidRPr="00C11DA4" w:rsidRDefault="00355510" w:rsidP="00C623AF">
      <w:pPr>
        <w:pStyle w:val="NormalWeb"/>
        <w:shd w:val="clear" w:color="auto" w:fill="FFFFFF"/>
        <w:spacing w:line="336" w:lineRule="auto"/>
        <w:jc w:val="both"/>
        <w:rPr>
          <w:rFonts w:ascii="Arial" w:hAnsi="Arial" w:cs="Arial"/>
        </w:rPr>
      </w:pPr>
      <w:r w:rsidRPr="00C11DA4">
        <w:rPr>
          <w:rFonts w:ascii="Arial" w:hAnsi="Arial" w:cs="Arial"/>
        </w:rPr>
        <w:t>El tema del costo económico de su implementación no puede ser mayor al que</w:t>
      </w:r>
      <w:r w:rsidR="00C624DB" w:rsidRPr="00C11DA4">
        <w:rPr>
          <w:rFonts w:ascii="Arial" w:hAnsi="Arial" w:cs="Arial"/>
        </w:rPr>
        <w:t xml:space="preserve"> conlleva realizar las notificaciones personales</w:t>
      </w:r>
      <w:r w:rsidR="00D4682D" w:rsidRPr="00C11DA4">
        <w:rPr>
          <w:rFonts w:ascii="Arial" w:hAnsi="Arial" w:cs="Arial"/>
        </w:rPr>
        <w:t xml:space="preserve"> dada la contingencia sanitaria</w:t>
      </w:r>
      <w:r w:rsidR="00C624DB" w:rsidRPr="00C11DA4">
        <w:rPr>
          <w:rFonts w:ascii="Arial" w:hAnsi="Arial" w:cs="Arial"/>
        </w:rPr>
        <w:t xml:space="preserve">, incluso ahorra gastos y </w:t>
      </w:r>
      <w:r w:rsidR="005C49C2" w:rsidRPr="00C11DA4">
        <w:rPr>
          <w:rFonts w:ascii="Arial" w:hAnsi="Arial" w:cs="Arial"/>
        </w:rPr>
        <w:t>tiempo</w:t>
      </w:r>
      <w:r w:rsidR="00C624DB" w:rsidRPr="00C11DA4">
        <w:rPr>
          <w:rFonts w:ascii="Arial" w:hAnsi="Arial" w:cs="Arial"/>
        </w:rPr>
        <w:t>.</w:t>
      </w:r>
    </w:p>
    <w:p w:rsidR="00C55236" w:rsidRPr="00C11DA4" w:rsidRDefault="003179EB" w:rsidP="00C623AF">
      <w:pPr>
        <w:pStyle w:val="NormalWeb"/>
        <w:shd w:val="clear" w:color="auto" w:fill="FFFFFF"/>
        <w:spacing w:line="336" w:lineRule="auto"/>
        <w:jc w:val="both"/>
        <w:rPr>
          <w:rFonts w:ascii="Arial" w:hAnsi="Arial" w:cs="Arial"/>
        </w:rPr>
      </w:pPr>
      <w:r w:rsidRPr="00C11DA4">
        <w:rPr>
          <w:rFonts w:ascii="Arial" w:hAnsi="Arial" w:cs="Arial"/>
        </w:rPr>
        <w:t xml:space="preserve">En ese sentido, es que esta Sala Superior </w:t>
      </w:r>
      <w:r w:rsidR="00B35660" w:rsidRPr="00C11DA4">
        <w:rPr>
          <w:rFonts w:ascii="Arial" w:hAnsi="Arial" w:cs="Arial"/>
        </w:rPr>
        <w:t>considera que la omisión</w:t>
      </w:r>
      <w:r w:rsidR="00291777" w:rsidRPr="00C11DA4">
        <w:rPr>
          <w:rFonts w:ascii="Arial" w:hAnsi="Arial" w:cs="Arial"/>
        </w:rPr>
        <w:t xml:space="preserve"> de proveer regulación para realizar las notificaciones electrónicas,</w:t>
      </w:r>
      <w:r w:rsidR="00B35660" w:rsidRPr="00C11DA4">
        <w:rPr>
          <w:rFonts w:ascii="Arial" w:hAnsi="Arial" w:cs="Arial"/>
        </w:rPr>
        <w:t xml:space="preserve"> en que ha incurrido el Tribunal local</w:t>
      </w:r>
      <w:r w:rsidR="00291777" w:rsidRPr="00C11DA4">
        <w:rPr>
          <w:rFonts w:ascii="Arial" w:hAnsi="Arial" w:cs="Arial"/>
        </w:rPr>
        <w:t>,</w:t>
      </w:r>
      <w:r w:rsidR="00B35660" w:rsidRPr="00C11DA4">
        <w:rPr>
          <w:rFonts w:ascii="Arial" w:hAnsi="Arial" w:cs="Arial"/>
        </w:rPr>
        <w:t xml:space="preserve"> es violatoria del derecho a la salud de la actora y</w:t>
      </w:r>
      <w:r w:rsidR="00A9230F" w:rsidRPr="00C11DA4">
        <w:rPr>
          <w:rFonts w:ascii="Arial" w:hAnsi="Arial" w:cs="Arial"/>
        </w:rPr>
        <w:t>, en general, del personal que labora en la institución como de</w:t>
      </w:r>
      <w:r w:rsidR="00291777" w:rsidRPr="00C11DA4">
        <w:rPr>
          <w:rFonts w:ascii="Arial" w:hAnsi="Arial" w:cs="Arial"/>
        </w:rPr>
        <w:t xml:space="preserve"> los demás justiciables.</w:t>
      </w:r>
    </w:p>
    <w:p w:rsidR="009147C0" w:rsidRPr="00C11DA4" w:rsidRDefault="009147C0" w:rsidP="00C623AF">
      <w:pPr>
        <w:pStyle w:val="NormalWeb"/>
        <w:shd w:val="clear" w:color="auto" w:fill="FFFFFF"/>
        <w:spacing w:line="336" w:lineRule="auto"/>
        <w:jc w:val="both"/>
        <w:rPr>
          <w:rFonts w:ascii="Arial" w:hAnsi="Arial" w:cs="Arial"/>
        </w:rPr>
      </w:pPr>
      <w:r w:rsidRPr="00C11DA4">
        <w:rPr>
          <w:rFonts w:ascii="Arial" w:hAnsi="Arial" w:cs="Arial"/>
        </w:rPr>
        <w:t xml:space="preserve">No pasa desapercibido, que el Tribunal local emitió el acuerdo general 5/2020 sobre suspensión de plazos </w:t>
      </w:r>
      <w:r w:rsidR="00AB7923" w:rsidRPr="00C11DA4">
        <w:rPr>
          <w:rFonts w:ascii="Arial" w:hAnsi="Arial" w:cs="Arial"/>
        </w:rPr>
        <w:t>y la adopción de me</w:t>
      </w:r>
      <w:r w:rsidRPr="00C11DA4">
        <w:rPr>
          <w:rFonts w:ascii="Arial" w:hAnsi="Arial" w:cs="Arial"/>
        </w:rPr>
        <w:t>didas para disminuir las posibilidades de contagio del COVID-19,</w:t>
      </w:r>
      <w:r w:rsidR="00AB7923" w:rsidRPr="00C11DA4">
        <w:rPr>
          <w:rFonts w:ascii="Arial" w:hAnsi="Arial" w:cs="Arial"/>
        </w:rPr>
        <w:t xml:space="preserve"> respecto al funcionamiento del órgano y del personal jurisdiccional, en el</w:t>
      </w:r>
      <w:r w:rsidRPr="00C11DA4">
        <w:rPr>
          <w:rFonts w:ascii="Arial" w:hAnsi="Arial" w:cs="Arial"/>
        </w:rPr>
        <w:t xml:space="preserve"> que señala que los servidores públicos deberán desahogar en la medida de sus posibilidades, sus actividades en sus domicilios.</w:t>
      </w:r>
    </w:p>
    <w:p w:rsidR="009147C0" w:rsidRPr="00C11DA4" w:rsidRDefault="002E45E9" w:rsidP="00C623AF">
      <w:pPr>
        <w:pStyle w:val="NormalWeb"/>
        <w:shd w:val="clear" w:color="auto" w:fill="FFFFFF"/>
        <w:spacing w:line="336" w:lineRule="auto"/>
        <w:jc w:val="both"/>
        <w:rPr>
          <w:rFonts w:ascii="Arial" w:hAnsi="Arial" w:cs="Arial"/>
        </w:rPr>
      </w:pPr>
      <w:r w:rsidRPr="00C11DA4">
        <w:rPr>
          <w:rFonts w:ascii="Arial" w:hAnsi="Arial" w:cs="Arial"/>
        </w:rPr>
        <w:t xml:space="preserve">Por ello, una medida que refuerza ese compromiso </w:t>
      </w:r>
      <w:r w:rsidR="00BF20F0" w:rsidRPr="00C11DA4">
        <w:rPr>
          <w:rFonts w:ascii="Arial" w:hAnsi="Arial" w:cs="Arial"/>
        </w:rPr>
        <w:t xml:space="preserve">con la salud de las personas es posibilitar y privilegiar las notificaciones de los acuerdos o resoluciones que emita. </w:t>
      </w:r>
    </w:p>
    <w:p w:rsidR="00AA67DC" w:rsidRPr="00C11DA4" w:rsidRDefault="00BF20F0" w:rsidP="00C623AF">
      <w:pPr>
        <w:pStyle w:val="corte4fondo"/>
        <w:spacing w:line="336" w:lineRule="auto"/>
        <w:ind w:firstLine="0"/>
        <w:rPr>
          <w:b/>
          <w:sz w:val="24"/>
          <w:szCs w:val="24"/>
        </w:rPr>
      </w:pPr>
      <w:r w:rsidRPr="00C11DA4">
        <w:rPr>
          <w:rFonts w:cs="Arial"/>
          <w:sz w:val="24"/>
          <w:szCs w:val="24"/>
        </w:rPr>
        <w:t xml:space="preserve">En consecuencia, deberá </w:t>
      </w:r>
      <w:r w:rsidR="00471C58" w:rsidRPr="00C11DA4">
        <w:rPr>
          <w:b/>
          <w:sz w:val="24"/>
          <w:szCs w:val="24"/>
        </w:rPr>
        <w:t>emit</w:t>
      </w:r>
      <w:r w:rsidRPr="00C11DA4">
        <w:rPr>
          <w:b/>
          <w:sz w:val="24"/>
          <w:szCs w:val="24"/>
        </w:rPr>
        <w:t>ir</w:t>
      </w:r>
      <w:r w:rsidR="00471C58" w:rsidRPr="00C11DA4">
        <w:rPr>
          <w:b/>
          <w:sz w:val="24"/>
          <w:szCs w:val="24"/>
        </w:rPr>
        <w:t xml:space="preserve"> la regulación respectiva </w:t>
      </w:r>
      <w:r w:rsidRPr="00C11DA4">
        <w:rPr>
          <w:b/>
          <w:sz w:val="24"/>
          <w:szCs w:val="24"/>
        </w:rPr>
        <w:t>a</w:t>
      </w:r>
      <w:r w:rsidR="00471C58" w:rsidRPr="00C11DA4">
        <w:rPr>
          <w:b/>
          <w:sz w:val="24"/>
          <w:szCs w:val="24"/>
        </w:rPr>
        <w:t xml:space="preserve"> las notificaciones electrónicas</w:t>
      </w:r>
      <w:r w:rsidR="00AA67DC" w:rsidRPr="00C11DA4">
        <w:rPr>
          <w:b/>
          <w:sz w:val="24"/>
          <w:szCs w:val="24"/>
        </w:rPr>
        <w:t xml:space="preserve">, </w:t>
      </w:r>
      <w:r w:rsidR="00B765EB" w:rsidRPr="00C11DA4">
        <w:rPr>
          <w:b/>
          <w:sz w:val="24"/>
          <w:szCs w:val="24"/>
        </w:rPr>
        <w:t xml:space="preserve">que </w:t>
      </w:r>
      <w:r w:rsidRPr="00C11DA4">
        <w:rPr>
          <w:b/>
          <w:sz w:val="24"/>
          <w:szCs w:val="24"/>
        </w:rPr>
        <w:t>permita</w:t>
      </w:r>
      <w:r w:rsidR="00B765EB" w:rsidRPr="00C11DA4">
        <w:rPr>
          <w:b/>
          <w:sz w:val="24"/>
          <w:szCs w:val="24"/>
        </w:rPr>
        <w:t xml:space="preserve"> a</w:t>
      </w:r>
      <w:r w:rsidR="00AD5A0C" w:rsidRPr="00C11DA4">
        <w:rPr>
          <w:b/>
          <w:sz w:val="24"/>
          <w:szCs w:val="24"/>
        </w:rPr>
        <w:t xml:space="preserve"> la actora recib</w:t>
      </w:r>
      <w:r w:rsidR="00B765EB" w:rsidRPr="00C11DA4">
        <w:rPr>
          <w:b/>
          <w:sz w:val="24"/>
          <w:szCs w:val="24"/>
        </w:rPr>
        <w:t>ir</w:t>
      </w:r>
      <w:r w:rsidR="00AD5A0C" w:rsidRPr="00C11DA4">
        <w:rPr>
          <w:b/>
          <w:sz w:val="24"/>
          <w:szCs w:val="24"/>
        </w:rPr>
        <w:t xml:space="preserve"> las notificaciones </w:t>
      </w:r>
      <w:r w:rsidR="006F42B1" w:rsidRPr="00C11DA4">
        <w:rPr>
          <w:b/>
          <w:sz w:val="24"/>
          <w:szCs w:val="24"/>
        </w:rPr>
        <w:t xml:space="preserve">a los acuerdos o resoluciones recaídos en el juicio que se sustancia a nivel local, </w:t>
      </w:r>
      <w:r w:rsidR="00AD5A0C" w:rsidRPr="00C11DA4">
        <w:rPr>
          <w:b/>
          <w:sz w:val="24"/>
          <w:szCs w:val="24"/>
        </w:rPr>
        <w:t>por la vía remota que indique el Tribunal local.</w:t>
      </w:r>
    </w:p>
    <w:p w:rsidR="00510C8C" w:rsidRPr="00C11DA4" w:rsidRDefault="00510C8C" w:rsidP="00C623AF">
      <w:pPr>
        <w:pStyle w:val="corte4fondo"/>
        <w:spacing w:line="336" w:lineRule="auto"/>
        <w:ind w:firstLine="0"/>
        <w:rPr>
          <w:b/>
          <w:sz w:val="24"/>
          <w:szCs w:val="24"/>
          <w:u w:val="single"/>
        </w:rPr>
      </w:pPr>
    </w:p>
    <w:p w:rsidR="005F3125" w:rsidRPr="00C11DA4" w:rsidRDefault="000A4963" w:rsidP="00C623AF">
      <w:pPr>
        <w:pStyle w:val="corte4fondo"/>
        <w:spacing w:line="336" w:lineRule="auto"/>
        <w:ind w:firstLine="0"/>
        <w:rPr>
          <w:sz w:val="24"/>
          <w:szCs w:val="24"/>
        </w:rPr>
      </w:pPr>
      <w:r w:rsidRPr="00C11DA4">
        <w:rPr>
          <w:sz w:val="24"/>
          <w:szCs w:val="24"/>
        </w:rPr>
        <w:t>Dicha regulación</w:t>
      </w:r>
      <w:r w:rsidR="00EF512C" w:rsidRPr="00C11DA4">
        <w:rPr>
          <w:sz w:val="24"/>
          <w:szCs w:val="24"/>
        </w:rPr>
        <w:t xml:space="preserve"> </w:t>
      </w:r>
      <w:r w:rsidR="00671A3F" w:rsidRPr="00C11DA4">
        <w:rPr>
          <w:sz w:val="24"/>
          <w:szCs w:val="24"/>
        </w:rPr>
        <w:t xml:space="preserve">regirá para </w:t>
      </w:r>
      <w:r w:rsidR="00FD1F4D" w:rsidRPr="00C11DA4">
        <w:rPr>
          <w:b/>
          <w:sz w:val="24"/>
          <w:szCs w:val="24"/>
        </w:rPr>
        <w:t xml:space="preserve">las notificaciones de </w:t>
      </w:r>
      <w:r w:rsidR="00C55EA4" w:rsidRPr="00C11DA4">
        <w:rPr>
          <w:b/>
          <w:sz w:val="24"/>
          <w:szCs w:val="24"/>
        </w:rPr>
        <w:t>sus</w:t>
      </w:r>
      <w:r w:rsidR="00FD1F4D" w:rsidRPr="00C11DA4">
        <w:rPr>
          <w:b/>
          <w:sz w:val="24"/>
          <w:szCs w:val="24"/>
        </w:rPr>
        <w:t xml:space="preserve"> acuerdos, resoluciones y sentencias que emita</w:t>
      </w:r>
      <w:r w:rsidR="002D2FCE" w:rsidRPr="00C11DA4">
        <w:rPr>
          <w:b/>
          <w:sz w:val="24"/>
          <w:szCs w:val="24"/>
        </w:rPr>
        <w:t xml:space="preserve"> </w:t>
      </w:r>
      <w:r w:rsidR="00E17966" w:rsidRPr="00C11DA4">
        <w:rPr>
          <w:b/>
          <w:sz w:val="24"/>
          <w:szCs w:val="24"/>
        </w:rPr>
        <w:t>en tanto permanezca la contingencia sanitaria</w:t>
      </w:r>
      <w:r w:rsidR="002D2FCE" w:rsidRPr="00C11DA4">
        <w:rPr>
          <w:b/>
          <w:sz w:val="24"/>
          <w:szCs w:val="24"/>
        </w:rPr>
        <w:t xml:space="preserve"> o acorde a lo que determine el Tribunal local</w:t>
      </w:r>
      <w:r w:rsidR="00236832" w:rsidRPr="00C11DA4">
        <w:rPr>
          <w:b/>
          <w:sz w:val="24"/>
          <w:szCs w:val="24"/>
        </w:rPr>
        <w:t xml:space="preserve">. </w:t>
      </w:r>
      <w:r w:rsidR="00E17966" w:rsidRPr="00C11DA4">
        <w:rPr>
          <w:sz w:val="24"/>
          <w:szCs w:val="24"/>
        </w:rPr>
        <w:t xml:space="preserve"> </w:t>
      </w:r>
      <w:r w:rsidR="003A25CA" w:rsidRPr="00C11DA4">
        <w:rPr>
          <w:sz w:val="24"/>
          <w:szCs w:val="24"/>
          <w:u w:val="single"/>
        </w:rPr>
        <w:t xml:space="preserve"> </w:t>
      </w:r>
    </w:p>
    <w:p w:rsidR="005F7529" w:rsidRPr="00C11DA4" w:rsidRDefault="00F30331" w:rsidP="00C623AF">
      <w:pPr>
        <w:pStyle w:val="NormalWeb"/>
        <w:shd w:val="clear" w:color="auto" w:fill="FFFFFF"/>
        <w:spacing w:line="276" w:lineRule="auto"/>
        <w:jc w:val="both"/>
        <w:outlineLvl w:val="1"/>
        <w:rPr>
          <w:rFonts w:ascii="Arial" w:hAnsi="Arial" w:cs="Arial"/>
          <w:b/>
          <w:bCs/>
        </w:rPr>
      </w:pPr>
      <w:bookmarkStart w:id="22" w:name="_Toc37945916"/>
      <w:r w:rsidRPr="00C11DA4">
        <w:rPr>
          <w:rFonts w:ascii="Arial" w:hAnsi="Arial" w:cs="Arial"/>
          <w:b/>
          <w:bCs/>
        </w:rPr>
        <w:t>IV</w:t>
      </w:r>
      <w:r w:rsidR="005F7529" w:rsidRPr="00C11DA4">
        <w:rPr>
          <w:rFonts w:ascii="Arial" w:hAnsi="Arial" w:cs="Arial"/>
          <w:b/>
          <w:bCs/>
        </w:rPr>
        <w:t xml:space="preserve">. </w:t>
      </w:r>
      <w:r w:rsidR="00AD5A0C" w:rsidRPr="00C11DA4">
        <w:rPr>
          <w:rFonts w:ascii="Arial" w:hAnsi="Arial" w:cs="Arial"/>
          <w:b/>
          <w:bCs/>
        </w:rPr>
        <w:t>Efectos</w:t>
      </w:r>
      <w:bookmarkEnd w:id="22"/>
    </w:p>
    <w:p w:rsidR="00351E1B" w:rsidRPr="00C11DA4" w:rsidRDefault="00351E1B" w:rsidP="00C623AF">
      <w:pPr>
        <w:pStyle w:val="NormalWeb"/>
        <w:shd w:val="clear" w:color="auto" w:fill="FFFFFF"/>
        <w:spacing w:line="276" w:lineRule="auto"/>
        <w:jc w:val="both"/>
        <w:rPr>
          <w:rFonts w:ascii="Arial" w:hAnsi="Arial" w:cs="Arial"/>
        </w:rPr>
      </w:pPr>
      <w:r w:rsidRPr="00C11DA4">
        <w:rPr>
          <w:rFonts w:ascii="Arial" w:hAnsi="Arial" w:cs="Arial"/>
        </w:rPr>
        <w:t>Con base en lo resuelto, esta Sala Superior determina que</w:t>
      </w:r>
      <w:r w:rsidR="00133C8E" w:rsidRPr="00C11DA4">
        <w:rPr>
          <w:rFonts w:ascii="Arial" w:hAnsi="Arial" w:cs="Arial"/>
        </w:rPr>
        <w:t xml:space="preserve"> el Tribunal local deberá</w:t>
      </w:r>
      <w:r w:rsidR="003451A6" w:rsidRPr="00C11DA4">
        <w:rPr>
          <w:rFonts w:ascii="Arial" w:hAnsi="Arial" w:cs="Arial"/>
        </w:rPr>
        <w:t>:</w:t>
      </w:r>
    </w:p>
    <w:p w:rsidR="00242370" w:rsidRPr="00C11DA4" w:rsidRDefault="00351E1B" w:rsidP="00D91994">
      <w:pPr>
        <w:shd w:val="clear" w:color="auto" w:fill="FFFFFF"/>
        <w:spacing w:before="100" w:beforeAutospacing="1" w:after="100" w:afterAutospacing="1" w:line="336" w:lineRule="auto"/>
        <w:jc w:val="both"/>
        <w:rPr>
          <w:rFonts w:eastAsia="Times New Roman" w:cs="Arial"/>
          <w:sz w:val="24"/>
          <w:szCs w:val="24"/>
          <w:lang w:eastAsia="es-MX"/>
        </w:rPr>
      </w:pPr>
      <w:bookmarkStart w:id="23" w:name="_Hlk20305398"/>
      <w:r w:rsidRPr="00C11DA4">
        <w:rPr>
          <w:rFonts w:eastAsia="Times New Roman" w:cs="Arial"/>
          <w:b/>
          <w:sz w:val="24"/>
          <w:szCs w:val="24"/>
          <w:lang w:eastAsia="es-MX"/>
        </w:rPr>
        <w:t>1.</w:t>
      </w:r>
      <w:r w:rsidRPr="00C11DA4">
        <w:rPr>
          <w:rFonts w:eastAsia="Times New Roman" w:cs="Arial"/>
          <w:sz w:val="24"/>
          <w:szCs w:val="24"/>
          <w:lang w:eastAsia="es-MX"/>
        </w:rPr>
        <w:t xml:space="preserve"> </w:t>
      </w:r>
      <w:r w:rsidR="00133C8E" w:rsidRPr="00C11DA4">
        <w:rPr>
          <w:rFonts w:eastAsia="Times New Roman" w:cs="Arial"/>
          <w:sz w:val="24"/>
          <w:szCs w:val="24"/>
          <w:lang w:eastAsia="es-MX"/>
        </w:rPr>
        <w:t>E</w:t>
      </w:r>
      <w:r w:rsidRPr="00C11DA4">
        <w:rPr>
          <w:rFonts w:eastAsia="Times New Roman" w:cs="Arial"/>
          <w:sz w:val="24"/>
          <w:szCs w:val="24"/>
          <w:lang w:eastAsia="es-MX"/>
        </w:rPr>
        <w:t xml:space="preserve">mitir </w:t>
      </w:r>
      <w:r w:rsidR="00113677" w:rsidRPr="00C11DA4">
        <w:rPr>
          <w:rFonts w:eastAsia="Times New Roman" w:cs="Arial"/>
          <w:b/>
          <w:sz w:val="24"/>
          <w:szCs w:val="24"/>
          <w:lang w:eastAsia="es-MX"/>
        </w:rPr>
        <w:t xml:space="preserve">a la brevedad </w:t>
      </w:r>
      <w:r w:rsidRPr="00C11DA4">
        <w:rPr>
          <w:rFonts w:eastAsia="Times New Roman" w:cs="Arial"/>
          <w:sz w:val="24"/>
          <w:szCs w:val="24"/>
          <w:lang w:eastAsia="es-MX"/>
        </w:rPr>
        <w:t xml:space="preserve">la regulación </w:t>
      </w:r>
      <w:r w:rsidR="00A91B56" w:rsidRPr="00C11DA4">
        <w:rPr>
          <w:rFonts w:eastAsia="Times New Roman" w:cs="Arial"/>
          <w:sz w:val="24"/>
          <w:szCs w:val="24"/>
          <w:lang w:eastAsia="es-MX"/>
        </w:rPr>
        <w:t>que implemente las</w:t>
      </w:r>
      <w:r w:rsidRPr="00C11DA4">
        <w:rPr>
          <w:rFonts w:eastAsia="Times New Roman" w:cs="Arial"/>
          <w:sz w:val="24"/>
          <w:szCs w:val="24"/>
          <w:lang w:eastAsia="es-MX"/>
        </w:rPr>
        <w:t xml:space="preserve"> notificaciones electrónicas</w:t>
      </w:r>
      <w:r w:rsidR="00A91B56" w:rsidRPr="00C11DA4">
        <w:rPr>
          <w:rFonts w:eastAsia="Times New Roman" w:cs="Arial"/>
          <w:sz w:val="24"/>
          <w:szCs w:val="24"/>
          <w:lang w:eastAsia="es-MX"/>
        </w:rPr>
        <w:t xml:space="preserve"> de sus acuerdos, resoluciones y sentencias, </w:t>
      </w:r>
      <w:r w:rsidR="0034399C" w:rsidRPr="00C11DA4">
        <w:rPr>
          <w:rFonts w:eastAsia="Times New Roman" w:cs="Arial"/>
          <w:sz w:val="24"/>
          <w:szCs w:val="24"/>
          <w:lang w:eastAsia="es-MX"/>
        </w:rPr>
        <w:t xml:space="preserve">hasta que se </w:t>
      </w:r>
      <w:r w:rsidR="0034399C" w:rsidRPr="00C11DA4">
        <w:rPr>
          <w:rFonts w:eastAsia="Times New Roman" w:cs="Arial"/>
          <w:b/>
          <w:sz w:val="24"/>
          <w:szCs w:val="24"/>
          <w:lang w:eastAsia="es-MX"/>
        </w:rPr>
        <w:t>c</w:t>
      </w:r>
      <w:r w:rsidR="004417A1" w:rsidRPr="00C11DA4">
        <w:rPr>
          <w:rFonts w:eastAsia="Times New Roman" w:cs="Arial"/>
          <w:b/>
          <w:sz w:val="24"/>
          <w:szCs w:val="24"/>
          <w:lang w:eastAsia="es-MX"/>
        </w:rPr>
        <w:t xml:space="preserve">ontenga la pandemia de coronavirus, Covid-19, </w:t>
      </w:r>
      <w:r w:rsidR="00DD4D08" w:rsidRPr="00C11DA4">
        <w:rPr>
          <w:rFonts w:eastAsia="Times New Roman" w:cs="Arial"/>
          <w:b/>
          <w:sz w:val="24"/>
          <w:szCs w:val="24"/>
          <w:lang w:eastAsia="es-MX"/>
        </w:rPr>
        <w:t>o</w:t>
      </w:r>
      <w:r w:rsidR="00C804DC" w:rsidRPr="00C11DA4">
        <w:rPr>
          <w:rFonts w:eastAsia="Times New Roman" w:cs="Arial"/>
          <w:b/>
          <w:sz w:val="24"/>
          <w:szCs w:val="24"/>
          <w:lang w:eastAsia="es-MX"/>
        </w:rPr>
        <w:t xml:space="preserve"> </w:t>
      </w:r>
      <w:r w:rsidR="00221166" w:rsidRPr="00C11DA4">
        <w:rPr>
          <w:rFonts w:eastAsia="Times New Roman" w:cs="Arial"/>
          <w:b/>
          <w:sz w:val="24"/>
          <w:szCs w:val="24"/>
          <w:lang w:eastAsia="es-MX"/>
        </w:rPr>
        <w:t xml:space="preserve">lo </w:t>
      </w:r>
      <w:r w:rsidR="00DD4D08" w:rsidRPr="00C11DA4">
        <w:rPr>
          <w:rFonts w:eastAsia="Times New Roman" w:cs="Arial"/>
          <w:b/>
          <w:sz w:val="24"/>
          <w:szCs w:val="24"/>
          <w:lang w:eastAsia="es-MX"/>
        </w:rPr>
        <w:t xml:space="preserve">que determine el Tribunal local. </w:t>
      </w:r>
    </w:p>
    <w:p w:rsidR="00C1191C" w:rsidRPr="00C11DA4" w:rsidRDefault="00D568A5" w:rsidP="00D91994">
      <w:pPr>
        <w:shd w:val="clear" w:color="auto" w:fill="FFFFFF"/>
        <w:spacing w:before="100" w:beforeAutospacing="1" w:after="100" w:afterAutospacing="1" w:line="336" w:lineRule="auto"/>
        <w:jc w:val="both"/>
        <w:rPr>
          <w:rFonts w:eastAsia="Times New Roman" w:cs="Arial"/>
          <w:sz w:val="24"/>
          <w:szCs w:val="24"/>
          <w:lang w:eastAsia="es-MX"/>
        </w:rPr>
      </w:pPr>
      <w:r w:rsidRPr="00C11DA4">
        <w:rPr>
          <w:rFonts w:eastAsia="Times New Roman" w:cs="Arial"/>
          <w:b/>
          <w:sz w:val="24"/>
          <w:szCs w:val="24"/>
          <w:lang w:eastAsia="es-MX"/>
        </w:rPr>
        <w:t>2</w:t>
      </w:r>
      <w:r w:rsidR="00DD4D08" w:rsidRPr="00C11DA4">
        <w:rPr>
          <w:rFonts w:eastAsia="Times New Roman" w:cs="Arial"/>
          <w:b/>
          <w:sz w:val="24"/>
          <w:szCs w:val="24"/>
          <w:lang w:eastAsia="es-MX"/>
        </w:rPr>
        <w:t xml:space="preserve">. </w:t>
      </w:r>
      <w:r w:rsidR="00DD4D08" w:rsidRPr="00C11DA4">
        <w:rPr>
          <w:rFonts w:eastAsia="Times New Roman" w:cs="Arial"/>
          <w:sz w:val="24"/>
          <w:szCs w:val="24"/>
          <w:lang w:eastAsia="es-MX"/>
        </w:rPr>
        <w:t>R</w:t>
      </w:r>
      <w:r w:rsidR="00CD7CA8" w:rsidRPr="00C11DA4">
        <w:rPr>
          <w:rFonts w:eastAsia="Times New Roman" w:cs="Arial"/>
          <w:sz w:val="24"/>
          <w:szCs w:val="24"/>
          <w:lang w:eastAsia="es-MX"/>
        </w:rPr>
        <w:t>ec</w:t>
      </w:r>
      <w:r w:rsidR="00DD4D08" w:rsidRPr="00C11DA4">
        <w:rPr>
          <w:rFonts w:eastAsia="Times New Roman" w:cs="Arial"/>
          <w:sz w:val="24"/>
          <w:szCs w:val="24"/>
          <w:lang w:eastAsia="es-MX"/>
        </w:rPr>
        <w:t xml:space="preserve">abar la voluntad de </w:t>
      </w:r>
      <w:r w:rsidR="00CD7CA8" w:rsidRPr="00C11DA4">
        <w:rPr>
          <w:rFonts w:eastAsia="Times New Roman" w:cs="Arial"/>
          <w:sz w:val="24"/>
          <w:szCs w:val="24"/>
          <w:lang w:eastAsia="es-MX"/>
        </w:rPr>
        <w:t xml:space="preserve">la promovente </w:t>
      </w:r>
      <w:r w:rsidR="00DD4D08" w:rsidRPr="00C11DA4">
        <w:rPr>
          <w:rFonts w:eastAsia="Times New Roman" w:cs="Arial"/>
          <w:sz w:val="24"/>
          <w:szCs w:val="24"/>
          <w:lang w:eastAsia="es-MX"/>
        </w:rPr>
        <w:t>sobre si desea</w:t>
      </w:r>
      <w:r w:rsidR="00C1191C" w:rsidRPr="00C11DA4">
        <w:rPr>
          <w:rFonts w:eastAsia="Times New Roman" w:cs="Arial"/>
          <w:sz w:val="24"/>
          <w:szCs w:val="24"/>
          <w:lang w:eastAsia="es-MX"/>
        </w:rPr>
        <w:t xml:space="preserve"> recibir todas las notificaciones de los acuerdos o resoluciones que a la fecha </w:t>
      </w:r>
      <w:r w:rsidR="00DD4D08" w:rsidRPr="00C11DA4">
        <w:rPr>
          <w:rFonts w:eastAsia="Times New Roman" w:cs="Arial"/>
          <w:sz w:val="24"/>
          <w:szCs w:val="24"/>
          <w:lang w:eastAsia="es-MX"/>
        </w:rPr>
        <w:t xml:space="preserve">ya </w:t>
      </w:r>
      <w:r w:rsidR="00C1191C" w:rsidRPr="00C11DA4">
        <w:rPr>
          <w:rFonts w:eastAsia="Times New Roman" w:cs="Arial"/>
          <w:sz w:val="24"/>
          <w:szCs w:val="24"/>
          <w:lang w:eastAsia="es-MX"/>
        </w:rPr>
        <w:t xml:space="preserve">se hayan dictado en el juicio local, para que </w:t>
      </w:r>
      <w:r w:rsidR="00DD4D08" w:rsidRPr="00C11DA4">
        <w:rPr>
          <w:rFonts w:eastAsia="Times New Roman" w:cs="Arial"/>
          <w:sz w:val="24"/>
          <w:szCs w:val="24"/>
          <w:lang w:eastAsia="es-MX"/>
        </w:rPr>
        <w:t xml:space="preserve">las realice vía electrónica. </w:t>
      </w:r>
      <w:r w:rsidR="00C1191C" w:rsidRPr="00C11DA4">
        <w:rPr>
          <w:rFonts w:eastAsia="Times New Roman" w:cs="Arial"/>
          <w:sz w:val="24"/>
          <w:szCs w:val="24"/>
          <w:lang w:eastAsia="es-MX"/>
        </w:rPr>
        <w:t xml:space="preserve"> </w:t>
      </w:r>
    </w:p>
    <w:p w:rsidR="00931697" w:rsidRPr="00C11DA4" w:rsidRDefault="00D568A5" w:rsidP="00D91994">
      <w:pPr>
        <w:shd w:val="clear" w:color="auto" w:fill="FFFFFF"/>
        <w:spacing w:before="100" w:beforeAutospacing="1" w:after="100" w:afterAutospacing="1" w:line="336" w:lineRule="auto"/>
        <w:jc w:val="both"/>
        <w:rPr>
          <w:rFonts w:eastAsia="Times New Roman" w:cs="Arial"/>
          <w:sz w:val="24"/>
          <w:szCs w:val="24"/>
          <w:lang w:eastAsia="es-MX"/>
        </w:rPr>
      </w:pPr>
      <w:r w:rsidRPr="00C11DA4">
        <w:rPr>
          <w:rFonts w:eastAsia="Times New Roman" w:cs="Arial"/>
          <w:b/>
          <w:sz w:val="24"/>
          <w:szCs w:val="24"/>
          <w:lang w:eastAsia="es-MX"/>
        </w:rPr>
        <w:t>3</w:t>
      </w:r>
      <w:r w:rsidR="00931697" w:rsidRPr="00C11DA4">
        <w:rPr>
          <w:rFonts w:eastAsia="Times New Roman" w:cs="Arial"/>
          <w:b/>
          <w:sz w:val="24"/>
          <w:szCs w:val="24"/>
          <w:lang w:eastAsia="es-MX"/>
        </w:rPr>
        <w:t xml:space="preserve">. </w:t>
      </w:r>
      <w:r w:rsidR="00256053" w:rsidRPr="00C11DA4">
        <w:rPr>
          <w:rFonts w:eastAsia="Times New Roman" w:cs="Arial"/>
          <w:sz w:val="24"/>
          <w:szCs w:val="24"/>
          <w:lang w:eastAsia="es-MX"/>
        </w:rPr>
        <w:t xml:space="preserve">El Tribunal local deberá informar del cumplimiento a esta sentencia en el plazo máximo de veinticuatro horas, remitiendo la información que </w:t>
      </w:r>
      <w:r w:rsidR="00931697" w:rsidRPr="00C11DA4">
        <w:rPr>
          <w:rFonts w:eastAsia="Times New Roman" w:cs="Arial"/>
          <w:sz w:val="24"/>
          <w:szCs w:val="24"/>
          <w:lang w:eastAsia="es-MX"/>
        </w:rPr>
        <w:t xml:space="preserve">lo compruebe. </w:t>
      </w:r>
      <w:bookmarkEnd w:id="23"/>
    </w:p>
    <w:p w:rsidR="005F7529" w:rsidRPr="00C11DA4" w:rsidRDefault="005F7529" w:rsidP="005F7529">
      <w:pPr>
        <w:shd w:val="clear" w:color="auto" w:fill="FFFFFF"/>
        <w:spacing w:before="100" w:beforeAutospacing="1" w:after="100" w:afterAutospacing="1" w:line="360" w:lineRule="auto"/>
        <w:jc w:val="both"/>
        <w:rPr>
          <w:rFonts w:eastAsia="Times New Roman" w:cs="Arial"/>
          <w:sz w:val="24"/>
          <w:szCs w:val="24"/>
          <w:lang w:eastAsia="es-MX"/>
        </w:rPr>
      </w:pPr>
      <w:r w:rsidRPr="00C11DA4">
        <w:rPr>
          <w:rFonts w:eastAsia="Times New Roman" w:cs="Arial"/>
          <w:sz w:val="24"/>
          <w:szCs w:val="24"/>
          <w:lang w:eastAsia="es-MX"/>
        </w:rPr>
        <w:t>Por lo expuesto y fundado, se</w:t>
      </w:r>
    </w:p>
    <w:p w:rsidR="00CA03AC" w:rsidRPr="00C11DA4" w:rsidRDefault="00AD5A0C" w:rsidP="00910A18">
      <w:pPr>
        <w:pStyle w:val="Ttulo1"/>
        <w:spacing w:before="100" w:beforeAutospacing="1" w:after="100" w:afterAutospacing="1" w:line="360" w:lineRule="auto"/>
        <w:jc w:val="center"/>
        <w:rPr>
          <w:rFonts w:ascii="Arial" w:eastAsia="Times New Roman" w:hAnsi="Arial" w:cs="Arial"/>
          <w:b/>
          <w:color w:val="auto"/>
          <w:sz w:val="24"/>
          <w:szCs w:val="24"/>
          <w:lang w:eastAsia="es-MX"/>
        </w:rPr>
      </w:pPr>
      <w:bookmarkStart w:id="24" w:name="_Toc37945917"/>
      <w:r w:rsidRPr="00C11DA4">
        <w:rPr>
          <w:rFonts w:ascii="Arial" w:eastAsia="Times New Roman" w:hAnsi="Arial" w:cs="Arial"/>
          <w:b/>
          <w:color w:val="auto"/>
          <w:sz w:val="24"/>
          <w:szCs w:val="24"/>
          <w:lang w:eastAsia="es-MX"/>
        </w:rPr>
        <w:t>RESUELVE</w:t>
      </w:r>
      <w:bookmarkEnd w:id="24"/>
    </w:p>
    <w:p w:rsidR="00322627" w:rsidRPr="00C11DA4" w:rsidRDefault="00CA03AC" w:rsidP="00D91994">
      <w:pPr>
        <w:spacing w:before="100" w:beforeAutospacing="1" w:after="100" w:afterAutospacing="1" w:line="336" w:lineRule="auto"/>
        <w:jc w:val="both"/>
        <w:rPr>
          <w:rFonts w:cs="Arial"/>
          <w:sz w:val="24"/>
          <w:szCs w:val="24"/>
          <w:lang w:eastAsia="es-MX"/>
        </w:rPr>
      </w:pPr>
      <w:r w:rsidRPr="00C11DA4">
        <w:rPr>
          <w:rFonts w:cs="Arial"/>
          <w:b/>
          <w:sz w:val="24"/>
          <w:szCs w:val="24"/>
          <w:lang w:eastAsia="es-MX"/>
        </w:rPr>
        <w:t>PRIMERO.</w:t>
      </w:r>
      <w:r w:rsidR="00D612E5" w:rsidRPr="00C11DA4">
        <w:rPr>
          <w:rFonts w:cs="Arial"/>
          <w:bCs/>
          <w:sz w:val="24"/>
          <w:szCs w:val="24"/>
          <w:lang w:eastAsia="es-MX"/>
        </w:rPr>
        <w:t xml:space="preserve"> </w:t>
      </w:r>
      <w:r w:rsidR="00931697" w:rsidRPr="00C11DA4">
        <w:rPr>
          <w:rFonts w:cs="Arial"/>
          <w:bCs/>
          <w:sz w:val="24"/>
          <w:szCs w:val="24"/>
          <w:lang w:eastAsia="es-MX"/>
        </w:rPr>
        <w:t xml:space="preserve">Es </w:t>
      </w:r>
      <w:r w:rsidR="00931697" w:rsidRPr="00C11DA4">
        <w:rPr>
          <w:rFonts w:cs="Arial"/>
          <w:b/>
          <w:bCs/>
          <w:sz w:val="24"/>
          <w:szCs w:val="24"/>
          <w:lang w:eastAsia="es-MX"/>
        </w:rPr>
        <w:t xml:space="preserve">fundada </w:t>
      </w:r>
      <w:r w:rsidR="00931697" w:rsidRPr="00C11DA4">
        <w:rPr>
          <w:rFonts w:cs="Arial"/>
          <w:bCs/>
          <w:sz w:val="24"/>
          <w:szCs w:val="24"/>
          <w:lang w:eastAsia="es-MX"/>
        </w:rPr>
        <w:t xml:space="preserve">la omisión </w:t>
      </w:r>
      <w:r w:rsidR="005F0690" w:rsidRPr="00C11DA4">
        <w:rPr>
          <w:rFonts w:cs="Arial"/>
          <w:bCs/>
          <w:sz w:val="24"/>
          <w:szCs w:val="24"/>
          <w:lang w:eastAsia="es-MX"/>
        </w:rPr>
        <w:t xml:space="preserve">planteada en el presente juicio.  </w:t>
      </w:r>
    </w:p>
    <w:p w:rsidR="00EB4116" w:rsidRPr="00C11DA4" w:rsidRDefault="00181377" w:rsidP="00D91994">
      <w:pPr>
        <w:spacing w:before="100" w:beforeAutospacing="1" w:after="100" w:afterAutospacing="1" w:line="336" w:lineRule="auto"/>
        <w:jc w:val="both"/>
        <w:rPr>
          <w:rFonts w:cs="Arial"/>
          <w:bCs/>
          <w:sz w:val="24"/>
          <w:szCs w:val="24"/>
        </w:rPr>
      </w:pPr>
      <w:r w:rsidRPr="00C11DA4">
        <w:rPr>
          <w:rFonts w:cs="Arial"/>
          <w:b/>
          <w:bCs/>
          <w:sz w:val="24"/>
          <w:szCs w:val="24"/>
          <w:lang w:eastAsia="es-MX"/>
        </w:rPr>
        <w:t>SEGUNDO.</w:t>
      </w:r>
      <w:r w:rsidR="00EB4116" w:rsidRPr="00C11DA4">
        <w:rPr>
          <w:rFonts w:cs="Arial"/>
          <w:b/>
          <w:bCs/>
          <w:sz w:val="24"/>
          <w:szCs w:val="24"/>
          <w:lang w:eastAsia="es-MX"/>
        </w:rPr>
        <w:t xml:space="preserve"> </w:t>
      </w:r>
      <w:r w:rsidR="005F0690" w:rsidRPr="00C11DA4">
        <w:rPr>
          <w:rFonts w:cs="Arial"/>
          <w:bCs/>
          <w:sz w:val="24"/>
          <w:szCs w:val="24"/>
        </w:rPr>
        <w:t xml:space="preserve">Se </w:t>
      </w:r>
      <w:r w:rsidR="005F0690" w:rsidRPr="00C11DA4">
        <w:rPr>
          <w:rFonts w:cs="Arial"/>
          <w:b/>
          <w:bCs/>
          <w:sz w:val="24"/>
          <w:szCs w:val="24"/>
        </w:rPr>
        <w:t xml:space="preserve">vincula </w:t>
      </w:r>
      <w:r w:rsidR="005F0690" w:rsidRPr="00C11DA4">
        <w:rPr>
          <w:rFonts w:cs="Arial"/>
          <w:bCs/>
          <w:sz w:val="24"/>
          <w:szCs w:val="24"/>
        </w:rPr>
        <w:t xml:space="preserve">al Tribunal Electoral del Estado de Oaxaca </w:t>
      </w:r>
      <w:r w:rsidR="00331787" w:rsidRPr="00C11DA4">
        <w:rPr>
          <w:rFonts w:cs="Arial"/>
          <w:bCs/>
          <w:sz w:val="24"/>
          <w:szCs w:val="24"/>
        </w:rPr>
        <w:t xml:space="preserve">a dar cumplimiento a esta ejecutoria </w:t>
      </w:r>
      <w:r w:rsidR="00BD27AE" w:rsidRPr="00C11DA4">
        <w:rPr>
          <w:rFonts w:cs="Arial"/>
          <w:bCs/>
          <w:sz w:val="24"/>
          <w:szCs w:val="24"/>
        </w:rPr>
        <w:t xml:space="preserve">en los términos </w:t>
      </w:r>
      <w:r w:rsidR="00331787" w:rsidRPr="00C11DA4">
        <w:rPr>
          <w:rFonts w:cs="Arial"/>
          <w:bCs/>
          <w:sz w:val="24"/>
          <w:szCs w:val="24"/>
        </w:rPr>
        <w:t>que se precisan en el apartado respectivo</w:t>
      </w:r>
      <w:r w:rsidR="00BD27AE" w:rsidRPr="00C11DA4">
        <w:rPr>
          <w:rFonts w:cs="Arial"/>
          <w:bCs/>
          <w:sz w:val="24"/>
          <w:szCs w:val="24"/>
        </w:rPr>
        <w:t xml:space="preserve">. </w:t>
      </w:r>
    </w:p>
    <w:p w:rsidR="001E0628" w:rsidRPr="00C11DA4" w:rsidRDefault="001E0628" w:rsidP="00D91994">
      <w:pPr>
        <w:spacing w:before="100" w:beforeAutospacing="1" w:after="100" w:afterAutospacing="1" w:line="336" w:lineRule="auto"/>
        <w:jc w:val="both"/>
        <w:rPr>
          <w:rFonts w:eastAsia="Times New Roman" w:cs="Arial"/>
          <w:b/>
          <w:sz w:val="24"/>
          <w:szCs w:val="24"/>
          <w:lang w:eastAsia="es-MX"/>
        </w:rPr>
      </w:pPr>
      <w:r w:rsidRPr="00C11DA4">
        <w:rPr>
          <w:rFonts w:eastAsia="Times New Roman" w:cs="Arial"/>
          <w:b/>
          <w:sz w:val="24"/>
          <w:szCs w:val="24"/>
          <w:lang w:eastAsia="es-MX"/>
        </w:rPr>
        <w:t>Notifíquese</w:t>
      </w:r>
      <w:r w:rsidR="00331787" w:rsidRPr="00C11DA4">
        <w:rPr>
          <w:rFonts w:eastAsia="Times New Roman" w:cs="Arial"/>
          <w:sz w:val="24"/>
          <w:szCs w:val="24"/>
          <w:lang w:eastAsia="es-MX"/>
        </w:rPr>
        <w:t xml:space="preserve"> </w:t>
      </w:r>
      <w:r w:rsidR="00331787" w:rsidRPr="00C11DA4">
        <w:rPr>
          <w:rFonts w:eastAsia="Times New Roman" w:cs="Arial"/>
          <w:b/>
          <w:sz w:val="24"/>
          <w:szCs w:val="24"/>
          <w:lang w:eastAsia="es-MX"/>
        </w:rPr>
        <w:t xml:space="preserve">vía electrónica la presente determinación. </w:t>
      </w:r>
    </w:p>
    <w:p w:rsidR="00B11438" w:rsidRPr="00C11DA4" w:rsidRDefault="001E0628" w:rsidP="00D91994">
      <w:pPr>
        <w:spacing w:before="100" w:beforeAutospacing="1" w:after="100" w:afterAutospacing="1" w:line="336" w:lineRule="auto"/>
        <w:jc w:val="both"/>
        <w:rPr>
          <w:rFonts w:eastAsia="Times New Roman" w:cs="Arial"/>
          <w:sz w:val="24"/>
          <w:szCs w:val="24"/>
          <w:lang w:eastAsia="es-MX"/>
        </w:rPr>
      </w:pPr>
      <w:r w:rsidRPr="00C11DA4">
        <w:rPr>
          <w:rFonts w:eastAsia="Times New Roman" w:cs="Arial"/>
          <w:sz w:val="24"/>
          <w:szCs w:val="24"/>
          <w:lang w:eastAsia="es-MX"/>
        </w:rPr>
        <w:t>En su oportunidad, archívese el presente expediente como asunto concluido y, en su caso, hágase la devolución de la documentación exhibida.</w:t>
      </w:r>
    </w:p>
    <w:p w:rsidR="009602EB" w:rsidRPr="00C11DA4" w:rsidRDefault="009602EB" w:rsidP="00D91994">
      <w:pPr>
        <w:widowControl w:val="0"/>
        <w:autoSpaceDE w:val="0"/>
        <w:autoSpaceDN w:val="0"/>
        <w:spacing w:before="100" w:beforeAutospacing="1" w:after="100" w:afterAutospacing="1" w:line="336" w:lineRule="auto"/>
        <w:jc w:val="both"/>
        <w:rPr>
          <w:rFonts w:cs="Arial"/>
          <w:bCs/>
          <w:sz w:val="24"/>
          <w:szCs w:val="24"/>
        </w:rPr>
      </w:pPr>
      <w:r w:rsidRPr="00C11DA4">
        <w:rPr>
          <w:rFonts w:cs="Arial"/>
          <w:bCs/>
          <w:sz w:val="24"/>
          <w:szCs w:val="24"/>
        </w:rPr>
        <w:t xml:space="preserve">Así, por mayoría de votos, lo resolvieron la Magistrada y los Magistrados que integran la Sala Superior del Tribunal Electoral del Poder Judicial de la Federación, con los votos en contra de la Magistrada Janine M. Otálora </w:t>
      </w:r>
      <w:proofErr w:type="spellStart"/>
      <w:r w:rsidRPr="00C11DA4">
        <w:rPr>
          <w:rFonts w:cs="Arial"/>
          <w:bCs/>
          <w:sz w:val="24"/>
          <w:szCs w:val="24"/>
        </w:rPr>
        <w:t>Malassis</w:t>
      </w:r>
      <w:proofErr w:type="spellEnd"/>
      <w:r w:rsidRPr="00C11DA4">
        <w:rPr>
          <w:rFonts w:cs="Arial"/>
          <w:bCs/>
          <w:sz w:val="24"/>
          <w:szCs w:val="24"/>
        </w:rPr>
        <w:t xml:space="preserve"> y del Magistrado Reyes Rodríguez Mondragón quienes emiten voto particular. </w:t>
      </w:r>
      <w:r w:rsidRPr="00C11DA4">
        <w:rPr>
          <w:bCs/>
          <w:sz w:val="24"/>
          <w:szCs w:val="24"/>
        </w:rPr>
        <w:t xml:space="preserve">El </w:t>
      </w:r>
      <w:r w:rsidRPr="00C11DA4">
        <w:rPr>
          <w:rFonts w:cs="Arial"/>
          <w:bCs/>
          <w:sz w:val="24"/>
          <w:szCs w:val="24"/>
        </w:rPr>
        <w:t>secretari</w:t>
      </w:r>
      <w:r w:rsidRPr="00C11DA4">
        <w:rPr>
          <w:bCs/>
          <w:sz w:val="24"/>
          <w:szCs w:val="24"/>
        </w:rPr>
        <w:t>o</w:t>
      </w:r>
      <w:r w:rsidRPr="00C11DA4">
        <w:rPr>
          <w:rFonts w:cs="Arial"/>
          <w:bCs/>
          <w:sz w:val="24"/>
          <w:szCs w:val="24"/>
        </w:rPr>
        <w:t xml:space="preserve"> general de acuerdos</w:t>
      </w:r>
      <w:r w:rsidR="00D91994" w:rsidRPr="00C11DA4">
        <w:rPr>
          <w:rFonts w:cs="Arial"/>
          <w:bCs/>
          <w:sz w:val="24"/>
          <w:szCs w:val="24"/>
        </w:rPr>
        <w:t xml:space="preserve"> autoriza y da fe </w:t>
      </w:r>
      <w:bookmarkStart w:id="25" w:name="_Hlk37955393"/>
      <w:r w:rsidR="00D91994" w:rsidRPr="00C11DA4">
        <w:rPr>
          <w:rFonts w:cs="Arial"/>
          <w:bCs/>
          <w:sz w:val="24"/>
          <w:szCs w:val="24"/>
        </w:rPr>
        <w:t xml:space="preserve">que la presente sentencia se firma de manera electrónica. </w:t>
      </w:r>
    </w:p>
    <w:bookmarkEnd w:id="25"/>
    <w:p w:rsidR="009602EB" w:rsidRPr="00A55F4D" w:rsidRDefault="00586CDC" w:rsidP="00A55F4D">
      <w:pPr>
        <w:widowControl w:val="0"/>
        <w:autoSpaceDE w:val="0"/>
        <w:autoSpaceDN w:val="0"/>
        <w:spacing w:before="100" w:beforeAutospacing="1" w:after="100" w:afterAutospacing="1" w:line="360" w:lineRule="auto"/>
        <w:jc w:val="both"/>
        <w:rPr>
          <w:rFonts w:cs="Arial"/>
          <w:bCs/>
          <w:sz w:val="24"/>
          <w:szCs w:val="24"/>
        </w:rPr>
      </w:pPr>
      <w:r w:rsidRPr="00A55F4D">
        <w:rPr>
          <w:rFonts w:cs="Arial"/>
          <w:bCs/>
          <w:sz w:val="24"/>
          <w:szCs w:val="24"/>
        </w:rPr>
        <w:t>Este documento es una representación gráfica autorizada mediante firmas electrónicas certificadas, el cual tiene plena validez jurídica de conformidad con los numerales segundo y cuarto del Acuerdo General de la Sala Superior del Tribunal Electoral del Poder Judicial de la Federación 3/2020, por el que se implementa la firma electrónica certificada del Poder Judicial de la Federación en los acuerdos, resoluciones y sentencias que se dicten con motivo del trámite, turno, sustanciación y resolución de los medios de impugnación en materia electoral.</w:t>
      </w:r>
    </w:p>
    <w:p w:rsidR="00A55F4D" w:rsidRDefault="00A55F4D" w:rsidP="00586CDC">
      <w:pPr>
        <w:widowControl w:val="0"/>
        <w:autoSpaceDE w:val="0"/>
        <w:autoSpaceDN w:val="0"/>
        <w:spacing w:before="100" w:beforeAutospacing="1" w:after="100" w:afterAutospacing="1"/>
        <w:jc w:val="both"/>
        <w:rPr>
          <w:rFonts w:cs="Arial"/>
          <w:bCs/>
        </w:rPr>
      </w:pPr>
    </w:p>
    <w:p w:rsidR="00A55F4D" w:rsidRPr="00586CDC" w:rsidRDefault="00A55F4D" w:rsidP="00586CDC">
      <w:pPr>
        <w:widowControl w:val="0"/>
        <w:autoSpaceDE w:val="0"/>
        <w:autoSpaceDN w:val="0"/>
        <w:spacing w:before="100" w:beforeAutospacing="1" w:after="100" w:afterAutospacing="1"/>
        <w:jc w:val="both"/>
        <w:rPr>
          <w:rFonts w:cs="Arial"/>
          <w:bCs/>
        </w:rPr>
      </w:pPr>
    </w:p>
    <w:p w:rsidR="001D19E5" w:rsidRPr="008D5EC4" w:rsidRDefault="001D19E5" w:rsidP="001D19E5">
      <w:pPr>
        <w:spacing w:before="100" w:beforeAutospacing="1" w:after="100" w:afterAutospacing="1" w:line="360" w:lineRule="auto"/>
        <w:jc w:val="both"/>
        <w:rPr>
          <w:rFonts w:cs="Arial"/>
          <w:b/>
          <w:sz w:val="24"/>
          <w:szCs w:val="24"/>
        </w:rPr>
      </w:pPr>
      <w:r w:rsidRPr="008D5EC4">
        <w:rPr>
          <w:rFonts w:cs="Arial"/>
          <w:b/>
          <w:sz w:val="24"/>
          <w:szCs w:val="24"/>
        </w:rPr>
        <w:t>VOTO PARTICULAR CONJUNTO</w:t>
      </w:r>
      <w:r w:rsidRPr="008D5EC4">
        <w:rPr>
          <w:rStyle w:val="Refdenotaalpie"/>
          <w:rFonts w:cs="Arial"/>
          <w:b/>
          <w:sz w:val="24"/>
          <w:szCs w:val="24"/>
        </w:rPr>
        <w:footnoteReference w:id="29"/>
      </w:r>
      <w:r w:rsidRPr="008D5EC4">
        <w:rPr>
          <w:rFonts w:cs="Arial"/>
          <w:b/>
          <w:sz w:val="24"/>
          <w:szCs w:val="24"/>
        </w:rPr>
        <w:t xml:space="preserve"> QUE FORMULAN LA MAGISTRADA</w:t>
      </w:r>
      <w:r w:rsidRPr="008D5EC4">
        <w:rPr>
          <w:rFonts w:cs="Arial"/>
          <w:sz w:val="24"/>
          <w:szCs w:val="24"/>
        </w:rPr>
        <w:t xml:space="preserve"> </w:t>
      </w:r>
      <w:r w:rsidRPr="008D5EC4">
        <w:rPr>
          <w:rFonts w:cs="Arial"/>
          <w:b/>
          <w:sz w:val="24"/>
          <w:szCs w:val="24"/>
        </w:rPr>
        <w:t>JANINE M. OTÁLORA MALASSIS Y EL MAGISTRADO REYES RODRÍGUEZ MONDRAGÓN, EN RELACIÓN CON EL ACUERDO DE SALA DICTADO EN EL JUICIO PARA LA PROTECCIÓN DE LOS DERECHOS POLÍTICO-ELECTORALES DEL CIUDADANO</w:t>
      </w:r>
      <w:r w:rsidRPr="008D5EC4">
        <w:rPr>
          <w:rStyle w:val="Refdenotaalpie"/>
          <w:rFonts w:cs="Arial"/>
          <w:b/>
          <w:sz w:val="24"/>
          <w:szCs w:val="24"/>
        </w:rPr>
        <w:footnoteReference w:id="30"/>
      </w:r>
      <w:r w:rsidRPr="008D5EC4">
        <w:rPr>
          <w:rFonts w:cs="Arial"/>
          <w:b/>
          <w:sz w:val="24"/>
          <w:szCs w:val="24"/>
        </w:rPr>
        <w:t xml:space="preserve"> SUP-JDC-194/2020</w:t>
      </w:r>
      <w:r w:rsidRPr="008D5EC4">
        <w:rPr>
          <w:rStyle w:val="Refdenotaalpie"/>
          <w:rFonts w:cs="Arial"/>
          <w:b/>
          <w:sz w:val="24"/>
          <w:szCs w:val="24"/>
        </w:rPr>
        <w:footnoteReference w:id="31"/>
      </w:r>
      <w:r w:rsidRPr="008D5EC4">
        <w:rPr>
          <w:rFonts w:cs="Arial"/>
          <w:b/>
          <w:sz w:val="24"/>
          <w:szCs w:val="24"/>
        </w:rPr>
        <w:t xml:space="preserve"> Y LA SENTENCIA EN EL JUICIO ELECTORAL SUP-JE-26/2020.</w:t>
      </w:r>
    </w:p>
    <w:p w:rsidR="001D19E5" w:rsidRPr="008D5EC4" w:rsidRDefault="001D19E5" w:rsidP="001D19E5">
      <w:pPr>
        <w:spacing w:before="100" w:beforeAutospacing="1" w:after="100" w:afterAutospacing="1" w:line="360" w:lineRule="auto"/>
        <w:jc w:val="both"/>
        <w:rPr>
          <w:rFonts w:cs="Arial"/>
          <w:bCs/>
          <w:iCs/>
          <w:sz w:val="24"/>
          <w:szCs w:val="24"/>
          <w:lang w:val="es-ES_tradnl"/>
        </w:rPr>
      </w:pPr>
      <w:r w:rsidRPr="008D5EC4">
        <w:rPr>
          <w:rFonts w:cs="Arial"/>
          <w:b/>
          <w:bCs/>
          <w:iCs/>
          <w:sz w:val="24"/>
          <w:szCs w:val="24"/>
          <w:lang w:val="es-ES_tradnl"/>
        </w:rPr>
        <w:t xml:space="preserve">I. </w:t>
      </w:r>
      <w:r w:rsidRPr="008D5EC4">
        <w:rPr>
          <w:rFonts w:cs="Arial"/>
          <w:bCs/>
          <w:iCs/>
          <w:sz w:val="24"/>
          <w:szCs w:val="24"/>
          <w:lang w:val="es-ES_tradnl"/>
        </w:rPr>
        <w:t>Introducción y contexto del caso,</w:t>
      </w:r>
      <w:r w:rsidRPr="008D5EC4">
        <w:rPr>
          <w:rFonts w:cs="Arial"/>
          <w:b/>
          <w:bCs/>
          <w:iCs/>
          <w:sz w:val="24"/>
          <w:szCs w:val="24"/>
          <w:lang w:val="es-ES_tradnl"/>
        </w:rPr>
        <w:t xml:space="preserve"> II. </w:t>
      </w:r>
      <w:r w:rsidRPr="008D5EC4">
        <w:rPr>
          <w:rFonts w:cs="Arial"/>
          <w:bCs/>
          <w:iCs/>
          <w:sz w:val="24"/>
          <w:szCs w:val="24"/>
          <w:lang w:val="es-ES_tradnl"/>
        </w:rPr>
        <w:t>Criterio mayoritario,</w:t>
      </w:r>
      <w:r w:rsidRPr="008D5EC4">
        <w:rPr>
          <w:rFonts w:cs="Arial"/>
          <w:b/>
          <w:bCs/>
          <w:iCs/>
          <w:sz w:val="24"/>
          <w:szCs w:val="24"/>
          <w:lang w:val="es-ES_tradnl"/>
        </w:rPr>
        <w:t xml:space="preserve"> III. </w:t>
      </w:r>
      <w:r w:rsidRPr="008D5EC4">
        <w:rPr>
          <w:rFonts w:cs="Arial"/>
          <w:bCs/>
          <w:sz w:val="24"/>
          <w:szCs w:val="24"/>
          <w:lang w:val="es-ES_tradnl"/>
        </w:rPr>
        <w:t xml:space="preserve">Razones por las que disentimos del criterio mayoritario y </w:t>
      </w:r>
      <w:r w:rsidRPr="008D5EC4">
        <w:rPr>
          <w:rFonts w:cs="Arial"/>
          <w:b/>
          <w:bCs/>
          <w:sz w:val="24"/>
          <w:szCs w:val="24"/>
          <w:lang w:val="es-ES_tradnl"/>
        </w:rPr>
        <w:t xml:space="preserve">IV. </w:t>
      </w:r>
      <w:r w:rsidRPr="008D5EC4">
        <w:rPr>
          <w:rFonts w:cs="Arial"/>
          <w:bCs/>
          <w:sz w:val="24"/>
          <w:szCs w:val="24"/>
          <w:lang w:val="es-ES_tradnl"/>
        </w:rPr>
        <w:t>Conclusión</w:t>
      </w:r>
      <w:r w:rsidRPr="008D5EC4">
        <w:rPr>
          <w:rFonts w:cs="Arial"/>
          <w:bCs/>
          <w:iCs/>
          <w:sz w:val="24"/>
          <w:szCs w:val="24"/>
          <w:lang w:val="es-ES_tradnl"/>
        </w:rPr>
        <w:t>.</w:t>
      </w:r>
    </w:p>
    <w:p w:rsidR="001D19E5" w:rsidRPr="008D5EC4" w:rsidRDefault="001D19E5" w:rsidP="001D19E5">
      <w:pPr>
        <w:spacing w:before="100" w:beforeAutospacing="1" w:after="100" w:afterAutospacing="1" w:line="360" w:lineRule="auto"/>
        <w:jc w:val="both"/>
        <w:rPr>
          <w:rFonts w:cs="Arial"/>
          <w:b/>
          <w:sz w:val="24"/>
          <w:szCs w:val="24"/>
        </w:rPr>
      </w:pPr>
      <w:r w:rsidRPr="008D5EC4">
        <w:rPr>
          <w:rFonts w:cs="Arial"/>
          <w:b/>
          <w:sz w:val="24"/>
          <w:szCs w:val="24"/>
        </w:rPr>
        <w:t>I. Introducción</w:t>
      </w:r>
    </w:p>
    <w:p w:rsidR="001D19E5" w:rsidRPr="008D5EC4" w:rsidRDefault="001D19E5" w:rsidP="001D19E5">
      <w:pPr>
        <w:spacing w:before="100" w:beforeAutospacing="1" w:after="100" w:afterAutospacing="1" w:line="360" w:lineRule="auto"/>
        <w:jc w:val="both"/>
        <w:rPr>
          <w:rFonts w:cs="Arial"/>
          <w:sz w:val="24"/>
          <w:szCs w:val="24"/>
        </w:rPr>
      </w:pPr>
      <w:r w:rsidRPr="008D5EC4">
        <w:rPr>
          <w:rFonts w:cs="Arial"/>
          <w:sz w:val="24"/>
          <w:szCs w:val="24"/>
        </w:rPr>
        <w:t>Formulamos el presente voto a fin de expresar las razones por las que estamos en contra del criterio sostenido por la mayoría de quienes integramos el Pleno, en el cual se determina que la Sala Superior es la competente para conocer de la controversia planteada por considerar que la omisión atribuida al Tribunal Electoral del Estado de Oaxaca</w:t>
      </w:r>
      <w:r w:rsidRPr="008D5EC4">
        <w:rPr>
          <w:rStyle w:val="Refdenotaalpie"/>
          <w:rFonts w:cs="Arial"/>
          <w:sz w:val="24"/>
          <w:szCs w:val="24"/>
        </w:rPr>
        <w:footnoteReference w:id="32"/>
      </w:r>
      <w:r w:rsidRPr="008D5EC4">
        <w:rPr>
          <w:rFonts w:cs="Arial"/>
          <w:sz w:val="24"/>
          <w:szCs w:val="24"/>
        </w:rPr>
        <w:t xml:space="preserve"> puede implicar la emisión de una norma general.</w:t>
      </w:r>
    </w:p>
    <w:p w:rsidR="001D19E5" w:rsidRPr="008D5EC4" w:rsidRDefault="001D19E5" w:rsidP="001D19E5">
      <w:pPr>
        <w:spacing w:before="100" w:beforeAutospacing="1" w:after="100" w:afterAutospacing="1" w:line="360" w:lineRule="auto"/>
        <w:jc w:val="both"/>
        <w:rPr>
          <w:rFonts w:cs="Arial"/>
          <w:sz w:val="24"/>
          <w:szCs w:val="24"/>
        </w:rPr>
      </w:pPr>
      <w:r w:rsidRPr="008D5EC4">
        <w:rPr>
          <w:rFonts w:cs="Arial"/>
          <w:sz w:val="24"/>
          <w:szCs w:val="24"/>
        </w:rPr>
        <w:t xml:space="preserve">Así como que es fundada dicha omisión y, se vincula al Tribunal local a que emita la regulación respectiva a la implementación de las notificaciones electrónicas y recabe la voluntad de </w:t>
      </w:r>
      <w:r w:rsidRPr="008D5EC4">
        <w:rPr>
          <w:rFonts w:cs="Arial"/>
          <w:bCs/>
          <w:iCs/>
          <w:sz w:val="24"/>
          <w:szCs w:val="24"/>
          <w:lang w:val="es-ES_tradnl"/>
        </w:rPr>
        <w:t>Gisela Lilia Pérez García</w:t>
      </w:r>
      <w:r w:rsidRPr="008D5EC4">
        <w:rPr>
          <w:rStyle w:val="Refdenotaalpie"/>
          <w:rFonts w:cs="Arial"/>
          <w:bCs/>
          <w:iCs/>
          <w:sz w:val="24"/>
          <w:szCs w:val="24"/>
          <w:lang w:val="es-ES_tradnl"/>
        </w:rPr>
        <w:footnoteReference w:id="33"/>
      </w:r>
      <w:r w:rsidRPr="008D5EC4">
        <w:rPr>
          <w:rFonts w:cs="Arial"/>
          <w:bCs/>
          <w:iCs/>
          <w:sz w:val="24"/>
          <w:szCs w:val="24"/>
          <w:lang w:val="es-ES_tradnl"/>
        </w:rPr>
        <w:t xml:space="preserve"> </w:t>
      </w:r>
      <w:r w:rsidRPr="008D5EC4">
        <w:rPr>
          <w:rFonts w:cs="Arial"/>
          <w:sz w:val="24"/>
          <w:szCs w:val="24"/>
        </w:rPr>
        <w:t>sobre si desea recibir todas las notificaciones por esa vía</w:t>
      </w:r>
    </w:p>
    <w:p w:rsidR="001D19E5" w:rsidRPr="008D5EC4" w:rsidRDefault="001D19E5" w:rsidP="001D19E5">
      <w:pPr>
        <w:spacing w:before="100" w:beforeAutospacing="1" w:after="100" w:afterAutospacing="1" w:line="360" w:lineRule="auto"/>
        <w:jc w:val="both"/>
        <w:rPr>
          <w:rFonts w:cs="Arial"/>
          <w:sz w:val="24"/>
          <w:szCs w:val="24"/>
        </w:rPr>
      </w:pPr>
      <w:r w:rsidRPr="008D5EC4">
        <w:rPr>
          <w:rFonts w:cs="Arial"/>
          <w:sz w:val="24"/>
          <w:szCs w:val="24"/>
        </w:rPr>
        <w:t>Desde nuestro punto de vista, si bien la Sala Superior ha sostenido que le corresponde conocer de las impugnaciones de actos en los que se alegue la emisión o aplicación de normas generales</w:t>
      </w:r>
      <w:r w:rsidRPr="008D5EC4">
        <w:rPr>
          <w:rStyle w:val="Refdenotaalpie"/>
          <w:rFonts w:cs="Arial"/>
          <w:sz w:val="24"/>
          <w:szCs w:val="24"/>
        </w:rPr>
        <w:footnoteReference w:id="34"/>
      </w:r>
      <w:r w:rsidRPr="008D5EC4">
        <w:rPr>
          <w:rFonts w:cs="Arial"/>
          <w:sz w:val="24"/>
          <w:szCs w:val="24"/>
        </w:rPr>
        <w:t xml:space="preserve"> y que ello sería aplicable cuando se aleguen omisiones que puedan implicar su emisión, lo cierto es que en el presente caso no se actualiza dicho supuesto.</w:t>
      </w:r>
    </w:p>
    <w:p w:rsidR="001D19E5" w:rsidRPr="008D5EC4" w:rsidRDefault="001D19E5" w:rsidP="001D19E5">
      <w:pPr>
        <w:spacing w:before="100" w:beforeAutospacing="1" w:after="100" w:afterAutospacing="1" w:line="360" w:lineRule="auto"/>
        <w:jc w:val="both"/>
        <w:rPr>
          <w:rFonts w:cs="Arial"/>
          <w:bCs/>
          <w:iCs/>
          <w:sz w:val="24"/>
          <w:szCs w:val="24"/>
          <w:lang w:val="es-ES_tradnl"/>
        </w:rPr>
      </w:pPr>
      <w:r w:rsidRPr="008D5EC4">
        <w:rPr>
          <w:rFonts w:cs="Arial"/>
          <w:sz w:val="24"/>
          <w:szCs w:val="24"/>
        </w:rPr>
        <w:t>A nuestra consideración, en el presente asunto el acto reclamado de manera destacada es el acuerdo de once de marzo de dos mil veinte</w:t>
      </w:r>
      <w:r w:rsidRPr="008D5EC4">
        <w:rPr>
          <w:rStyle w:val="Refdenotaalpie"/>
          <w:rFonts w:cs="Arial"/>
          <w:sz w:val="24"/>
          <w:szCs w:val="24"/>
        </w:rPr>
        <w:footnoteReference w:id="35"/>
      </w:r>
      <w:r w:rsidRPr="008D5EC4">
        <w:rPr>
          <w:rFonts w:cs="Arial"/>
          <w:sz w:val="24"/>
          <w:szCs w:val="24"/>
        </w:rPr>
        <w:t xml:space="preserve"> por el que la magistrada instructora del Tribunal local acordó que no ha lugar a la solicitud de autorizar la cuenta de correo electrónico precisada por la actora ante esa instancia, en su escrito inicial de demanda para recibir notificaciones, y toda vez que la temática de la instancia local se vincula con la obstaculización en el desempeño de su cargo y la omisión de pagarle dietas en su carácter de regidora municipal, la competencia se actualiza a favor de la </w:t>
      </w:r>
      <w:r w:rsidRPr="008D5EC4">
        <w:rPr>
          <w:rFonts w:cs="Arial"/>
          <w:bCs/>
          <w:iCs/>
          <w:sz w:val="24"/>
          <w:szCs w:val="24"/>
          <w:lang w:val="es-ES_tradnl"/>
        </w:rPr>
        <w:t>Sala Regional del Tribunal Electoral del Poder Judicial de la Federación, correspondiente a la Tercera Circunscripción Plurinominal con sede en Xalapa, Veracruz</w:t>
      </w:r>
      <w:r w:rsidRPr="008D5EC4">
        <w:rPr>
          <w:rStyle w:val="Refdenotaalpie"/>
          <w:rFonts w:cs="Arial"/>
          <w:bCs/>
          <w:iCs/>
          <w:sz w:val="24"/>
          <w:szCs w:val="24"/>
          <w:lang w:val="es-ES_tradnl"/>
        </w:rPr>
        <w:footnoteReference w:id="36"/>
      </w:r>
      <w:r w:rsidRPr="008D5EC4">
        <w:rPr>
          <w:rFonts w:cs="Arial"/>
          <w:sz w:val="24"/>
          <w:szCs w:val="24"/>
        </w:rPr>
        <w:t xml:space="preserve"> —quien planteó la consulta competencial—.Por tanto, consideramos que para definir el problema a resolver lo jurídicamente objetivo es atender su única pretensión jurídicamente viable: que a ella se le notifique de manera electrónica, sin que ello tenga como consecuencia considerar la pretensión relativa a que se le otorguen efectos generales a la resolución de su impugnación a través de construir una omisión reglamentaria y ordenar que se emita una norma general.</w:t>
      </w:r>
    </w:p>
    <w:p w:rsidR="001D19E5" w:rsidRPr="008D5EC4" w:rsidRDefault="001D19E5" w:rsidP="001D19E5">
      <w:pPr>
        <w:spacing w:before="100" w:beforeAutospacing="1" w:after="100" w:afterAutospacing="1" w:line="360" w:lineRule="auto"/>
        <w:jc w:val="both"/>
        <w:rPr>
          <w:rFonts w:cs="Arial"/>
          <w:bCs/>
          <w:iCs/>
          <w:sz w:val="24"/>
          <w:szCs w:val="24"/>
          <w:lang w:val="es-ES_tradnl"/>
        </w:rPr>
      </w:pPr>
      <w:r w:rsidRPr="008D5EC4">
        <w:rPr>
          <w:rFonts w:cs="Arial"/>
          <w:bCs/>
          <w:iCs/>
          <w:sz w:val="24"/>
          <w:szCs w:val="24"/>
          <w:lang w:val="es-ES_tradnl"/>
        </w:rPr>
        <w:t>Por ello, a nuestra consideración, se debió determinar que la competencia para conocer del juicio promovido por Pedro Miguel Barrita López, autorizado de Gisela Lilia Pérez García en términos del artículo 26, párrafos 4 y 5 de la Ley del Sistema de Impugnación en Materia Electoral y de Participación Ciudadana para el Estado de Oaxaca</w:t>
      </w:r>
      <w:r w:rsidRPr="008D5EC4">
        <w:rPr>
          <w:rStyle w:val="Refdenotaalpie"/>
          <w:rFonts w:cs="Arial"/>
          <w:bCs/>
          <w:iCs/>
          <w:sz w:val="24"/>
          <w:szCs w:val="24"/>
          <w:lang w:val="es-ES_tradnl"/>
        </w:rPr>
        <w:footnoteReference w:id="37"/>
      </w:r>
      <w:r w:rsidRPr="008D5EC4">
        <w:rPr>
          <w:rFonts w:cs="Arial"/>
          <w:bCs/>
          <w:iCs/>
          <w:sz w:val="24"/>
          <w:szCs w:val="24"/>
          <w:lang w:val="es-ES_tradnl"/>
        </w:rPr>
        <w:t>, correspondía a la citada Sala Regional Xalapa.</w:t>
      </w:r>
    </w:p>
    <w:p w:rsidR="001D19E5" w:rsidRPr="008D5EC4" w:rsidRDefault="001D19E5" w:rsidP="001D19E5">
      <w:pPr>
        <w:spacing w:before="100" w:beforeAutospacing="1" w:after="100" w:afterAutospacing="1" w:line="360" w:lineRule="auto"/>
        <w:jc w:val="both"/>
        <w:rPr>
          <w:rFonts w:cs="Arial"/>
          <w:bCs/>
          <w:iCs/>
          <w:sz w:val="24"/>
          <w:szCs w:val="24"/>
          <w:lang w:val="es-ES_tradnl"/>
        </w:rPr>
      </w:pPr>
      <w:r w:rsidRPr="008D5EC4">
        <w:rPr>
          <w:rFonts w:cs="Arial"/>
          <w:bCs/>
          <w:iCs/>
          <w:sz w:val="24"/>
          <w:szCs w:val="24"/>
          <w:lang w:val="es-ES_tradnl"/>
        </w:rPr>
        <w:t>Tampoco compartimos que se ordene el reencauzamiento del juicio para la ciudadanía a juicio electoral, en tanto que se advierte de manera notoria y manifiesta que el medio de impugnación resultaría improcedente, por lo que a ningún fin práctico conlleva el cambio de la vía, o bien, en su caso, debió declararse improcedente el juicio.</w:t>
      </w:r>
    </w:p>
    <w:p w:rsidR="001D19E5" w:rsidRPr="008D5EC4" w:rsidRDefault="001D19E5" w:rsidP="001D19E5">
      <w:pPr>
        <w:spacing w:before="100" w:beforeAutospacing="1" w:after="100" w:afterAutospacing="1" w:line="360" w:lineRule="auto"/>
        <w:jc w:val="both"/>
        <w:rPr>
          <w:rFonts w:cs="Arial"/>
          <w:sz w:val="24"/>
          <w:szCs w:val="24"/>
        </w:rPr>
      </w:pPr>
      <w:r w:rsidRPr="008D5EC4">
        <w:rPr>
          <w:rFonts w:cs="Arial"/>
          <w:sz w:val="24"/>
          <w:szCs w:val="24"/>
        </w:rPr>
        <w:t xml:space="preserve">A nuestra consideración, </w:t>
      </w:r>
      <w:r w:rsidRPr="008D5EC4">
        <w:rPr>
          <w:rFonts w:cs="Arial"/>
          <w:bCs/>
          <w:iCs/>
          <w:sz w:val="24"/>
          <w:szCs w:val="24"/>
          <w:lang w:val="es-ES_tradnl"/>
        </w:rPr>
        <w:t>Pedro Miguel Barrita López no es el apoderado de la promovente</w:t>
      </w:r>
      <w:r w:rsidRPr="008D5EC4">
        <w:rPr>
          <w:rStyle w:val="Refdenotaalpie"/>
          <w:rFonts w:cs="Arial"/>
          <w:bCs/>
          <w:iCs/>
          <w:sz w:val="24"/>
          <w:szCs w:val="24"/>
          <w:lang w:val="es-ES_tradnl"/>
        </w:rPr>
        <w:footnoteReference w:id="38"/>
      </w:r>
      <w:r w:rsidRPr="008D5EC4">
        <w:rPr>
          <w:rFonts w:cs="Arial"/>
          <w:bCs/>
          <w:iCs/>
          <w:sz w:val="24"/>
          <w:szCs w:val="24"/>
          <w:lang w:val="es-ES_tradnl"/>
        </w:rPr>
        <w:t xml:space="preserve">, </w:t>
      </w:r>
      <w:r w:rsidRPr="008D5EC4">
        <w:rPr>
          <w:rFonts w:cs="Arial"/>
          <w:sz w:val="24"/>
          <w:szCs w:val="24"/>
        </w:rPr>
        <w:t xml:space="preserve">por lo que su acreditación como autorizado en términos amplios no lo faculta para promover el medio de control constitucional a nombre de </w:t>
      </w:r>
      <w:r w:rsidRPr="008D5EC4">
        <w:rPr>
          <w:rFonts w:cs="Arial"/>
          <w:bCs/>
          <w:iCs/>
          <w:sz w:val="24"/>
          <w:szCs w:val="24"/>
          <w:lang w:val="es-ES_tradnl"/>
        </w:rPr>
        <w:t>Gisela Lilia Pérez García</w:t>
      </w:r>
      <w:r w:rsidRPr="008D5EC4">
        <w:rPr>
          <w:rFonts w:cs="Arial"/>
          <w:sz w:val="24"/>
          <w:szCs w:val="24"/>
        </w:rPr>
        <w:t xml:space="preserve"> ante este órgano jurisdiccional, toda vez que en la Ley General del Sistema de Medios de Impugnación en Materia Electoral</w:t>
      </w:r>
      <w:r w:rsidRPr="008D5EC4">
        <w:rPr>
          <w:rStyle w:val="Refdenotaalpie"/>
          <w:rFonts w:cs="Arial"/>
          <w:sz w:val="24"/>
          <w:szCs w:val="24"/>
        </w:rPr>
        <w:footnoteReference w:id="39"/>
      </w:r>
      <w:r w:rsidRPr="008D5EC4">
        <w:rPr>
          <w:rFonts w:cs="Arial"/>
          <w:sz w:val="24"/>
          <w:szCs w:val="24"/>
        </w:rPr>
        <w:t xml:space="preserve"> no está reconocida alguna figura de representación de autorizados como la de “abogado patrono” o “mandatario judicial”, por lo que </w:t>
      </w:r>
      <w:r w:rsidRPr="008D5EC4">
        <w:rPr>
          <w:rFonts w:eastAsia="Arial Unicode MS" w:cs="Arial"/>
          <w:bCs/>
          <w:sz w:val="24"/>
          <w:szCs w:val="24"/>
        </w:rPr>
        <w:t>carece de legitimación en el proceso (</w:t>
      </w:r>
      <w:r w:rsidRPr="008D5EC4">
        <w:rPr>
          <w:rFonts w:eastAsia="Arial Unicode MS" w:cs="Arial"/>
          <w:bCs/>
          <w:i/>
          <w:sz w:val="24"/>
          <w:szCs w:val="24"/>
        </w:rPr>
        <w:t xml:space="preserve">ad </w:t>
      </w:r>
      <w:proofErr w:type="spellStart"/>
      <w:r w:rsidRPr="008D5EC4">
        <w:rPr>
          <w:rFonts w:eastAsia="Arial Unicode MS" w:cs="Arial"/>
          <w:bCs/>
          <w:i/>
          <w:sz w:val="24"/>
          <w:szCs w:val="24"/>
        </w:rPr>
        <w:t>procesum</w:t>
      </w:r>
      <w:proofErr w:type="spellEnd"/>
      <w:r w:rsidRPr="008D5EC4">
        <w:rPr>
          <w:rFonts w:eastAsia="Arial Unicode MS" w:cs="Arial"/>
          <w:bCs/>
          <w:i/>
          <w:sz w:val="24"/>
          <w:szCs w:val="24"/>
        </w:rPr>
        <w:t>).</w:t>
      </w:r>
    </w:p>
    <w:p w:rsidR="001D19E5" w:rsidRPr="008D5EC4" w:rsidRDefault="001D19E5" w:rsidP="001D19E5">
      <w:pPr>
        <w:tabs>
          <w:tab w:val="left" w:pos="1739"/>
        </w:tabs>
        <w:spacing w:before="100" w:beforeAutospacing="1" w:after="100" w:afterAutospacing="1" w:line="360" w:lineRule="auto"/>
        <w:jc w:val="both"/>
        <w:rPr>
          <w:rFonts w:eastAsia="Arial Unicode MS" w:cs="Arial"/>
          <w:bCs/>
          <w:sz w:val="24"/>
          <w:szCs w:val="24"/>
        </w:rPr>
      </w:pPr>
      <w:r w:rsidRPr="008D5EC4">
        <w:rPr>
          <w:rFonts w:eastAsia="Arial Unicode MS" w:cs="Arial"/>
          <w:bCs/>
          <w:sz w:val="24"/>
          <w:szCs w:val="24"/>
        </w:rPr>
        <w:t xml:space="preserve">Finalmente, tampoco se comparte la manera en que se resolvió el fondo del asunto. </w:t>
      </w:r>
    </w:p>
    <w:p w:rsidR="001D19E5" w:rsidRPr="008D5EC4" w:rsidRDefault="001D19E5" w:rsidP="001D19E5">
      <w:pPr>
        <w:spacing w:before="100" w:beforeAutospacing="1" w:after="100" w:afterAutospacing="1" w:line="360" w:lineRule="auto"/>
        <w:jc w:val="both"/>
        <w:rPr>
          <w:rFonts w:cs="Arial"/>
          <w:bCs/>
          <w:iCs/>
          <w:sz w:val="24"/>
          <w:szCs w:val="24"/>
          <w:lang w:val="es-ES_tradnl"/>
        </w:rPr>
      </w:pPr>
      <w:r w:rsidRPr="008D5EC4">
        <w:rPr>
          <w:rFonts w:cs="Arial"/>
          <w:bCs/>
          <w:iCs/>
          <w:sz w:val="24"/>
          <w:szCs w:val="24"/>
          <w:lang w:val="es-ES_tradnl"/>
        </w:rPr>
        <w:t>A fin de dar claridad a nuestra postura, a continuación, se precisa el contexto del caso.</w:t>
      </w:r>
    </w:p>
    <w:p w:rsidR="001D19E5" w:rsidRPr="008D5EC4" w:rsidRDefault="001D19E5" w:rsidP="001D19E5">
      <w:pPr>
        <w:spacing w:before="100" w:beforeAutospacing="1" w:after="100" w:afterAutospacing="1" w:line="360" w:lineRule="auto"/>
        <w:jc w:val="both"/>
        <w:rPr>
          <w:rFonts w:cs="Arial"/>
          <w:bCs/>
          <w:iCs/>
          <w:sz w:val="24"/>
          <w:szCs w:val="24"/>
          <w:lang w:val="es-ES_tradnl"/>
        </w:rPr>
      </w:pPr>
      <w:r w:rsidRPr="008D5EC4">
        <w:rPr>
          <w:rFonts w:cs="Arial"/>
          <w:bCs/>
          <w:iCs/>
          <w:sz w:val="24"/>
          <w:szCs w:val="24"/>
          <w:lang w:val="es-ES_tradnl"/>
        </w:rPr>
        <w:t>El presente asunto surge con motivo de que Gisela Lilia Pérez García, quien se ostenta como regidora de Hacienda del Ayuntamiento Municipal de San Jacinto Amilpas, Oaxaca, promovió juicio para la ciudadanía local contra los integrantes del referido ayuntamiento por la obstaculización en el desempeño de sus funciones, omisión en el pago de dietas y violencia política de género.</w:t>
      </w:r>
    </w:p>
    <w:p w:rsidR="001D19E5" w:rsidRPr="008D5EC4" w:rsidRDefault="001D19E5" w:rsidP="001D19E5">
      <w:pPr>
        <w:spacing w:before="100" w:beforeAutospacing="1" w:after="100" w:afterAutospacing="1" w:line="360" w:lineRule="auto"/>
        <w:jc w:val="both"/>
        <w:rPr>
          <w:rFonts w:cs="Arial"/>
          <w:bCs/>
          <w:iCs/>
          <w:sz w:val="24"/>
          <w:szCs w:val="24"/>
          <w:lang w:val="es-ES_tradnl"/>
        </w:rPr>
      </w:pPr>
      <w:r w:rsidRPr="008D5EC4">
        <w:rPr>
          <w:rFonts w:cs="Arial"/>
          <w:bCs/>
          <w:iCs/>
          <w:sz w:val="24"/>
          <w:szCs w:val="24"/>
          <w:lang w:val="es-ES_tradnl"/>
        </w:rPr>
        <w:t>En su escrito inicial de demanda solicitó que las notificaciones de las actuaciones que se realizaran en la tramitación y sustanciación de su medio de impugnación se hicieran vía electrónica, para lo cual señaló un correo electrónico.</w:t>
      </w:r>
    </w:p>
    <w:p w:rsidR="001D19E5" w:rsidRPr="008D5EC4" w:rsidRDefault="001D19E5" w:rsidP="001D19E5">
      <w:pPr>
        <w:spacing w:before="100" w:beforeAutospacing="1" w:after="100" w:afterAutospacing="1" w:line="360" w:lineRule="auto"/>
        <w:jc w:val="both"/>
        <w:rPr>
          <w:rFonts w:cs="Arial"/>
          <w:bCs/>
          <w:iCs/>
          <w:sz w:val="24"/>
          <w:szCs w:val="24"/>
          <w:lang w:val="es-ES_tradnl"/>
        </w:rPr>
      </w:pPr>
      <w:r w:rsidRPr="008D5EC4">
        <w:rPr>
          <w:rFonts w:cs="Arial"/>
          <w:bCs/>
          <w:iCs/>
          <w:sz w:val="24"/>
          <w:szCs w:val="24"/>
          <w:lang w:val="es-ES_tradnl"/>
        </w:rPr>
        <w:t>El once de marzo, la magistrada instructora a quien le correspondió conocer del asunto por razón de turno, acordó la recepción del expediente y, entre otras cosas, le requirió a la actora que precisara un domicilio para recibir notificaciones porque no había indicado alguno; asimismo, determinó que no ha lugar a tener por señalado el correo electrónico para recibir notificaciones, toda vez que dicho Tribunal no cuenta con un mecanismo de confirmación electrónica avanzada.</w:t>
      </w:r>
    </w:p>
    <w:p w:rsidR="001D19E5" w:rsidRPr="008D5EC4" w:rsidRDefault="001D19E5" w:rsidP="001D19E5">
      <w:pPr>
        <w:spacing w:before="100" w:beforeAutospacing="1" w:after="100" w:afterAutospacing="1" w:line="360" w:lineRule="auto"/>
        <w:jc w:val="both"/>
        <w:rPr>
          <w:rFonts w:cs="Arial"/>
          <w:bCs/>
          <w:iCs/>
          <w:sz w:val="24"/>
          <w:szCs w:val="24"/>
          <w:lang w:val="es-ES_tradnl"/>
        </w:rPr>
      </w:pPr>
      <w:r w:rsidRPr="008D5EC4">
        <w:rPr>
          <w:rFonts w:cs="Arial"/>
          <w:bCs/>
          <w:iCs/>
          <w:sz w:val="24"/>
          <w:szCs w:val="24"/>
          <w:lang w:val="es-ES_tradnl"/>
        </w:rPr>
        <w:t>Pedro Miguel Barrita López, quien fue señalado por Gisela Lilia Pérez García como autorizado en términos del artículo 26, párrafos 4 y 5 de la Ley de Medios local, promovió el presente juicio para la ciudadanía para controvertir dicho proveído por considerar que se encuentra indebidamente fundada y motivada la negativa de acordar favorablemente la cuenta de correo electrónico para recibir notificaciones.</w:t>
      </w:r>
    </w:p>
    <w:p w:rsidR="001D19E5" w:rsidRPr="008D5EC4" w:rsidRDefault="001D19E5" w:rsidP="001D19E5">
      <w:pPr>
        <w:spacing w:before="100" w:beforeAutospacing="1" w:after="100" w:afterAutospacing="1" w:line="360" w:lineRule="auto"/>
        <w:jc w:val="both"/>
        <w:rPr>
          <w:rFonts w:cs="Arial"/>
          <w:bCs/>
          <w:iCs/>
          <w:sz w:val="24"/>
          <w:szCs w:val="24"/>
          <w:lang w:val="es-ES_tradnl"/>
        </w:rPr>
      </w:pPr>
      <w:r w:rsidRPr="008D5EC4">
        <w:rPr>
          <w:rFonts w:cs="Arial"/>
          <w:bCs/>
          <w:iCs/>
          <w:sz w:val="24"/>
          <w:szCs w:val="24"/>
          <w:lang w:val="es-ES_tradnl"/>
        </w:rPr>
        <w:t>También señaló que promovía su demanda en contra de la omisión del Tribunal local de regular e implementar un sistema de notificaciones electrónicas en tanto que el artículo 9, numeral 3, de la Ley de Medios local, establece que proveerá de un certificado de firma electrónica avanzada a quien así lo solicite, lo cual implica una merma en su derecho de acceso a la justicia.</w:t>
      </w:r>
    </w:p>
    <w:p w:rsidR="001D19E5" w:rsidRPr="008D5EC4" w:rsidRDefault="001D19E5" w:rsidP="001D19E5">
      <w:pPr>
        <w:spacing w:before="100" w:beforeAutospacing="1" w:after="100" w:afterAutospacing="1" w:line="360" w:lineRule="auto"/>
        <w:jc w:val="both"/>
        <w:rPr>
          <w:rFonts w:cs="Arial"/>
          <w:sz w:val="24"/>
          <w:szCs w:val="24"/>
        </w:rPr>
      </w:pPr>
      <w:r w:rsidRPr="008D5EC4">
        <w:rPr>
          <w:rFonts w:cs="Arial"/>
          <w:sz w:val="24"/>
          <w:szCs w:val="24"/>
        </w:rPr>
        <w:t>Evidenciadas las circunstancias del caso, primero, señalaremos los argumentos de la mayoría para concluir que: a) le corresponde a la Sala Superior conocer de la presente impugnación, b) es fundada la omisión planteada y, derivado de ello se le vincula al Tribunal local a que emita la regulación respectiva a la implementación de las notificaciones electrónicas y recabe la voluntad de la promovente sobre si desea recibir todas las notificaciones vía electrónica.</w:t>
      </w:r>
    </w:p>
    <w:p w:rsidR="001D19E5" w:rsidRPr="008D5EC4" w:rsidRDefault="001D19E5" w:rsidP="001D19E5">
      <w:pPr>
        <w:spacing w:before="100" w:beforeAutospacing="1" w:after="100" w:afterAutospacing="1" w:line="360" w:lineRule="auto"/>
        <w:jc w:val="both"/>
        <w:rPr>
          <w:rFonts w:cs="Arial"/>
          <w:sz w:val="24"/>
          <w:szCs w:val="24"/>
        </w:rPr>
      </w:pPr>
      <w:r w:rsidRPr="008D5EC4">
        <w:rPr>
          <w:rFonts w:cs="Arial"/>
          <w:sz w:val="24"/>
          <w:szCs w:val="24"/>
        </w:rPr>
        <w:t xml:space="preserve">Posterior a ello, expondremos las </w:t>
      </w:r>
      <w:r w:rsidRPr="008D5EC4">
        <w:rPr>
          <w:rFonts w:cs="Arial"/>
          <w:bCs/>
          <w:sz w:val="24"/>
          <w:szCs w:val="24"/>
          <w:lang w:val="es-ES_tradnl"/>
        </w:rPr>
        <w:t>razones por las que consideramos que contrario a lo señalado por la mayoría, la materia de impugnación es competencia de la Sala Regional Xalapa</w:t>
      </w:r>
      <w:r w:rsidRPr="008D5EC4">
        <w:rPr>
          <w:rFonts w:cs="Arial"/>
          <w:sz w:val="24"/>
          <w:szCs w:val="24"/>
        </w:rPr>
        <w:t xml:space="preserve">. </w:t>
      </w:r>
    </w:p>
    <w:p w:rsidR="001D19E5" w:rsidRPr="008D5EC4" w:rsidRDefault="001D19E5" w:rsidP="001D19E5">
      <w:pPr>
        <w:spacing w:before="100" w:beforeAutospacing="1" w:after="100" w:afterAutospacing="1" w:line="360" w:lineRule="auto"/>
        <w:jc w:val="both"/>
        <w:rPr>
          <w:rFonts w:cs="Arial"/>
          <w:sz w:val="24"/>
          <w:szCs w:val="24"/>
        </w:rPr>
      </w:pPr>
      <w:r w:rsidRPr="008D5EC4">
        <w:rPr>
          <w:rFonts w:cs="Arial"/>
          <w:sz w:val="24"/>
          <w:szCs w:val="24"/>
        </w:rPr>
        <w:t xml:space="preserve">Luego, precisaremos las razones por las que estimamos que el medio de impugnación resulta improcedente, por lo que a ningún fin práctico lleva el reencauzamiento que se ordena por la mayoría, o bien, declararse improcedente, debido a que quien </w:t>
      </w:r>
      <w:r w:rsidRPr="008D5EC4">
        <w:rPr>
          <w:rFonts w:eastAsia="Arial Unicode MS" w:cs="Arial"/>
          <w:bCs/>
          <w:sz w:val="24"/>
          <w:szCs w:val="24"/>
        </w:rPr>
        <w:t>presentó la demanda</w:t>
      </w:r>
      <w:r w:rsidRPr="008D5EC4">
        <w:rPr>
          <w:rFonts w:cs="Arial"/>
          <w:bCs/>
          <w:iCs/>
          <w:sz w:val="24"/>
          <w:szCs w:val="24"/>
          <w:lang w:val="es-ES_tradnl"/>
        </w:rPr>
        <w:t xml:space="preserve"> </w:t>
      </w:r>
      <w:r w:rsidRPr="008D5EC4">
        <w:rPr>
          <w:rFonts w:eastAsia="Arial Unicode MS" w:cs="Arial"/>
          <w:bCs/>
          <w:sz w:val="24"/>
          <w:szCs w:val="24"/>
        </w:rPr>
        <w:t>carece de legitimación procesal activa</w:t>
      </w:r>
      <w:r w:rsidRPr="008D5EC4">
        <w:rPr>
          <w:rFonts w:cs="Arial"/>
          <w:sz w:val="24"/>
          <w:szCs w:val="24"/>
        </w:rPr>
        <w:t>.</w:t>
      </w:r>
    </w:p>
    <w:p w:rsidR="001D19E5" w:rsidRPr="008D5EC4" w:rsidRDefault="001D19E5" w:rsidP="001D19E5">
      <w:pPr>
        <w:spacing w:before="100" w:beforeAutospacing="1" w:after="100" w:afterAutospacing="1" w:line="360" w:lineRule="auto"/>
        <w:jc w:val="both"/>
        <w:rPr>
          <w:rFonts w:cs="Arial"/>
          <w:sz w:val="24"/>
          <w:szCs w:val="24"/>
        </w:rPr>
      </w:pPr>
      <w:r w:rsidRPr="008D5EC4">
        <w:rPr>
          <w:rFonts w:cs="Arial"/>
          <w:bCs/>
          <w:sz w:val="24"/>
          <w:szCs w:val="24"/>
          <w:lang w:val="es-ES_tradnl"/>
        </w:rPr>
        <w:t>Finalmente, las razones por las que no compartimos la manera en cómo se resolvió el fondo del asunto</w:t>
      </w:r>
      <w:r w:rsidRPr="008D5EC4">
        <w:rPr>
          <w:rFonts w:cs="Arial"/>
          <w:sz w:val="24"/>
          <w:szCs w:val="24"/>
        </w:rPr>
        <w:t xml:space="preserve">. </w:t>
      </w:r>
    </w:p>
    <w:p w:rsidR="001D19E5" w:rsidRPr="008D5EC4" w:rsidRDefault="001D19E5" w:rsidP="001D19E5">
      <w:pPr>
        <w:spacing w:before="100" w:beforeAutospacing="1" w:after="100" w:afterAutospacing="1" w:line="360" w:lineRule="auto"/>
        <w:jc w:val="both"/>
        <w:rPr>
          <w:rFonts w:cs="Arial"/>
          <w:b/>
          <w:sz w:val="24"/>
          <w:szCs w:val="24"/>
        </w:rPr>
      </w:pPr>
      <w:r w:rsidRPr="008D5EC4">
        <w:rPr>
          <w:rFonts w:cs="Arial"/>
          <w:b/>
          <w:sz w:val="24"/>
          <w:szCs w:val="24"/>
        </w:rPr>
        <w:t xml:space="preserve">II. Criterio mayoritario </w:t>
      </w:r>
    </w:p>
    <w:p w:rsidR="001D19E5" w:rsidRPr="008D5EC4" w:rsidRDefault="001D19E5" w:rsidP="001D19E5">
      <w:pPr>
        <w:spacing w:before="100" w:beforeAutospacing="1" w:after="100" w:afterAutospacing="1" w:line="360" w:lineRule="auto"/>
        <w:jc w:val="both"/>
        <w:rPr>
          <w:rFonts w:cs="Arial"/>
          <w:bCs/>
          <w:sz w:val="24"/>
          <w:szCs w:val="24"/>
        </w:rPr>
      </w:pPr>
      <w:r w:rsidRPr="008D5EC4">
        <w:rPr>
          <w:rFonts w:cs="Arial"/>
          <w:bCs/>
          <w:sz w:val="24"/>
          <w:szCs w:val="24"/>
        </w:rPr>
        <w:t>La mayoría de quienes integran el Pleno consideraron, en el acuerdo de sala,  que la Sala Superior es la competente para conocer y resolver el asunto, porque la controversia se relaciona con un juicio en el que se plantea la omisión del Tribunal local de implementar un sistema de notificaciones electrónicas, por lo que en el fondo, pudiera dar lugar a la emisión de una norma general sobre la utilización de medios electrónicos para comunicar a las partes de las actuaciones y resoluciones que recaigan a los medios de impugnación que se encuentran en sustanciación.</w:t>
      </w:r>
    </w:p>
    <w:p w:rsidR="001D19E5" w:rsidRPr="008D5EC4" w:rsidRDefault="001D19E5" w:rsidP="001D19E5">
      <w:pPr>
        <w:spacing w:before="100" w:beforeAutospacing="1" w:after="100" w:afterAutospacing="1" w:line="360" w:lineRule="auto"/>
        <w:jc w:val="both"/>
        <w:rPr>
          <w:rFonts w:cs="Arial"/>
          <w:bCs/>
          <w:sz w:val="24"/>
          <w:szCs w:val="24"/>
        </w:rPr>
      </w:pPr>
      <w:r w:rsidRPr="008D5EC4">
        <w:rPr>
          <w:rFonts w:cs="Arial"/>
          <w:bCs/>
          <w:sz w:val="24"/>
          <w:szCs w:val="24"/>
        </w:rPr>
        <w:t>Lo anterior en el contexto de la contingencia sanitaria que aqueja al país por la pandemia del virus denominado COVID-19 (CORONAVIRUS).</w:t>
      </w:r>
    </w:p>
    <w:p w:rsidR="001D19E5" w:rsidRPr="008D5EC4" w:rsidRDefault="001D19E5" w:rsidP="001D19E5">
      <w:pPr>
        <w:spacing w:before="100" w:beforeAutospacing="1" w:after="100" w:afterAutospacing="1" w:line="360" w:lineRule="auto"/>
        <w:jc w:val="both"/>
        <w:rPr>
          <w:rFonts w:cs="Arial"/>
          <w:bCs/>
          <w:sz w:val="24"/>
          <w:szCs w:val="24"/>
        </w:rPr>
      </w:pPr>
      <w:r w:rsidRPr="008D5EC4">
        <w:rPr>
          <w:rFonts w:cs="Arial"/>
          <w:bCs/>
          <w:sz w:val="24"/>
          <w:szCs w:val="24"/>
        </w:rPr>
        <w:t>En esencia se señaló que la pretensión es que se emita una norma general, que no está vinculada en forma directa y específica con una determinada elección, por lo que resultaba aplicable la jurisprudencia 9/2010, referente a la competencia para conocer de asuntos que se relacionen con normas generales, ya que, aunque el caso se relaciona con una omisión, de resultar fundada implicaría la emisión de una disposición con efectos generales.</w:t>
      </w:r>
    </w:p>
    <w:p w:rsidR="001D19E5" w:rsidRPr="008D5EC4" w:rsidRDefault="001D19E5" w:rsidP="001D19E5">
      <w:pPr>
        <w:spacing w:before="100" w:beforeAutospacing="1" w:after="100" w:afterAutospacing="1" w:line="360" w:lineRule="auto"/>
        <w:jc w:val="both"/>
        <w:rPr>
          <w:rFonts w:cs="Arial"/>
          <w:bCs/>
          <w:sz w:val="24"/>
          <w:szCs w:val="24"/>
        </w:rPr>
      </w:pPr>
      <w:r w:rsidRPr="008D5EC4">
        <w:rPr>
          <w:rFonts w:cs="Arial"/>
          <w:bCs/>
          <w:sz w:val="24"/>
          <w:szCs w:val="24"/>
        </w:rPr>
        <w:t>Finalmente, señalaron que el juicio para la ciudadanía no era el medio idóneo para conocer de la impugnación ya que no se hacía valer la vulneración a alguno de sus derechos políticos electorales por lo que lo procedente era reencauzar la demanda a juicio electoral.</w:t>
      </w:r>
    </w:p>
    <w:p w:rsidR="001D19E5" w:rsidRPr="008D5EC4" w:rsidRDefault="001D19E5" w:rsidP="001D19E5">
      <w:pPr>
        <w:spacing w:before="100" w:beforeAutospacing="1" w:after="100" w:afterAutospacing="1" w:line="360" w:lineRule="auto"/>
        <w:jc w:val="both"/>
        <w:rPr>
          <w:rFonts w:cs="Arial"/>
          <w:bCs/>
          <w:sz w:val="24"/>
          <w:szCs w:val="24"/>
        </w:rPr>
      </w:pPr>
      <w:r w:rsidRPr="008D5EC4">
        <w:rPr>
          <w:rFonts w:cs="Arial"/>
          <w:bCs/>
          <w:sz w:val="24"/>
          <w:szCs w:val="24"/>
        </w:rPr>
        <w:t>Por otra parte, en la sentencia del juicio electoral consideraron, en primer término, que es urgente resolver el asunto porque se le puede generar un daño irreparable a la promovente, ya que, en atención a la contingencia sanitaria, el Tribunal local debe emitir la regulación que le permita recibir de manera electrónica las notificaciones.</w:t>
      </w:r>
    </w:p>
    <w:p w:rsidR="001D19E5" w:rsidRPr="008D5EC4" w:rsidRDefault="001D19E5" w:rsidP="001D19E5">
      <w:pPr>
        <w:spacing w:before="100" w:beforeAutospacing="1" w:after="100" w:afterAutospacing="1" w:line="360" w:lineRule="auto"/>
        <w:jc w:val="both"/>
        <w:rPr>
          <w:rFonts w:cs="Arial"/>
          <w:bCs/>
          <w:sz w:val="24"/>
          <w:szCs w:val="24"/>
        </w:rPr>
      </w:pPr>
      <w:r w:rsidRPr="008D5EC4">
        <w:rPr>
          <w:rFonts w:cs="Arial"/>
          <w:bCs/>
          <w:sz w:val="24"/>
          <w:szCs w:val="24"/>
        </w:rPr>
        <w:t>Luego, sostienen que Pedro Miguel Barrita López tiene legitimación y personería para promover el presente juicio, en nombre de la promovente, al ser su autorizado en términos del artículo 26, párrafo 4, de la Ley de Medios local</w:t>
      </w:r>
      <w:r w:rsidRPr="008D5EC4">
        <w:rPr>
          <w:rStyle w:val="Refdenotaalpie"/>
          <w:rFonts w:cs="Arial"/>
          <w:bCs/>
          <w:sz w:val="24"/>
          <w:szCs w:val="24"/>
        </w:rPr>
        <w:footnoteReference w:id="40"/>
      </w:r>
      <w:r w:rsidRPr="008D5EC4">
        <w:rPr>
          <w:rFonts w:cs="Arial"/>
          <w:bCs/>
          <w:sz w:val="24"/>
          <w:szCs w:val="24"/>
        </w:rPr>
        <w:t xml:space="preserve"> que lo faculta para interponer los recursos que procedan y realizar cualquier acto que resulte necesario para la defensa de los derechos del autorizante.</w:t>
      </w:r>
    </w:p>
    <w:p w:rsidR="001D19E5" w:rsidRPr="008D5EC4" w:rsidRDefault="001D19E5" w:rsidP="001D19E5">
      <w:pPr>
        <w:spacing w:before="100" w:beforeAutospacing="1" w:after="100" w:afterAutospacing="1" w:line="360" w:lineRule="auto"/>
        <w:jc w:val="both"/>
        <w:rPr>
          <w:rFonts w:cs="Arial"/>
          <w:bCs/>
          <w:sz w:val="24"/>
          <w:szCs w:val="24"/>
        </w:rPr>
      </w:pPr>
      <w:r w:rsidRPr="008D5EC4">
        <w:rPr>
          <w:rFonts w:cs="Arial"/>
          <w:bCs/>
          <w:sz w:val="24"/>
          <w:szCs w:val="24"/>
        </w:rPr>
        <w:t xml:space="preserve">En el fondo, en esencia, la mayoría de los que integran este órgano jurisdiccional, sostienen que es fundado el agravio relativo a la omisión de regular las notificaciones electrónicas de las actuaciones judiciales que realiza el Tribunal local, aunado a que ha sido omiso en emitir las normas que le den operatividad a ello, no obstante estar previsto en la Ley de Medios local, lo que coloca en una situación de riesgo a la salud tanto de la promovente como del personal jurisdiccional y los justiciables en general. </w:t>
      </w:r>
    </w:p>
    <w:p w:rsidR="001D19E5" w:rsidRPr="008D5EC4" w:rsidRDefault="001D19E5" w:rsidP="001D19E5">
      <w:pPr>
        <w:spacing w:before="100" w:beforeAutospacing="1" w:after="100" w:afterAutospacing="1" w:line="360" w:lineRule="auto"/>
        <w:jc w:val="both"/>
        <w:rPr>
          <w:rFonts w:cs="Arial"/>
          <w:bCs/>
          <w:sz w:val="24"/>
          <w:szCs w:val="24"/>
        </w:rPr>
      </w:pPr>
      <w:r w:rsidRPr="008D5EC4">
        <w:rPr>
          <w:rFonts w:cs="Arial"/>
          <w:bCs/>
          <w:sz w:val="24"/>
          <w:szCs w:val="24"/>
        </w:rPr>
        <w:t>Por lo cual, la omisión alegada resulta violatoria del derecho humano a la salud y por eso se considera prioritario que el Tribunal local emita la regulación correspondiente.</w:t>
      </w:r>
    </w:p>
    <w:p w:rsidR="001D19E5" w:rsidRPr="008D5EC4" w:rsidRDefault="001D19E5" w:rsidP="001D19E5">
      <w:pPr>
        <w:shd w:val="clear" w:color="auto" w:fill="FFFFFF"/>
        <w:spacing w:before="100" w:beforeAutospacing="1" w:after="100" w:afterAutospacing="1" w:line="360" w:lineRule="auto"/>
        <w:jc w:val="both"/>
        <w:rPr>
          <w:rFonts w:cs="Arial"/>
          <w:bCs/>
          <w:sz w:val="24"/>
          <w:szCs w:val="24"/>
        </w:rPr>
      </w:pPr>
      <w:r w:rsidRPr="008D5EC4">
        <w:rPr>
          <w:rFonts w:cs="Arial"/>
          <w:bCs/>
          <w:sz w:val="24"/>
          <w:szCs w:val="24"/>
        </w:rPr>
        <w:t xml:space="preserve">Asimismo, lo vinculan para que </w:t>
      </w:r>
      <w:r w:rsidRPr="008D5EC4">
        <w:rPr>
          <w:rFonts w:eastAsia="Times New Roman" w:cs="Arial"/>
          <w:sz w:val="24"/>
          <w:szCs w:val="24"/>
          <w:lang w:eastAsia="es-MX"/>
        </w:rPr>
        <w:t>recabe la voluntad de la promovente sobre si desea recibir todas las notificaciones de los acuerdos o resoluciones que a la fecha ya se hayan dictado en el juicio local, para que las realice vía electrónica.</w:t>
      </w:r>
    </w:p>
    <w:p w:rsidR="001D19E5" w:rsidRPr="008D5EC4" w:rsidRDefault="001D19E5" w:rsidP="001D19E5">
      <w:pPr>
        <w:spacing w:before="100" w:beforeAutospacing="1" w:after="100" w:afterAutospacing="1" w:line="360" w:lineRule="auto"/>
        <w:jc w:val="both"/>
        <w:rPr>
          <w:rFonts w:cs="Arial"/>
          <w:b/>
          <w:bCs/>
          <w:sz w:val="24"/>
          <w:szCs w:val="24"/>
          <w:lang w:val="es-ES_tradnl"/>
        </w:rPr>
      </w:pPr>
      <w:r w:rsidRPr="008D5EC4">
        <w:rPr>
          <w:rFonts w:cs="Arial"/>
          <w:b/>
          <w:bCs/>
          <w:sz w:val="24"/>
          <w:szCs w:val="24"/>
          <w:lang w:val="es-ES_tradnl"/>
        </w:rPr>
        <w:t>III. Razones por las que discrepamos del criterio mayoritario</w:t>
      </w:r>
    </w:p>
    <w:p w:rsidR="001D19E5" w:rsidRPr="008D5EC4" w:rsidRDefault="001D19E5" w:rsidP="001D19E5">
      <w:pPr>
        <w:spacing w:before="100" w:beforeAutospacing="1" w:after="100" w:afterAutospacing="1" w:line="360" w:lineRule="auto"/>
        <w:jc w:val="both"/>
        <w:rPr>
          <w:rFonts w:cs="Arial"/>
          <w:sz w:val="24"/>
          <w:szCs w:val="24"/>
        </w:rPr>
      </w:pPr>
      <w:bookmarkStart w:id="26" w:name="_Hlk37929917"/>
      <w:r w:rsidRPr="008D5EC4">
        <w:rPr>
          <w:rFonts w:cs="Arial"/>
          <w:sz w:val="24"/>
          <w:szCs w:val="24"/>
        </w:rPr>
        <w:t>Diferimos del acuerdo de sala y de la sentencia aprobados por la mayoría conforme a las siguientes razones:</w:t>
      </w:r>
    </w:p>
    <w:bookmarkEnd w:id="26"/>
    <w:p w:rsidR="001D19E5" w:rsidRPr="008D5EC4" w:rsidRDefault="001D19E5" w:rsidP="001D19E5">
      <w:pPr>
        <w:spacing w:before="100" w:beforeAutospacing="1" w:after="100" w:afterAutospacing="1" w:line="360" w:lineRule="auto"/>
        <w:jc w:val="both"/>
        <w:rPr>
          <w:rFonts w:cs="Arial"/>
          <w:b/>
          <w:sz w:val="24"/>
          <w:szCs w:val="24"/>
        </w:rPr>
      </w:pPr>
      <w:r w:rsidRPr="008D5EC4">
        <w:rPr>
          <w:rFonts w:cs="Arial"/>
          <w:b/>
          <w:sz w:val="24"/>
          <w:szCs w:val="24"/>
        </w:rPr>
        <w:t>a. La competencia le corresponde a la Sala Regional Xalapa</w:t>
      </w:r>
    </w:p>
    <w:p w:rsidR="001D19E5" w:rsidRPr="008D5EC4" w:rsidRDefault="001D19E5" w:rsidP="001D19E5">
      <w:pPr>
        <w:spacing w:before="100" w:beforeAutospacing="1" w:after="100" w:afterAutospacing="1" w:line="360" w:lineRule="auto"/>
        <w:jc w:val="both"/>
        <w:rPr>
          <w:rFonts w:cs="Arial"/>
          <w:sz w:val="24"/>
          <w:szCs w:val="24"/>
        </w:rPr>
      </w:pPr>
      <w:r w:rsidRPr="008D5EC4">
        <w:rPr>
          <w:rFonts w:cs="Arial"/>
          <w:sz w:val="24"/>
          <w:szCs w:val="24"/>
        </w:rPr>
        <w:t xml:space="preserve">Del escrito inicial de la demanda advertimos que el acto reclamado destacado es el acuerdo de once de marzo por el que se negó autorizar un correo electrónico para realizar notificaciones por esta vía. </w:t>
      </w:r>
    </w:p>
    <w:p w:rsidR="001D19E5" w:rsidRPr="008D5EC4" w:rsidRDefault="001D19E5" w:rsidP="001D19E5">
      <w:pPr>
        <w:spacing w:before="100" w:beforeAutospacing="1" w:after="100" w:afterAutospacing="1" w:line="360" w:lineRule="auto"/>
        <w:jc w:val="both"/>
        <w:rPr>
          <w:rFonts w:cs="Arial"/>
          <w:sz w:val="24"/>
          <w:szCs w:val="24"/>
        </w:rPr>
      </w:pPr>
      <w:bookmarkStart w:id="27" w:name="_Hlk37929588"/>
      <w:r w:rsidRPr="008D5EC4">
        <w:rPr>
          <w:rFonts w:cs="Arial"/>
          <w:sz w:val="24"/>
          <w:szCs w:val="24"/>
        </w:rPr>
        <w:t>Si bien se duele de la omisión del Tribunal local de regular e implementar un sistema de notificaciones electrónicas de conformidad con lo establecido en el artículo 9, párrafo 3, de la Ley de Medios local, lo cierto es que lo hace valer como motivo de agravio y no como acto reclamado destacado.</w:t>
      </w:r>
    </w:p>
    <w:p w:rsidR="001D19E5" w:rsidRPr="008D5EC4" w:rsidRDefault="001D19E5" w:rsidP="001D19E5">
      <w:pPr>
        <w:spacing w:before="100" w:beforeAutospacing="1" w:after="100" w:afterAutospacing="1" w:line="360" w:lineRule="auto"/>
        <w:jc w:val="both"/>
        <w:rPr>
          <w:rFonts w:cs="Arial"/>
          <w:sz w:val="24"/>
          <w:szCs w:val="24"/>
        </w:rPr>
      </w:pPr>
      <w:r w:rsidRPr="008D5EC4">
        <w:rPr>
          <w:rFonts w:cs="Arial"/>
          <w:sz w:val="24"/>
          <w:szCs w:val="24"/>
        </w:rPr>
        <w:t>Se afirma lo anterior, en tanto que en ninguna parte de la demanda señala que su pretensión sea que se implemente dicho sistema ni solicita que se le provea de un certificado de firma electrónica avanzada por parte del Tribunal, sino su pretensión es que se revoque la negativa del acuerdo reclamado y se autorice que las notificaciones de las actuaciones que se realicen en la tramitación y sustanciación de su medio de impugnación se hagan vía correo electrónico y se autorice el que proporcionó.</w:t>
      </w:r>
    </w:p>
    <w:bookmarkEnd w:id="27"/>
    <w:p w:rsidR="001D19E5" w:rsidRPr="008D5EC4" w:rsidRDefault="001D19E5" w:rsidP="001D19E5">
      <w:pPr>
        <w:spacing w:before="100" w:beforeAutospacing="1" w:after="100" w:afterAutospacing="1" w:line="360" w:lineRule="auto"/>
        <w:jc w:val="both"/>
        <w:rPr>
          <w:rFonts w:cs="Arial"/>
          <w:bCs/>
          <w:iCs/>
          <w:sz w:val="24"/>
          <w:szCs w:val="24"/>
          <w:lang w:val="es-ES_tradnl"/>
        </w:rPr>
      </w:pPr>
      <w:r w:rsidRPr="008D5EC4">
        <w:rPr>
          <w:rFonts w:cs="Arial"/>
          <w:bCs/>
          <w:iCs/>
          <w:sz w:val="24"/>
          <w:szCs w:val="24"/>
          <w:lang w:val="es-ES_tradnl"/>
        </w:rPr>
        <w:t>No pasa inadvertido que en un párrafo de la demanda solicita que la resolución tenga efectos “</w:t>
      </w:r>
      <w:r w:rsidRPr="008D5EC4">
        <w:rPr>
          <w:rFonts w:cs="Arial"/>
          <w:bCs/>
          <w:i/>
          <w:sz w:val="24"/>
          <w:szCs w:val="24"/>
          <w:lang w:val="es-ES_tradnl"/>
        </w:rPr>
        <w:t>erga omnes</w:t>
      </w:r>
      <w:r w:rsidRPr="008D5EC4">
        <w:rPr>
          <w:rFonts w:cs="Arial"/>
          <w:bCs/>
          <w:iCs/>
          <w:sz w:val="24"/>
          <w:szCs w:val="24"/>
          <w:lang w:val="es-ES_tradnl"/>
        </w:rPr>
        <w:t>”, lo cual podría interpretarse “respecto de todos”; sin embargo, de la lectura integral del párrafo se advierte que su solicitud es que se supere la omisión del Tribunal local de implementar un sistema de notificaciones electrónicas, tomando en consideración el contexto geográfico, social, político y económico del Estado de Oaxaca y la contingencia sanitaria actual del país.</w:t>
      </w:r>
    </w:p>
    <w:p w:rsidR="001D19E5" w:rsidRPr="008D5EC4" w:rsidRDefault="001D19E5" w:rsidP="001D19E5">
      <w:pPr>
        <w:spacing w:before="100" w:beforeAutospacing="1" w:after="100" w:afterAutospacing="1" w:line="360" w:lineRule="auto"/>
        <w:jc w:val="both"/>
        <w:rPr>
          <w:rFonts w:cs="Arial"/>
          <w:bCs/>
          <w:iCs/>
          <w:sz w:val="24"/>
          <w:szCs w:val="24"/>
          <w:lang w:val="es-ES_tradnl"/>
        </w:rPr>
      </w:pPr>
      <w:r w:rsidRPr="008D5EC4">
        <w:rPr>
          <w:rFonts w:cs="Arial"/>
          <w:bCs/>
          <w:iCs/>
          <w:sz w:val="24"/>
          <w:szCs w:val="24"/>
          <w:lang w:val="es-ES_tradnl"/>
        </w:rPr>
        <w:t>Incluso, más adelante señala que lo fundamental es que se emita una resolución tomando en cuenta el beneficio que aportan las nuevas tecnologías, tanto para facilitar, agilizar y hacer más eficiente la labor jurisdiccional, también, que se considere lo fundamental que resulta el empleo de las nuevas tecnologías ante situaciones como las que se enfrenta la sociedad a causa de la referida pandemia. De todo ello es posible advertir que su pretensión es que se le autorice que se le hagan las notificaciones en la cuenta de correo electrónico que proporcionó.</w:t>
      </w:r>
    </w:p>
    <w:p w:rsidR="001D19E5" w:rsidRPr="008D5EC4" w:rsidRDefault="001D19E5" w:rsidP="001D19E5">
      <w:pPr>
        <w:spacing w:before="100" w:beforeAutospacing="1" w:after="100" w:afterAutospacing="1" w:line="360" w:lineRule="auto"/>
        <w:jc w:val="both"/>
        <w:rPr>
          <w:rFonts w:cs="Arial"/>
          <w:sz w:val="24"/>
          <w:szCs w:val="24"/>
        </w:rPr>
      </w:pPr>
      <w:bookmarkStart w:id="28" w:name="_Hlk37929759"/>
      <w:r w:rsidRPr="008D5EC4">
        <w:rPr>
          <w:rFonts w:cs="Arial"/>
          <w:sz w:val="24"/>
          <w:szCs w:val="24"/>
        </w:rPr>
        <w:t xml:space="preserve">En ese orden de ideas, </w:t>
      </w:r>
      <w:r w:rsidRPr="008D5EC4">
        <w:rPr>
          <w:rFonts w:cs="Arial"/>
          <w:b/>
          <w:sz w:val="24"/>
          <w:szCs w:val="24"/>
        </w:rPr>
        <w:t xml:space="preserve">el acto </w:t>
      </w:r>
      <w:r w:rsidRPr="008D5EC4">
        <w:rPr>
          <w:rFonts w:cs="Arial"/>
          <w:b/>
          <w:bCs/>
          <w:sz w:val="24"/>
          <w:szCs w:val="24"/>
        </w:rPr>
        <w:t>directo y destacadamente</w:t>
      </w:r>
      <w:r w:rsidRPr="008D5EC4">
        <w:rPr>
          <w:rFonts w:cs="Arial"/>
          <w:b/>
          <w:sz w:val="24"/>
          <w:szCs w:val="24"/>
        </w:rPr>
        <w:t xml:space="preserve"> impugnado no es una omisión</w:t>
      </w:r>
      <w:r w:rsidRPr="008D5EC4">
        <w:rPr>
          <w:rFonts w:cs="Arial"/>
          <w:sz w:val="24"/>
          <w:szCs w:val="24"/>
        </w:rPr>
        <w:t xml:space="preserve">, sino el acuerdo de once de marzo por el que la magistrada instructora del Tribunal local acordó desfavorablemente la solicitud de autorizar la cuenta de correo electrónico precisada en su escrito inicial de demanda para recibir notificaciones, por lo que conforme a dicho acto y los agravios que hace valer para controvertirlo, así como la pretensión de la parte promovente, </w:t>
      </w:r>
      <w:r w:rsidRPr="008D5EC4">
        <w:rPr>
          <w:rFonts w:cs="Arial"/>
          <w:b/>
          <w:sz w:val="24"/>
          <w:szCs w:val="24"/>
        </w:rPr>
        <w:t>no conllevan a resolver sobre alguna omisión, ni como lo sostiene la mayoría, a la posibilidad de vincular para que se emita una norma general.</w:t>
      </w:r>
    </w:p>
    <w:p w:rsidR="001D19E5" w:rsidRPr="008D5EC4" w:rsidRDefault="001D19E5" w:rsidP="001D19E5">
      <w:pPr>
        <w:spacing w:before="100" w:beforeAutospacing="1" w:after="100" w:afterAutospacing="1" w:line="360" w:lineRule="auto"/>
        <w:jc w:val="both"/>
        <w:rPr>
          <w:rFonts w:cs="Arial"/>
          <w:sz w:val="24"/>
          <w:szCs w:val="24"/>
        </w:rPr>
      </w:pPr>
      <w:bookmarkStart w:id="29" w:name="_Hlk37929770"/>
      <w:bookmarkEnd w:id="28"/>
      <w:r w:rsidRPr="008D5EC4">
        <w:rPr>
          <w:rFonts w:cs="Arial"/>
          <w:sz w:val="24"/>
          <w:szCs w:val="24"/>
        </w:rPr>
        <w:t xml:space="preserve">Ahora bien, toda vez que la temática de la instancia local se vincula con la obstaculización en el desempeño del cargo y la omisión de pagarle dietas a </w:t>
      </w:r>
      <w:r w:rsidRPr="008D5EC4">
        <w:rPr>
          <w:rFonts w:cs="Arial"/>
          <w:bCs/>
          <w:iCs/>
          <w:sz w:val="24"/>
          <w:szCs w:val="24"/>
          <w:lang w:val="es-ES_tradnl"/>
        </w:rPr>
        <w:t>Gisela Lilia Pérez García,</w:t>
      </w:r>
      <w:r w:rsidRPr="008D5EC4">
        <w:rPr>
          <w:rFonts w:cs="Arial"/>
          <w:sz w:val="24"/>
          <w:szCs w:val="24"/>
        </w:rPr>
        <w:t xml:space="preserve"> en su carácter de </w:t>
      </w:r>
      <w:r w:rsidRPr="008D5EC4">
        <w:rPr>
          <w:rFonts w:cs="Arial"/>
          <w:bCs/>
          <w:iCs/>
          <w:sz w:val="24"/>
          <w:szCs w:val="24"/>
          <w:lang w:val="es-ES_tradnl"/>
        </w:rPr>
        <w:t>regidora de Hacienda del Ayuntamiento Municipal de San Jacinto Amilpas, Oaxaca</w:t>
      </w:r>
      <w:r w:rsidRPr="008D5EC4">
        <w:rPr>
          <w:rFonts w:cs="Arial"/>
          <w:sz w:val="24"/>
          <w:szCs w:val="24"/>
        </w:rPr>
        <w:t>, la competencia para conocer y resolver el asunto le corresponde a la Sala Regional Xalapa.</w:t>
      </w:r>
    </w:p>
    <w:bookmarkEnd w:id="29"/>
    <w:p w:rsidR="001D19E5" w:rsidRPr="008D5EC4" w:rsidRDefault="001D19E5" w:rsidP="001D19E5">
      <w:pPr>
        <w:spacing w:before="100" w:beforeAutospacing="1" w:after="100" w:afterAutospacing="1" w:line="360" w:lineRule="auto"/>
        <w:jc w:val="both"/>
        <w:rPr>
          <w:rFonts w:cs="Arial"/>
          <w:sz w:val="24"/>
          <w:szCs w:val="24"/>
        </w:rPr>
      </w:pPr>
      <w:r w:rsidRPr="008D5EC4">
        <w:rPr>
          <w:rFonts w:cs="Arial"/>
          <w:sz w:val="24"/>
          <w:szCs w:val="24"/>
        </w:rPr>
        <w:t>Si bien la Sala Regional Xalapa sustentó la consulta competencial a la Sala Superior con base en la jurisprudencia 9/201</w:t>
      </w:r>
      <w:bookmarkStart w:id="30" w:name="_ftnref2"/>
      <w:bookmarkEnd w:id="30"/>
      <w:r w:rsidRPr="008D5EC4">
        <w:rPr>
          <w:rFonts w:cs="Arial"/>
          <w:sz w:val="24"/>
          <w:szCs w:val="24"/>
        </w:rPr>
        <w:t xml:space="preserve">0, ésta no resulta aplicable al caso, ya que, como se precisó, aun cuando en su demanda la parte promovente refiera como acto controvertido </w:t>
      </w:r>
      <w:r w:rsidRPr="008D5EC4">
        <w:rPr>
          <w:rFonts w:cs="Arial"/>
          <w:bCs/>
          <w:iCs/>
          <w:sz w:val="24"/>
          <w:szCs w:val="24"/>
          <w:lang w:val="es-ES_tradnl"/>
        </w:rPr>
        <w:t xml:space="preserve">la omisión del Tribunal local de regular e implementar un sistema de notificaciones electrónicas en términos del artículo 9, numeral 3, de la Ley de Medios local, </w:t>
      </w:r>
      <w:r w:rsidRPr="008D5EC4">
        <w:rPr>
          <w:rFonts w:cs="Arial"/>
          <w:sz w:val="24"/>
          <w:szCs w:val="24"/>
        </w:rPr>
        <w:t>se trata de un planteamiento que tendría que analizarse como parte del estudio que se realice de los agravios en función de la pretensión principal, esto es, la autorización de la notificación de los acuerdos y resoluciones a través del correo electrónico que proporcionó.</w:t>
      </w:r>
    </w:p>
    <w:p w:rsidR="001D19E5" w:rsidRPr="008D5EC4" w:rsidRDefault="001D19E5" w:rsidP="001D19E5">
      <w:pPr>
        <w:spacing w:before="100" w:beforeAutospacing="1" w:after="100" w:afterAutospacing="1" w:line="360" w:lineRule="auto"/>
        <w:jc w:val="both"/>
        <w:rPr>
          <w:rFonts w:cs="Arial"/>
          <w:sz w:val="24"/>
          <w:szCs w:val="24"/>
        </w:rPr>
      </w:pPr>
      <w:r w:rsidRPr="008D5EC4">
        <w:rPr>
          <w:rFonts w:cs="Arial"/>
          <w:sz w:val="24"/>
          <w:szCs w:val="24"/>
          <w:lang w:val="es-ES"/>
        </w:rPr>
        <w:t xml:space="preserve">En efecto, </w:t>
      </w:r>
      <w:r w:rsidRPr="008D5EC4">
        <w:rPr>
          <w:rFonts w:cs="Arial"/>
          <w:sz w:val="24"/>
          <w:szCs w:val="24"/>
        </w:rPr>
        <w:t xml:space="preserve">consideramos que este asunto no actualiza la competencia de la Sala Superior, ya que supone una aproximación inadecuada a la cuestión efectivamente planteada y, por tanto, del caso en el contexto actual. </w:t>
      </w:r>
    </w:p>
    <w:p w:rsidR="001D19E5" w:rsidRPr="008D5EC4" w:rsidRDefault="001D19E5" w:rsidP="001D19E5">
      <w:pPr>
        <w:spacing w:before="100" w:beforeAutospacing="1" w:after="100" w:afterAutospacing="1" w:line="360" w:lineRule="auto"/>
        <w:jc w:val="both"/>
        <w:rPr>
          <w:rFonts w:cs="Arial"/>
          <w:sz w:val="24"/>
          <w:szCs w:val="24"/>
        </w:rPr>
      </w:pPr>
      <w:r w:rsidRPr="008D5EC4">
        <w:rPr>
          <w:rFonts w:cs="Arial"/>
          <w:sz w:val="24"/>
          <w:szCs w:val="24"/>
        </w:rPr>
        <w:t xml:space="preserve">Consideramos que no es pertinente asumir como premisa que se trata de una impugnación vinculada con la omisión del Tribunal local de regular una norma de carácter general, ya que, bien identificada, la pretensión de la parte actora puede alcanzarse con la resolución de su interés a ser notificada a través del correo electrónico que solicitó en su escrito de demanda, en el juicio que promovió ante el Tribunal local, sin que sea necesaria e indispensable la emisión de una norma de carácter general en un contexto de restricciones sanitarias y presupuestales. </w:t>
      </w:r>
    </w:p>
    <w:p w:rsidR="001D19E5" w:rsidRPr="008D5EC4" w:rsidRDefault="001D19E5" w:rsidP="001D19E5">
      <w:pPr>
        <w:spacing w:before="100" w:beforeAutospacing="1" w:after="100" w:afterAutospacing="1" w:line="360" w:lineRule="auto"/>
        <w:jc w:val="both"/>
        <w:rPr>
          <w:rFonts w:cs="Arial"/>
          <w:sz w:val="24"/>
          <w:szCs w:val="24"/>
        </w:rPr>
      </w:pPr>
      <w:r w:rsidRPr="008D5EC4">
        <w:rPr>
          <w:rFonts w:cs="Arial"/>
          <w:sz w:val="24"/>
          <w:szCs w:val="24"/>
        </w:rPr>
        <w:t>En tales condiciones, en nuestro concepto, el disenso con la decisión mayoritaria estriba, en último análisis, en determinar cómo debe resolver un tribunal de cierre un litigio como el que se acaba de identificar en las circunstancias actuales caracterizadas por un entorno normativo y fáctico de contingencia sanitaria. Una solución posible, mas no necesariamente correcta, es la que ofrece la resolución de la mayoría; una decisión que se puede calificar de activista o maximalista, en contraste con un enfoque minimalista.</w:t>
      </w:r>
      <w:r w:rsidRPr="008D5EC4">
        <w:rPr>
          <w:rStyle w:val="Refdenotaalpie"/>
          <w:rFonts w:cs="Arial"/>
          <w:sz w:val="24"/>
          <w:szCs w:val="24"/>
        </w:rPr>
        <w:footnoteReference w:id="41"/>
      </w:r>
      <w:r w:rsidRPr="008D5EC4">
        <w:rPr>
          <w:rFonts w:cs="Arial"/>
          <w:sz w:val="24"/>
          <w:szCs w:val="24"/>
        </w:rPr>
        <w:t xml:space="preserve"> En la especie, no consideramos necesario ni pertinente asumir un enfoque maximalista, porque la demanda debió calificarse de improcedente, habida cuenta de que, en su caso, se debió resolver desde el punto de vista técnico y normativo.</w:t>
      </w:r>
    </w:p>
    <w:p w:rsidR="001D19E5" w:rsidRPr="008D5EC4" w:rsidRDefault="001D19E5" w:rsidP="001D19E5">
      <w:pPr>
        <w:spacing w:before="100" w:beforeAutospacing="1" w:after="100" w:afterAutospacing="1" w:line="360" w:lineRule="auto"/>
        <w:jc w:val="both"/>
        <w:rPr>
          <w:rFonts w:cs="Arial"/>
          <w:sz w:val="24"/>
          <w:szCs w:val="24"/>
        </w:rPr>
      </w:pPr>
      <w:r w:rsidRPr="008D5EC4">
        <w:rPr>
          <w:rFonts w:cs="Arial"/>
          <w:sz w:val="24"/>
          <w:szCs w:val="24"/>
        </w:rPr>
        <w:t>Entonces, no compartimos el enfoque activista que la sentencia supone por no ser acorde ni estar justificado para resolución del caso concreto. De ahí que la Sala Regional Xalapa es la competente para conocer del asunto al estar vinculado con una pretensión individual que no necesariamente implica la emisión de una norma de carácter general y que finalmente está relacionada con el desempeño de un cargo de orden municipal.</w:t>
      </w:r>
    </w:p>
    <w:p w:rsidR="001D19E5" w:rsidRPr="008D5EC4" w:rsidRDefault="001D19E5" w:rsidP="001D19E5">
      <w:pPr>
        <w:spacing w:before="100" w:beforeAutospacing="1" w:after="100" w:afterAutospacing="1" w:line="360" w:lineRule="auto"/>
        <w:jc w:val="both"/>
        <w:rPr>
          <w:rFonts w:cs="Arial"/>
          <w:sz w:val="24"/>
          <w:szCs w:val="24"/>
          <w:lang w:val="es-ES_tradnl"/>
        </w:rPr>
      </w:pPr>
      <w:r w:rsidRPr="008D5EC4">
        <w:rPr>
          <w:rFonts w:eastAsia="Times New Roman" w:cs="Arial"/>
          <w:sz w:val="24"/>
          <w:szCs w:val="24"/>
          <w:lang w:val="es-ES"/>
        </w:rPr>
        <w:t xml:space="preserve">Similares consideraciones han sido sustentadas por esta Sala Superior </w:t>
      </w:r>
      <w:r w:rsidRPr="008D5EC4">
        <w:rPr>
          <w:rFonts w:cs="Arial"/>
          <w:sz w:val="24"/>
          <w:szCs w:val="24"/>
        </w:rPr>
        <w:t xml:space="preserve">al resolver los juicios </w:t>
      </w:r>
      <w:r w:rsidRPr="008D5EC4">
        <w:rPr>
          <w:rFonts w:cs="Arial"/>
          <w:bCs/>
          <w:sz w:val="24"/>
          <w:szCs w:val="24"/>
        </w:rPr>
        <w:t xml:space="preserve">SUP-JDC-50/2019, </w:t>
      </w:r>
      <w:r w:rsidRPr="008D5EC4">
        <w:rPr>
          <w:rFonts w:cs="Arial"/>
          <w:sz w:val="24"/>
          <w:szCs w:val="24"/>
        </w:rPr>
        <w:t xml:space="preserve">SUP-JDC-336/2018, SUP-JDC-297/2018, SUP-JDC-289/2018, SUP-JRC-136/2018, SUP-JDC-101/2017 y SUP-JDC-1652/2016, relativos al análisis de </w:t>
      </w:r>
      <w:r w:rsidRPr="008D5EC4">
        <w:rPr>
          <w:rFonts w:cs="Arial"/>
          <w:sz w:val="24"/>
          <w:szCs w:val="24"/>
          <w:lang w:val="es-ES_tradnl"/>
        </w:rPr>
        <w:t>la competencia de la Sala Superior cuando se reclaman omisiones legislativas, pero que se advierte que estas no constituyen el acto reclamado destacado, en dichos supuestos el criterio que se ha sostenido es que corresponde conocer de la controversia planteada a las Salas Regionales de este Tribunal Electoral.</w:t>
      </w:r>
    </w:p>
    <w:p w:rsidR="001D19E5" w:rsidRPr="008D5EC4" w:rsidRDefault="001D19E5" w:rsidP="001D19E5">
      <w:pPr>
        <w:spacing w:before="100" w:beforeAutospacing="1" w:after="100" w:afterAutospacing="1" w:line="360" w:lineRule="auto"/>
        <w:jc w:val="both"/>
        <w:rPr>
          <w:rFonts w:cs="Arial"/>
          <w:b/>
          <w:sz w:val="24"/>
          <w:szCs w:val="24"/>
          <w:lang w:val="es-ES_tradnl"/>
        </w:rPr>
      </w:pPr>
      <w:r w:rsidRPr="008D5EC4">
        <w:rPr>
          <w:rFonts w:cs="Arial"/>
          <w:b/>
          <w:sz w:val="24"/>
          <w:szCs w:val="24"/>
          <w:lang w:val="es-ES_tradnl"/>
        </w:rPr>
        <w:t>b. A ningún fin práctico lleva reencauzar el asunto cuando se advierte que es improcedente</w:t>
      </w:r>
    </w:p>
    <w:p w:rsidR="001D19E5" w:rsidRPr="008D5EC4" w:rsidRDefault="001D19E5" w:rsidP="001D19E5">
      <w:pPr>
        <w:spacing w:before="100" w:beforeAutospacing="1" w:after="100" w:afterAutospacing="1" w:line="360" w:lineRule="auto"/>
        <w:jc w:val="both"/>
        <w:rPr>
          <w:rFonts w:cs="Arial"/>
          <w:sz w:val="24"/>
          <w:szCs w:val="24"/>
          <w:lang w:val="es-ES_tradnl"/>
        </w:rPr>
      </w:pPr>
      <w:r w:rsidRPr="008D5EC4">
        <w:rPr>
          <w:rFonts w:cs="Arial"/>
          <w:sz w:val="24"/>
          <w:szCs w:val="24"/>
          <w:lang w:val="es-ES_tradnl"/>
        </w:rPr>
        <w:t>Establecido lo anterior, no compartimos que se ordene el reencauzamiento del asunto a juicio electoral, en tanto que se advierte de manera notoria y manifiesta que el asunto resulta improcedente, por lo que a ningún fin práctico conlleva ordenar el cambio de la vía.</w:t>
      </w:r>
    </w:p>
    <w:p w:rsidR="001D19E5" w:rsidRPr="008D5EC4" w:rsidRDefault="001D19E5" w:rsidP="001D19E5">
      <w:pPr>
        <w:spacing w:before="100" w:beforeAutospacing="1" w:after="100" w:afterAutospacing="1" w:line="360" w:lineRule="auto"/>
        <w:jc w:val="both"/>
        <w:rPr>
          <w:rFonts w:cs="Arial"/>
          <w:sz w:val="24"/>
          <w:szCs w:val="24"/>
        </w:rPr>
      </w:pPr>
      <w:r w:rsidRPr="008D5EC4">
        <w:rPr>
          <w:rFonts w:cs="Arial"/>
          <w:sz w:val="24"/>
          <w:szCs w:val="24"/>
          <w:lang w:val="es-ES_tradnl"/>
        </w:rPr>
        <w:t>El</w:t>
      </w:r>
      <w:r w:rsidRPr="008D5EC4">
        <w:rPr>
          <w:rFonts w:cs="Arial"/>
          <w:sz w:val="24"/>
          <w:szCs w:val="24"/>
        </w:rPr>
        <w:t xml:space="preserve"> juicio electoral debe declararse improcedente y, por tanto, desecharse, en virtud de que en el sistema de medios de impugnación electoral federal no está reconocida la representación a través de la figura de “abogado patrono” o de “mandatario judicial” ni la posibilidad de que una autorización procesal en términos de leyes locales implique la representación para promover un medio de control constitucional.</w:t>
      </w:r>
    </w:p>
    <w:p w:rsidR="001D19E5" w:rsidRPr="008D5EC4" w:rsidRDefault="001D19E5" w:rsidP="001D19E5">
      <w:pPr>
        <w:tabs>
          <w:tab w:val="left" w:pos="1739"/>
        </w:tabs>
        <w:spacing w:before="100" w:beforeAutospacing="1" w:after="100" w:afterAutospacing="1" w:line="360" w:lineRule="auto"/>
        <w:jc w:val="both"/>
        <w:rPr>
          <w:rFonts w:eastAsia="Arial Unicode MS" w:cs="Arial"/>
          <w:bCs/>
          <w:sz w:val="24"/>
          <w:szCs w:val="24"/>
        </w:rPr>
      </w:pPr>
      <w:r w:rsidRPr="008D5EC4">
        <w:rPr>
          <w:rFonts w:eastAsia="Arial Unicode MS" w:cs="Arial"/>
          <w:bCs/>
          <w:sz w:val="24"/>
          <w:szCs w:val="24"/>
        </w:rPr>
        <w:t>Si bien diversas legislaciones adjetivas o procesales prevén la figura del “abogado patrono”</w:t>
      </w:r>
      <w:r w:rsidRPr="008D5EC4">
        <w:rPr>
          <w:rFonts w:eastAsia="Arial Unicode MS" w:cs="Arial"/>
          <w:bCs/>
          <w:sz w:val="24"/>
          <w:szCs w:val="24"/>
          <w:vertAlign w:val="superscript"/>
        </w:rPr>
        <w:footnoteReference w:id="42"/>
      </w:r>
      <w:r w:rsidRPr="008D5EC4">
        <w:rPr>
          <w:rFonts w:eastAsia="Arial Unicode MS" w:cs="Arial"/>
          <w:bCs/>
          <w:sz w:val="24"/>
          <w:szCs w:val="24"/>
        </w:rPr>
        <w:t>. Esto es, existe un acto jurídico procesal mediante el cual un litigante en un proceso tiene la facultad de hacer una designación de un “abogado patrono”, en el mismo acto de interposición de la demanda, o mediante una promoción dirigida al juez o al tribunal</w:t>
      </w:r>
      <w:r w:rsidRPr="008D5EC4">
        <w:rPr>
          <w:rStyle w:val="Refdenotaalpie"/>
          <w:rFonts w:eastAsia="Arial Unicode MS" w:cs="Arial"/>
          <w:bCs/>
          <w:sz w:val="24"/>
          <w:szCs w:val="24"/>
        </w:rPr>
        <w:footnoteReference w:id="43"/>
      </w:r>
      <w:r w:rsidRPr="008D5EC4">
        <w:rPr>
          <w:rFonts w:eastAsia="Arial Unicode MS" w:cs="Arial"/>
          <w:bCs/>
          <w:sz w:val="24"/>
          <w:szCs w:val="24"/>
        </w:rPr>
        <w:t xml:space="preserve">. </w:t>
      </w:r>
    </w:p>
    <w:p w:rsidR="001D19E5" w:rsidRPr="008D5EC4" w:rsidRDefault="001D19E5" w:rsidP="001D19E5">
      <w:pPr>
        <w:tabs>
          <w:tab w:val="left" w:pos="1739"/>
        </w:tabs>
        <w:spacing w:before="100" w:beforeAutospacing="1" w:after="100" w:afterAutospacing="1" w:line="360" w:lineRule="auto"/>
        <w:jc w:val="both"/>
        <w:rPr>
          <w:rFonts w:eastAsia="Arial Unicode MS" w:cs="Arial"/>
          <w:bCs/>
          <w:sz w:val="24"/>
          <w:szCs w:val="24"/>
        </w:rPr>
      </w:pPr>
      <w:r w:rsidRPr="008D5EC4">
        <w:rPr>
          <w:rFonts w:eastAsia="Arial Unicode MS" w:cs="Arial"/>
          <w:bCs/>
          <w:sz w:val="24"/>
          <w:szCs w:val="24"/>
        </w:rPr>
        <w:t xml:space="preserve">En tales legislaciones esa autorización le confiere al abogado facultades de </w:t>
      </w:r>
      <w:r w:rsidRPr="008D5EC4">
        <w:rPr>
          <w:rFonts w:eastAsia="Arial Unicode MS" w:cs="Arial"/>
          <w:b/>
          <w:bCs/>
          <w:sz w:val="24"/>
          <w:szCs w:val="24"/>
        </w:rPr>
        <w:t>representación en el proceso</w:t>
      </w:r>
      <w:r w:rsidRPr="008D5EC4">
        <w:rPr>
          <w:rFonts w:eastAsia="Arial Unicode MS" w:cs="Arial"/>
          <w:bCs/>
          <w:sz w:val="24"/>
          <w:szCs w:val="24"/>
        </w:rPr>
        <w:t xml:space="preserve"> que le permiten llevar a cabo, directamente y en representación de la parte que lo designó, todos los actos procesales necesarios. Eso faculta procesalmente al autorizado a intervenir directamente en el juicio específico con su propia firma para interponer recursos, promover incidentes, ofrecer y rendir pruebas, alegar e intervenir en la sentencia, en nombre del autorizante.</w:t>
      </w:r>
    </w:p>
    <w:p w:rsidR="001D19E5" w:rsidRPr="008D5EC4" w:rsidRDefault="001D19E5" w:rsidP="001D19E5">
      <w:pPr>
        <w:tabs>
          <w:tab w:val="left" w:pos="1739"/>
        </w:tabs>
        <w:spacing w:before="100" w:beforeAutospacing="1" w:after="100" w:afterAutospacing="1" w:line="360" w:lineRule="auto"/>
        <w:jc w:val="both"/>
        <w:rPr>
          <w:rFonts w:eastAsia="Arial Unicode MS" w:cs="Arial"/>
          <w:bCs/>
          <w:sz w:val="24"/>
          <w:szCs w:val="24"/>
        </w:rPr>
      </w:pPr>
      <w:r w:rsidRPr="008D5EC4">
        <w:rPr>
          <w:rFonts w:eastAsia="Arial Unicode MS" w:cs="Arial"/>
          <w:bCs/>
          <w:sz w:val="24"/>
          <w:szCs w:val="24"/>
        </w:rPr>
        <w:t>Dichas facultades procesales suelen ser las mismas que las que tiene usualmente un “mandatario judicial”, pero en el caso de la designación del “abogado patrono”, comúnmente basta con que se dé la autorización mediante un escrito dirigido al juez para que con ello éste pueda actuar y defender los intereses de quien lo designa únicamente durante ese juicio; mientras que el “mandatario judicial”, propiamente dicho, generalmente se nombra mediante una escritura pública y deriva de la celebración de un contrato de representación o poder, ya sea particular o general para representar judicialmente a una persona.</w:t>
      </w:r>
    </w:p>
    <w:p w:rsidR="001D19E5" w:rsidRPr="008D5EC4" w:rsidRDefault="001D19E5" w:rsidP="001D19E5">
      <w:pPr>
        <w:tabs>
          <w:tab w:val="left" w:pos="1739"/>
        </w:tabs>
        <w:spacing w:before="100" w:beforeAutospacing="1" w:after="100" w:afterAutospacing="1" w:line="360" w:lineRule="auto"/>
        <w:jc w:val="both"/>
        <w:rPr>
          <w:rFonts w:eastAsia="Arial Unicode MS" w:cs="Arial"/>
          <w:bCs/>
          <w:sz w:val="24"/>
          <w:szCs w:val="24"/>
        </w:rPr>
      </w:pPr>
      <w:r w:rsidRPr="008D5EC4">
        <w:rPr>
          <w:rFonts w:eastAsia="Arial Unicode MS" w:cs="Arial"/>
          <w:bCs/>
          <w:sz w:val="24"/>
          <w:szCs w:val="24"/>
        </w:rPr>
        <w:t xml:space="preserve">No </w:t>
      </w:r>
      <w:proofErr w:type="gramStart"/>
      <w:r w:rsidRPr="008D5EC4">
        <w:rPr>
          <w:rFonts w:eastAsia="Arial Unicode MS" w:cs="Arial"/>
          <w:bCs/>
          <w:sz w:val="24"/>
          <w:szCs w:val="24"/>
        </w:rPr>
        <w:t>obstante</w:t>
      </w:r>
      <w:proofErr w:type="gramEnd"/>
      <w:r w:rsidRPr="008D5EC4">
        <w:rPr>
          <w:rFonts w:eastAsia="Arial Unicode MS" w:cs="Arial"/>
          <w:bCs/>
          <w:sz w:val="24"/>
          <w:szCs w:val="24"/>
        </w:rPr>
        <w:t xml:space="preserve"> lo anterior, las facultades del abogado patrono son para promover ante la autoridad correspondiente, sin que pueda reconocerse legitimación procesal activa para presentar cualquier medio de impugnación previsto en la Ley de Medios a nombre de su autorizante, en tanto que ese tipo de representación no está reconocida en la referida ley adjetiva. </w:t>
      </w:r>
    </w:p>
    <w:p w:rsidR="001D19E5" w:rsidRPr="008D5EC4" w:rsidRDefault="001D19E5" w:rsidP="001D19E5">
      <w:pPr>
        <w:tabs>
          <w:tab w:val="left" w:pos="1739"/>
        </w:tabs>
        <w:spacing w:before="100" w:beforeAutospacing="1" w:after="100" w:afterAutospacing="1" w:line="360" w:lineRule="auto"/>
        <w:jc w:val="both"/>
        <w:rPr>
          <w:rFonts w:eastAsia="Arial Unicode MS" w:cs="Arial"/>
          <w:bCs/>
          <w:sz w:val="24"/>
          <w:szCs w:val="24"/>
        </w:rPr>
      </w:pPr>
      <w:r w:rsidRPr="008D5EC4">
        <w:rPr>
          <w:rFonts w:eastAsia="Arial Unicode MS" w:cs="Arial"/>
          <w:bCs/>
          <w:sz w:val="24"/>
          <w:szCs w:val="24"/>
        </w:rPr>
        <w:t xml:space="preserve">La Sala Superior ha profundizado en el alcance de las facultades de los autorizados por las partes en los medios de impugnación, por ejemplo, en la jurisprudencia 7/97, de rubro </w:t>
      </w:r>
      <w:r w:rsidRPr="008D5EC4">
        <w:rPr>
          <w:rFonts w:eastAsia="Arial Unicode MS" w:cs="Arial"/>
          <w:b/>
          <w:bCs/>
          <w:smallCaps/>
          <w:sz w:val="24"/>
          <w:szCs w:val="24"/>
        </w:rPr>
        <w:t>autorizado para recibir notificaciones. puede acreditar la personería del promovente, en cumplimiento de tal requerimiento</w:t>
      </w:r>
      <w:r w:rsidRPr="008D5EC4">
        <w:rPr>
          <w:rFonts w:eastAsia="Arial Unicode MS" w:cs="Arial"/>
          <w:bCs/>
          <w:sz w:val="24"/>
          <w:szCs w:val="24"/>
        </w:rPr>
        <w:t xml:space="preserve">, se previó que, aunque la Ley de Medios no precisa literalmente las facultades con las que están investidos los autorizados, era posible concluir que la autorización hecha por el promovente en un medio de impugnación entraña una manifestación de voluntad del autorizante para auxiliarse de otras personas </w:t>
      </w:r>
      <w:r w:rsidRPr="008D5EC4">
        <w:rPr>
          <w:rFonts w:eastAsia="Arial Unicode MS" w:cs="Arial"/>
          <w:b/>
          <w:bCs/>
          <w:sz w:val="24"/>
          <w:szCs w:val="24"/>
        </w:rPr>
        <w:t>en actividades menores</w:t>
      </w:r>
      <w:r w:rsidRPr="008D5EC4">
        <w:rPr>
          <w:rFonts w:eastAsia="Arial Unicode MS" w:cs="Arial"/>
          <w:bCs/>
          <w:sz w:val="24"/>
          <w:szCs w:val="24"/>
        </w:rPr>
        <w:t xml:space="preserve">, relacionadas con el asunto, tales como: </w:t>
      </w:r>
    </w:p>
    <w:p w:rsidR="001D19E5" w:rsidRPr="008D5EC4" w:rsidRDefault="001D19E5" w:rsidP="001D19E5">
      <w:pPr>
        <w:pStyle w:val="Prrafodelista"/>
        <w:numPr>
          <w:ilvl w:val="0"/>
          <w:numId w:val="10"/>
        </w:numPr>
        <w:tabs>
          <w:tab w:val="left" w:pos="1739"/>
        </w:tabs>
        <w:spacing w:before="100" w:beforeAutospacing="1" w:after="100" w:afterAutospacing="1" w:line="360" w:lineRule="auto"/>
        <w:ind w:firstLine="0"/>
        <w:contextualSpacing/>
        <w:jc w:val="both"/>
        <w:rPr>
          <w:rFonts w:eastAsia="Arial Unicode MS" w:cs="Arial"/>
          <w:bCs/>
          <w:sz w:val="24"/>
          <w:szCs w:val="24"/>
        </w:rPr>
      </w:pPr>
      <w:r w:rsidRPr="008D5EC4">
        <w:rPr>
          <w:rFonts w:eastAsia="Arial Unicode MS" w:cs="Arial"/>
          <w:bCs/>
          <w:sz w:val="24"/>
          <w:szCs w:val="24"/>
        </w:rPr>
        <w:t xml:space="preserve">Enterarse del contenido de los distintos trámites y resoluciones que se emiten, para estar en posibilidad de cumplir oportunamente lo que corresponda; o </w:t>
      </w:r>
    </w:p>
    <w:p w:rsidR="001D19E5" w:rsidRPr="008D5EC4" w:rsidRDefault="001D19E5" w:rsidP="001D19E5">
      <w:pPr>
        <w:pStyle w:val="Prrafodelista"/>
        <w:numPr>
          <w:ilvl w:val="0"/>
          <w:numId w:val="10"/>
        </w:numPr>
        <w:tabs>
          <w:tab w:val="left" w:pos="1739"/>
        </w:tabs>
        <w:spacing w:before="100" w:beforeAutospacing="1" w:after="100" w:afterAutospacing="1" w:line="360" w:lineRule="auto"/>
        <w:ind w:firstLine="0"/>
        <w:contextualSpacing/>
        <w:jc w:val="both"/>
        <w:rPr>
          <w:rFonts w:eastAsia="Arial Unicode MS" w:cs="Arial"/>
          <w:bCs/>
          <w:sz w:val="24"/>
          <w:szCs w:val="24"/>
        </w:rPr>
      </w:pPr>
      <w:r w:rsidRPr="008D5EC4">
        <w:rPr>
          <w:rFonts w:eastAsia="Arial Unicode MS" w:cs="Arial"/>
          <w:bCs/>
          <w:sz w:val="24"/>
          <w:szCs w:val="24"/>
        </w:rPr>
        <w:t>Asumir la actitud conveniente a sus intereses, sobre todo cuando el órgano jurisdiccional emite una decisión en la que le impone cierta carga procesal y le concede un breve plazo para satisfacerla.</w:t>
      </w:r>
    </w:p>
    <w:p w:rsidR="001D19E5" w:rsidRPr="008D5EC4" w:rsidRDefault="001D19E5" w:rsidP="001D19E5">
      <w:pPr>
        <w:tabs>
          <w:tab w:val="left" w:pos="1739"/>
        </w:tabs>
        <w:spacing w:before="100" w:beforeAutospacing="1" w:after="100" w:afterAutospacing="1" w:line="360" w:lineRule="auto"/>
        <w:jc w:val="both"/>
        <w:rPr>
          <w:rFonts w:eastAsia="Arial Unicode MS" w:cs="Arial"/>
          <w:bCs/>
          <w:sz w:val="24"/>
          <w:szCs w:val="24"/>
        </w:rPr>
      </w:pPr>
      <w:r w:rsidRPr="008D5EC4">
        <w:rPr>
          <w:rFonts w:eastAsia="Arial Unicode MS" w:cs="Arial"/>
          <w:bCs/>
          <w:sz w:val="24"/>
          <w:szCs w:val="24"/>
        </w:rPr>
        <w:t>Como puede advertirse, la propia Sala Superior ha reconocido que las autorizaciones firmadas por las partes en los medios de impugnación se refieren a actuaciones de mero trámite o seguimiento, no para promover ampliaciones de demanda o nuevos juicios, en los que resulta necesariamente la manifestación de la voluntad de quien resienta el perjuicio o de su representante legal.</w:t>
      </w:r>
    </w:p>
    <w:p w:rsidR="001D19E5" w:rsidRPr="008D5EC4" w:rsidRDefault="001D19E5" w:rsidP="001D19E5">
      <w:pPr>
        <w:tabs>
          <w:tab w:val="left" w:pos="1739"/>
        </w:tabs>
        <w:spacing w:before="100" w:beforeAutospacing="1" w:after="100" w:afterAutospacing="1" w:line="360" w:lineRule="auto"/>
        <w:jc w:val="both"/>
        <w:rPr>
          <w:rFonts w:eastAsia="Arial Unicode MS" w:cs="Arial"/>
          <w:bCs/>
          <w:sz w:val="24"/>
          <w:szCs w:val="24"/>
        </w:rPr>
      </w:pPr>
      <w:r w:rsidRPr="008D5EC4">
        <w:rPr>
          <w:rFonts w:eastAsia="Arial Unicode MS" w:cs="Arial"/>
          <w:bCs/>
          <w:sz w:val="24"/>
          <w:szCs w:val="24"/>
        </w:rPr>
        <w:t xml:space="preserve">Además, no se puede dejar de lado lo reconocido en la propia Ley de Medios en su artículo 13, según el cual, en principio, la </w:t>
      </w:r>
      <w:r w:rsidRPr="008D5EC4">
        <w:rPr>
          <w:rFonts w:eastAsia="Arial Unicode MS" w:cs="Arial"/>
          <w:b/>
          <w:bCs/>
          <w:sz w:val="24"/>
          <w:szCs w:val="24"/>
        </w:rPr>
        <w:t>presentación de los medios de impugnación para el caso de los ciudadanos y los candidatos</w:t>
      </w:r>
      <w:r w:rsidRPr="008D5EC4">
        <w:rPr>
          <w:rFonts w:eastAsia="Arial Unicode MS" w:cs="Arial"/>
          <w:bCs/>
          <w:sz w:val="24"/>
          <w:szCs w:val="24"/>
        </w:rPr>
        <w:t xml:space="preserve"> debe ser por </w:t>
      </w:r>
      <w:r w:rsidRPr="008D5EC4">
        <w:rPr>
          <w:rFonts w:eastAsia="Arial Unicode MS" w:cs="Arial"/>
          <w:b/>
          <w:bCs/>
          <w:sz w:val="24"/>
          <w:szCs w:val="24"/>
        </w:rPr>
        <w:t>su propio derecho</w:t>
      </w:r>
      <w:r w:rsidRPr="008D5EC4">
        <w:rPr>
          <w:rFonts w:eastAsia="Arial Unicode MS" w:cs="Arial"/>
          <w:bCs/>
          <w:sz w:val="24"/>
          <w:szCs w:val="24"/>
        </w:rPr>
        <w:t xml:space="preserve">, sin que sea admisible representación alguna. </w:t>
      </w:r>
    </w:p>
    <w:p w:rsidR="001D19E5" w:rsidRPr="008D5EC4" w:rsidRDefault="001D19E5" w:rsidP="001D19E5">
      <w:pPr>
        <w:tabs>
          <w:tab w:val="left" w:pos="1739"/>
        </w:tabs>
        <w:spacing w:before="100" w:beforeAutospacing="1" w:after="100" w:afterAutospacing="1" w:line="360" w:lineRule="auto"/>
        <w:jc w:val="both"/>
        <w:rPr>
          <w:rFonts w:eastAsia="Arial Unicode MS" w:cs="Arial"/>
          <w:bCs/>
          <w:sz w:val="24"/>
          <w:szCs w:val="24"/>
        </w:rPr>
      </w:pPr>
      <w:r w:rsidRPr="008D5EC4">
        <w:rPr>
          <w:rFonts w:eastAsia="Arial Unicode MS" w:cs="Arial"/>
          <w:bCs/>
          <w:sz w:val="24"/>
          <w:szCs w:val="24"/>
        </w:rPr>
        <w:t xml:space="preserve">Respecto a este artículo en particular, la Sala Superior ha flexibilizado su interpretación al señalar en la jurisprudencia 25/2012, de rubro </w:t>
      </w:r>
      <w:r w:rsidRPr="008D5EC4">
        <w:rPr>
          <w:rFonts w:eastAsia="Arial Unicode MS" w:cs="Arial"/>
          <w:b/>
          <w:bCs/>
          <w:smallCaps/>
          <w:sz w:val="24"/>
          <w:szCs w:val="24"/>
        </w:rPr>
        <w:t xml:space="preserve">representación. es admisible en la presentación </w:t>
      </w:r>
      <w:proofErr w:type="spellStart"/>
      <w:r w:rsidRPr="008D5EC4">
        <w:rPr>
          <w:rFonts w:eastAsia="Arial Unicode MS" w:cs="Arial"/>
          <w:b/>
          <w:bCs/>
          <w:smallCaps/>
          <w:sz w:val="24"/>
          <w:szCs w:val="24"/>
        </w:rPr>
        <w:t>e</w:t>
      </w:r>
      <w:proofErr w:type="spellEnd"/>
      <w:r w:rsidRPr="008D5EC4">
        <w:rPr>
          <w:rFonts w:eastAsia="Arial Unicode MS" w:cs="Arial"/>
          <w:b/>
          <w:bCs/>
          <w:smallCaps/>
          <w:sz w:val="24"/>
          <w:szCs w:val="24"/>
        </w:rPr>
        <w:t xml:space="preserve"> interposición de los medios de impugnación en materia electoral</w:t>
      </w:r>
      <w:r w:rsidRPr="008D5EC4">
        <w:rPr>
          <w:rFonts w:eastAsia="Arial Unicode MS" w:cs="Arial"/>
          <w:bCs/>
          <w:sz w:val="24"/>
          <w:szCs w:val="24"/>
        </w:rPr>
        <w:t xml:space="preserve"> que, conforme al criterio según el cual las normas relativas a los derechos humanos se deben interpretar favoreciendo en todo tiempo a las personas con la protección más amplia, es posible admitir la representación para la procedencia de los medios de impugnación, pero dicha representación entendida como mandatario judicial y no como abogado patrono</w:t>
      </w:r>
      <w:r w:rsidRPr="008D5EC4">
        <w:rPr>
          <w:rStyle w:val="Refdenotaalpie"/>
          <w:rFonts w:eastAsia="Arial Unicode MS" w:cs="Arial"/>
          <w:bCs/>
          <w:sz w:val="24"/>
          <w:szCs w:val="24"/>
        </w:rPr>
        <w:footnoteReference w:id="44"/>
      </w:r>
      <w:r w:rsidRPr="008D5EC4">
        <w:rPr>
          <w:rFonts w:eastAsia="Arial Unicode MS" w:cs="Arial"/>
          <w:bCs/>
          <w:sz w:val="24"/>
          <w:szCs w:val="24"/>
        </w:rPr>
        <w:t>.</w:t>
      </w:r>
    </w:p>
    <w:p w:rsidR="001D19E5" w:rsidRPr="008D5EC4" w:rsidRDefault="001D19E5" w:rsidP="001D19E5">
      <w:pPr>
        <w:tabs>
          <w:tab w:val="left" w:pos="1739"/>
        </w:tabs>
        <w:spacing w:before="100" w:beforeAutospacing="1" w:after="100" w:afterAutospacing="1" w:line="360" w:lineRule="auto"/>
        <w:jc w:val="both"/>
        <w:rPr>
          <w:rFonts w:eastAsia="Arial Unicode MS" w:cs="Arial"/>
          <w:bCs/>
          <w:sz w:val="24"/>
          <w:szCs w:val="24"/>
        </w:rPr>
      </w:pPr>
      <w:r w:rsidRPr="008D5EC4">
        <w:rPr>
          <w:rFonts w:eastAsia="Arial Unicode MS" w:cs="Arial"/>
          <w:bCs/>
          <w:sz w:val="24"/>
          <w:szCs w:val="24"/>
        </w:rPr>
        <w:t xml:space="preserve">Ese criterio hace referencia a que se debe admitir la representación a fin de conceder una opción más para que personas legitimadas puedan acudir ante la justicia; es decir permite reconocer actos jurídicos que se celebren para el otorgamiento de facultades de representación judicial, en tanto que en dichos casos existe una facultad expresa que permite manifestar la voluntad del representado como si este mismo lo estuviese realizando. </w:t>
      </w:r>
    </w:p>
    <w:p w:rsidR="001D19E5" w:rsidRPr="008D5EC4" w:rsidRDefault="001D19E5" w:rsidP="001D19E5">
      <w:pPr>
        <w:tabs>
          <w:tab w:val="left" w:pos="1739"/>
        </w:tabs>
        <w:spacing w:before="100" w:beforeAutospacing="1" w:after="100" w:afterAutospacing="1" w:line="360" w:lineRule="auto"/>
        <w:jc w:val="both"/>
        <w:rPr>
          <w:rFonts w:eastAsia="Arial Unicode MS" w:cs="Arial"/>
          <w:bCs/>
          <w:sz w:val="24"/>
          <w:szCs w:val="24"/>
        </w:rPr>
      </w:pPr>
      <w:r w:rsidRPr="008D5EC4">
        <w:rPr>
          <w:rFonts w:eastAsia="Arial Unicode MS" w:cs="Arial"/>
          <w:bCs/>
          <w:sz w:val="24"/>
          <w:szCs w:val="24"/>
        </w:rPr>
        <w:t xml:space="preserve">No obstante, ello evidencia, por un lado, que </w:t>
      </w:r>
      <w:r w:rsidRPr="008D5EC4">
        <w:rPr>
          <w:rFonts w:eastAsia="Arial Unicode MS" w:cs="Arial"/>
          <w:b/>
          <w:bCs/>
          <w:sz w:val="24"/>
          <w:szCs w:val="24"/>
        </w:rPr>
        <w:t>en materia electoral no están reconocidas figuras como el “abogado patrono” o “autorizado” como “mandatario judicial” en un procedimiento en específico</w:t>
      </w:r>
      <w:r w:rsidRPr="008D5EC4">
        <w:rPr>
          <w:rFonts w:eastAsia="Arial Unicode MS" w:cs="Arial"/>
          <w:bCs/>
          <w:sz w:val="24"/>
          <w:szCs w:val="24"/>
        </w:rPr>
        <w:t>. Por ello no cabría considerar que las normas procesales de la Ley de Medios reconocen la representación mediante un “abogado patrono”, y, por otro lado, que la representación debe estar conferida por normas distintas a las de la ley electoral porque ésta no admite representación en el proceso.</w:t>
      </w:r>
    </w:p>
    <w:p w:rsidR="001D19E5" w:rsidRPr="008D5EC4" w:rsidRDefault="001D19E5" w:rsidP="001D19E5">
      <w:pPr>
        <w:tabs>
          <w:tab w:val="left" w:pos="1215"/>
        </w:tabs>
        <w:spacing w:before="100" w:beforeAutospacing="1" w:after="100" w:afterAutospacing="1" w:line="360" w:lineRule="auto"/>
        <w:jc w:val="both"/>
        <w:rPr>
          <w:rFonts w:eastAsia="Calibri" w:cs="Arial"/>
          <w:sz w:val="24"/>
          <w:szCs w:val="24"/>
        </w:rPr>
      </w:pPr>
      <w:r w:rsidRPr="008D5EC4">
        <w:rPr>
          <w:rFonts w:eastAsia="Arial Unicode MS" w:cs="Arial"/>
          <w:bCs/>
          <w:sz w:val="24"/>
          <w:szCs w:val="24"/>
        </w:rPr>
        <w:t xml:space="preserve">Ahora bien, </w:t>
      </w:r>
      <w:r w:rsidRPr="008D5EC4">
        <w:rPr>
          <w:rFonts w:eastAsia="Calibri" w:cs="Arial"/>
          <w:sz w:val="24"/>
          <w:szCs w:val="24"/>
        </w:rPr>
        <w:t xml:space="preserve">el artículo 9, apartado 3, de la Ley de Medios, establece el </w:t>
      </w:r>
      <w:proofErr w:type="spellStart"/>
      <w:r w:rsidRPr="008D5EC4">
        <w:rPr>
          <w:rFonts w:eastAsia="Calibri" w:cs="Arial"/>
          <w:sz w:val="24"/>
          <w:szCs w:val="24"/>
        </w:rPr>
        <w:t>desechamiento</w:t>
      </w:r>
      <w:proofErr w:type="spellEnd"/>
      <w:r w:rsidRPr="008D5EC4">
        <w:rPr>
          <w:rFonts w:eastAsia="Calibri" w:cs="Arial"/>
          <w:sz w:val="24"/>
          <w:szCs w:val="24"/>
        </w:rPr>
        <w:t xml:space="preserve"> de plano de los medios de impugnación cuya notoria improcedencia derive de lo establecido en la propia ley.</w:t>
      </w:r>
    </w:p>
    <w:p w:rsidR="001D19E5" w:rsidRPr="008D5EC4" w:rsidRDefault="001D19E5" w:rsidP="001D19E5">
      <w:pPr>
        <w:tabs>
          <w:tab w:val="left" w:pos="1215"/>
        </w:tabs>
        <w:spacing w:before="100" w:beforeAutospacing="1" w:after="100" w:afterAutospacing="1" w:line="360" w:lineRule="auto"/>
        <w:jc w:val="both"/>
        <w:rPr>
          <w:rFonts w:eastAsia="Calibri" w:cs="Arial"/>
          <w:sz w:val="24"/>
          <w:szCs w:val="24"/>
        </w:rPr>
      </w:pPr>
      <w:r w:rsidRPr="008D5EC4">
        <w:rPr>
          <w:rFonts w:eastAsia="Calibri" w:cs="Arial"/>
          <w:sz w:val="24"/>
          <w:szCs w:val="24"/>
        </w:rPr>
        <w:t>Por su parte, el artículo 10, apartado 1, inciso c), de ese ordenamiento procesal, dispone que los medios de impugnación serán improcedentes cuando el promovente carezca de legitimación en los términos de la presente ley.</w:t>
      </w:r>
    </w:p>
    <w:p w:rsidR="001D19E5" w:rsidRPr="008D5EC4" w:rsidRDefault="001D19E5" w:rsidP="001D19E5">
      <w:pPr>
        <w:tabs>
          <w:tab w:val="left" w:pos="1739"/>
        </w:tabs>
        <w:spacing w:before="100" w:beforeAutospacing="1" w:after="100" w:afterAutospacing="1" w:line="360" w:lineRule="auto"/>
        <w:jc w:val="both"/>
        <w:rPr>
          <w:rFonts w:eastAsia="Arial Unicode MS" w:cs="Arial"/>
          <w:bCs/>
          <w:sz w:val="24"/>
          <w:szCs w:val="24"/>
        </w:rPr>
      </w:pPr>
      <w:r w:rsidRPr="008D5EC4">
        <w:rPr>
          <w:rFonts w:eastAsia="Arial Unicode MS" w:cs="Arial"/>
          <w:bCs/>
          <w:sz w:val="24"/>
          <w:szCs w:val="24"/>
        </w:rPr>
        <w:t>En el caso concreto, Pedro Miguel Barrita López sustenta su legitimación y personería para promover en nombre de la promovente, en términos de los numerales 4 y 5 del artículo 26 de la Ley de Medios local</w:t>
      </w:r>
      <w:r w:rsidRPr="008D5EC4">
        <w:rPr>
          <w:rStyle w:val="Refdenotaalpie"/>
          <w:rFonts w:eastAsia="Arial Unicode MS" w:cs="Arial"/>
          <w:bCs/>
          <w:sz w:val="24"/>
          <w:szCs w:val="24"/>
        </w:rPr>
        <w:footnoteReference w:id="45"/>
      </w:r>
      <w:r w:rsidRPr="008D5EC4">
        <w:rPr>
          <w:rFonts w:eastAsia="Arial Unicode MS" w:cs="Arial"/>
          <w:bCs/>
          <w:sz w:val="24"/>
          <w:szCs w:val="24"/>
        </w:rPr>
        <w:t xml:space="preserve">, lo cual se corrobora del escrito inicial de demanda ante la instancia local, en el cual </w:t>
      </w:r>
      <w:r w:rsidRPr="008D5EC4">
        <w:rPr>
          <w:rFonts w:cs="Arial"/>
          <w:bCs/>
          <w:iCs/>
          <w:sz w:val="24"/>
          <w:szCs w:val="24"/>
          <w:lang w:val="es-ES_tradnl"/>
        </w:rPr>
        <w:t>Gisela Lilia Pérez García</w:t>
      </w:r>
      <w:r w:rsidRPr="008D5EC4">
        <w:rPr>
          <w:rFonts w:eastAsia="Arial Unicode MS" w:cs="Arial"/>
          <w:bCs/>
          <w:sz w:val="24"/>
          <w:szCs w:val="24"/>
        </w:rPr>
        <w:t xml:space="preserve"> señaló que autorizaba a dicha persona para oír y recibir notificaciones, </w:t>
      </w:r>
      <w:r w:rsidRPr="008D5EC4">
        <w:rPr>
          <w:rFonts w:eastAsia="Arial Unicode MS" w:cs="Arial"/>
          <w:bCs/>
          <w:i/>
          <w:sz w:val="24"/>
          <w:szCs w:val="24"/>
        </w:rPr>
        <w:t>“así como facultar en términos de lo establecido por el artículo 26 numerales 4 y 5”;</w:t>
      </w:r>
      <w:r w:rsidRPr="008D5EC4">
        <w:rPr>
          <w:rFonts w:eastAsia="Arial Unicode MS" w:cs="Arial"/>
          <w:bCs/>
          <w:sz w:val="24"/>
          <w:szCs w:val="24"/>
        </w:rPr>
        <w:t xml:space="preserve"> ya que, ello no puede traducirse en el carácter de apoderado o mandatario judicial para promover el juicio electoral, de ahí que </w:t>
      </w:r>
      <w:r w:rsidRPr="008D5EC4">
        <w:rPr>
          <w:rFonts w:eastAsia="Calibri" w:cs="Arial"/>
          <w:sz w:val="24"/>
          <w:szCs w:val="24"/>
        </w:rPr>
        <w:t xml:space="preserve">resulta notorio y manifiesto que </w:t>
      </w:r>
      <w:r w:rsidRPr="008D5EC4">
        <w:rPr>
          <w:rFonts w:cs="Arial"/>
          <w:bCs/>
          <w:iCs/>
          <w:sz w:val="24"/>
          <w:szCs w:val="24"/>
          <w:lang w:val="es-ES_tradnl"/>
        </w:rPr>
        <w:t>Pedro Miguel Barrita López</w:t>
      </w:r>
      <w:r w:rsidRPr="008D5EC4">
        <w:rPr>
          <w:rFonts w:eastAsia="Calibri" w:cs="Arial"/>
          <w:sz w:val="24"/>
          <w:szCs w:val="24"/>
        </w:rPr>
        <w:t xml:space="preserve"> carece de legitimación procesal activa</w:t>
      </w:r>
      <w:r w:rsidRPr="008D5EC4">
        <w:rPr>
          <w:rStyle w:val="Refdenotaalpie"/>
          <w:rFonts w:eastAsia="Calibri" w:cs="Arial"/>
          <w:sz w:val="24"/>
          <w:szCs w:val="24"/>
        </w:rPr>
        <w:footnoteReference w:id="46"/>
      </w:r>
      <w:r w:rsidRPr="008D5EC4">
        <w:rPr>
          <w:rFonts w:eastAsia="Calibri" w:cs="Arial"/>
          <w:sz w:val="24"/>
          <w:szCs w:val="24"/>
        </w:rPr>
        <w:t xml:space="preserve"> para instar el medio de impugnación</w:t>
      </w:r>
      <w:r w:rsidRPr="008D5EC4">
        <w:rPr>
          <w:rFonts w:eastAsia="Arial Unicode MS" w:cs="Arial"/>
          <w:bCs/>
          <w:sz w:val="24"/>
          <w:szCs w:val="24"/>
        </w:rPr>
        <w:t>.</w:t>
      </w:r>
    </w:p>
    <w:p w:rsidR="001D19E5" w:rsidRPr="008D5EC4" w:rsidRDefault="001D19E5" w:rsidP="001D19E5">
      <w:pPr>
        <w:tabs>
          <w:tab w:val="left" w:pos="1739"/>
        </w:tabs>
        <w:spacing w:before="100" w:beforeAutospacing="1" w:after="100" w:afterAutospacing="1" w:line="360" w:lineRule="auto"/>
        <w:jc w:val="both"/>
        <w:rPr>
          <w:rFonts w:eastAsia="Arial Unicode MS" w:cs="Arial"/>
          <w:bCs/>
          <w:sz w:val="24"/>
          <w:szCs w:val="24"/>
        </w:rPr>
      </w:pPr>
      <w:r w:rsidRPr="008D5EC4">
        <w:rPr>
          <w:rFonts w:eastAsia="Arial Unicode MS" w:cs="Arial"/>
          <w:bCs/>
          <w:sz w:val="24"/>
          <w:szCs w:val="24"/>
        </w:rPr>
        <w:t>Dicha posición se fortalece con base en los criterios que han emitido las Salas de la Suprema Corte de Justicia de la Nación</w:t>
      </w:r>
      <w:r w:rsidRPr="008D5EC4">
        <w:rPr>
          <w:rStyle w:val="Refdenotaalpie"/>
          <w:rFonts w:eastAsia="Arial Unicode MS" w:cs="Arial"/>
          <w:bCs/>
          <w:sz w:val="24"/>
          <w:szCs w:val="24"/>
        </w:rPr>
        <w:footnoteReference w:id="47"/>
      </w:r>
      <w:r w:rsidRPr="008D5EC4">
        <w:rPr>
          <w:rFonts w:eastAsia="Arial Unicode MS" w:cs="Arial"/>
          <w:bCs/>
          <w:sz w:val="24"/>
          <w:szCs w:val="24"/>
        </w:rPr>
        <w:t xml:space="preserve">, en el sentido de que la autorización amplia en ordenamientos locales o federales no tienen el alcance de legitimarlo para promover un medio de control constitucional. </w:t>
      </w:r>
    </w:p>
    <w:p w:rsidR="001D19E5" w:rsidRPr="008D5EC4" w:rsidRDefault="001D19E5" w:rsidP="001D19E5">
      <w:pPr>
        <w:spacing w:before="100" w:beforeAutospacing="1" w:after="100" w:afterAutospacing="1" w:line="360" w:lineRule="auto"/>
        <w:jc w:val="both"/>
        <w:rPr>
          <w:rFonts w:cs="Arial"/>
          <w:sz w:val="24"/>
          <w:szCs w:val="24"/>
        </w:rPr>
      </w:pPr>
      <w:r w:rsidRPr="008D5EC4">
        <w:rPr>
          <w:rFonts w:eastAsia="Times New Roman" w:cs="Arial"/>
          <w:sz w:val="24"/>
          <w:szCs w:val="24"/>
          <w:lang w:val="es-ES"/>
        </w:rPr>
        <w:t xml:space="preserve">Similar consideración sustentamos ante esta Sala Superior, </w:t>
      </w:r>
      <w:r w:rsidRPr="008D5EC4">
        <w:rPr>
          <w:rFonts w:cs="Arial"/>
          <w:sz w:val="24"/>
          <w:szCs w:val="24"/>
        </w:rPr>
        <w:t>al emitir voto particular en el incidente de aclaración de sentencia dictado en el recurso de revisión del procedimiento especial sancionador identificado con la clave SUP-REP-54/2020.</w:t>
      </w:r>
    </w:p>
    <w:p w:rsidR="001D19E5" w:rsidRPr="008D5EC4" w:rsidRDefault="001D19E5" w:rsidP="001D19E5">
      <w:pPr>
        <w:tabs>
          <w:tab w:val="left" w:pos="1739"/>
        </w:tabs>
        <w:spacing w:before="100" w:beforeAutospacing="1" w:after="100" w:afterAutospacing="1" w:line="360" w:lineRule="auto"/>
        <w:jc w:val="both"/>
        <w:rPr>
          <w:rFonts w:eastAsia="Arial Unicode MS" w:cs="Arial"/>
          <w:bCs/>
          <w:sz w:val="24"/>
          <w:szCs w:val="24"/>
        </w:rPr>
      </w:pPr>
      <w:r w:rsidRPr="008D5EC4">
        <w:rPr>
          <w:rFonts w:eastAsia="Arial Unicode MS" w:cs="Arial"/>
          <w:bCs/>
          <w:sz w:val="24"/>
          <w:szCs w:val="24"/>
        </w:rPr>
        <w:t xml:space="preserve">Finalmente, cabe precisar que no se advierta alguna manifestación que permitiera ponderar alguna imposibilidad para que </w:t>
      </w:r>
      <w:r w:rsidRPr="008D5EC4">
        <w:rPr>
          <w:rFonts w:cs="Arial"/>
          <w:bCs/>
          <w:iCs/>
          <w:sz w:val="24"/>
          <w:szCs w:val="24"/>
          <w:lang w:val="es-ES_tradnl"/>
        </w:rPr>
        <w:t>Gisela Lilia Pérez García</w:t>
      </w:r>
      <w:r w:rsidRPr="008D5EC4">
        <w:rPr>
          <w:rFonts w:eastAsia="Arial Unicode MS" w:cs="Arial"/>
          <w:bCs/>
          <w:sz w:val="24"/>
          <w:szCs w:val="24"/>
        </w:rPr>
        <w:t xml:space="preserve"> pudiera promover su demanda de manera personal, como pudiese ser alguna alegación en razón a la violencia política en razón de género que manifiesta que padece</w:t>
      </w:r>
      <w:r w:rsidRPr="008D5EC4">
        <w:rPr>
          <w:rStyle w:val="Refdenotaalpie"/>
          <w:rFonts w:eastAsia="Arial Unicode MS" w:cs="Arial"/>
          <w:bCs/>
          <w:sz w:val="24"/>
          <w:szCs w:val="24"/>
        </w:rPr>
        <w:footnoteReference w:id="48"/>
      </w:r>
      <w:r w:rsidRPr="008D5EC4">
        <w:rPr>
          <w:rFonts w:eastAsia="Arial Unicode MS" w:cs="Arial"/>
          <w:bCs/>
          <w:sz w:val="24"/>
          <w:szCs w:val="24"/>
        </w:rPr>
        <w:t>.</w:t>
      </w:r>
    </w:p>
    <w:p w:rsidR="001D19E5" w:rsidRPr="008D5EC4" w:rsidRDefault="001D19E5" w:rsidP="001D19E5">
      <w:pPr>
        <w:tabs>
          <w:tab w:val="left" w:pos="1739"/>
        </w:tabs>
        <w:spacing w:before="100" w:beforeAutospacing="1" w:after="100" w:afterAutospacing="1" w:line="360" w:lineRule="auto"/>
        <w:jc w:val="both"/>
        <w:rPr>
          <w:rFonts w:cs="Arial"/>
          <w:sz w:val="24"/>
          <w:szCs w:val="24"/>
        </w:rPr>
      </w:pPr>
      <w:r w:rsidRPr="008D5EC4">
        <w:rPr>
          <w:rFonts w:eastAsia="Arial Unicode MS" w:cs="Arial"/>
          <w:bCs/>
          <w:sz w:val="24"/>
          <w:szCs w:val="24"/>
        </w:rPr>
        <w:t>Incluso, de las constancias que obran en autos, en concreto, la demanda ante la instancia local, se advierte que la actora en la instancia local señala que ha presentado cinco medios de impugnación por las acciones y omisiones que le atribuye a los integrantes del ayuntamiento, asimismo, se localizaron trece medios de impugnación a nivel federal presentados por la promovente (dos en dos mil veinte y once en dos mil diecinueve), por lo que no se advierte alguna posible justificación para que en esta ocasión hubiese promovido por conducto de su autorizado</w:t>
      </w:r>
      <w:r w:rsidRPr="008D5EC4">
        <w:rPr>
          <w:rFonts w:cs="Arial"/>
          <w:sz w:val="24"/>
          <w:szCs w:val="24"/>
        </w:rPr>
        <w:t>.</w:t>
      </w:r>
    </w:p>
    <w:p w:rsidR="001D19E5" w:rsidRPr="008D5EC4" w:rsidRDefault="001D19E5" w:rsidP="001D19E5">
      <w:pPr>
        <w:tabs>
          <w:tab w:val="left" w:pos="1215"/>
        </w:tabs>
        <w:spacing w:before="100" w:beforeAutospacing="1" w:after="100" w:afterAutospacing="1" w:line="360" w:lineRule="auto"/>
        <w:jc w:val="both"/>
        <w:rPr>
          <w:rFonts w:eastAsia="Calibri" w:cs="Arial"/>
          <w:sz w:val="24"/>
          <w:szCs w:val="24"/>
        </w:rPr>
      </w:pPr>
      <w:r w:rsidRPr="008D5EC4">
        <w:rPr>
          <w:rFonts w:eastAsia="Calibri" w:cs="Arial"/>
          <w:sz w:val="24"/>
          <w:szCs w:val="24"/>
        </w:rPr>
        <w:t xml:space="preserve">Por lo que la falta de legitimación para promover el juicio conllevaría al </w:t>
      </w:r>
      <w:proofErr w:type="spellStart"/>
      <w:r w:rsidRPr="008D5EC4">
        <w:rPr>
          <w:rFonts w:eastAsia="Calibri" w:cs="Arial"/>
          <w:sz w:val="24"/>
          <w:szCs w:val="24"/>
        </w:rPr>
        <w:t>desechamiento</w:t>
      </w:r>
      <w:proofErr w:type="spellEnd"/>
      <w:r w:rsidRPr="008D5EC4">
        <w:rPr>
          <w:rFonts w:eastAsia="Calibri" w:cs="Arial"/>
          <w:sz w:val="24"/>
          <w:szCs w:val="24"/>
        </w:rPr>
        <w:t xml:space="preserve"> de plano de la demanda, razón por la cual resulta innecesario el reencauzamiento ordenado en tanto que no llevará a ningún fin práctico.</w:t>
      </w:r>
    </w:p>
    <w:p w:rsidR="001D19E5" w:rsidRPr="008D5EC4" w:rsidRDefault="001D19E5" w:rsidP="001D19E5">
      <w:pPr>
        <w:tabs>
          <w:tab w:val="left" w:pos="1215"/>
        </w:tabs>
        <w:spacing w:before="100" w:beforeAutospacing="1" w:after="100" w:afterAutospacing="1" w:line="360" w:lineRule="auto"/>
        <w:jc w:val="both"/>
        <w:rPr>
          <w:rFonts w:cs="Arial"/>
          <w:sz w:val="24"/>
          <w:szCs w:val="24"/>
        </w:rPr>
      </w:pPr>
      <w:r w:rsidRPr="008D5EC4">
        <w:rPr>
          <w:rFonts w:eastAsia="Calibri" w:cs="Arial"/>
          <w:sz w:val="24"/>
          <w:szCs w:val="24"/>
        </w:rPr>
        <w:t xml:space="preserve">De esta manera </w:t>
      </w:r>
      <w:r w:rsidRPr="008D5EC4">
        <w:rPr>
          <w:rFonts w:cs="Arial"/>
          <w:sz w:val="24"/>
          <w:szCs w:val="24"/>
        </w:rPr>
        <w:t>desde nuestra postura, lo correcto sería que la Sala Regional Xalapa resolviera la controversia de la actora dado que no se actualiza la competencia de esta Sala Superior y no es necesaria la emisión de una norma de carácter general para que se alcance la pretensión de la actora y, en todo caso, el juicio electoral sería improcedente.</w:t>
      </w:r>
    </w:p>
    <w:p w:rsidR="001D19E5" w:rsidRPr="008D5EC4" w:rsidRDefault="001D19E5" w:rsidP="001D19E5">
      <w:pPr>
        <w:spacing w:before="100" w:beforeAutospacing="1" w:after="100" w:afterAutospacing="1" w:line="360" w:lineRule="auto"/>
        <w:jc w:val="both"/>
        <w:rPr>
          <w:rFonts w:cs="Arial"/>
          <w:b/>
          <w:bCs/>
          <w:sz w:val="24"/>
          <w:szCs w:val="24"/>
        </w:rPr>
      </w:pPr>
      <w:r w:rsidRPr="008D5EC4">
        <w:rPr>
          <w:rFonts w:cs="Arial"/>
          <w:b/>
          <w:bCs/>
          <w:sz w:val="24"/>
          <w:szCs w:val="24"/>
        </w:rPr>
        <w:t>c. La sentencia aprobada va más allá de la pretensión real del actor</w:t>
      </w:r>
    </w:p>
    <w:p w:rsidR="001D19E5" w:rsidRPr="008D5EC4" w:rsidRDefault="001D19E5" w:rsidP="001D19E5">
      <w:pPr>
        <w:tabs>
          <w:tab w:val="left" w:pos="1215"/>
        </w:tabs>
        <w:spacing w:before="100" w:beforeAutospacing="1" w:after="100" w:afterAutospacing="1" w:line="360" w:lineRule="auto"/>
        <w:jc w:val="both"/>
        <w:rPr>
          <w:rFonts w:eastAsia="Calibri" w:cs="Arial"/>
          <w:sz w:val="24"/>
          <w:szCs w:val="24"/>
        </w:rPr>
      </w:pPr>
      <w:r w:rsidRPr="008D5EC4">
        <w:rPr>
          <w:rFonts w:cs="Arial"/>
          <w:sz w:val="24"/>
          <w:szCs w:val="24"/>
        </w:rPr>
        <w:t>C</w:t>
      </w:r>
      <w:r w:rsidRPr="008D5EC4">
        <w:rPr>
          <w:rFonts w:eastAsia="Calibri" w:cs="Arial"/>
          <w:sz w:val="24"/>
          <w:szCs w:val="24"/>
        </w:rPr>
        <w:t xml:space="preserve">onviene señalar que la solución de fondo que se aprobó en el juicio electoral también genera dudas respecto de su factibilidad, esto porque se ordena implementar un sistema de notificaciones electrónicas </w:t>
      </w:r>
      <w:r w:rsidRPr="008D5EC4">
        <w:rPr>
          <w:rFonts w:cs="Arial"/>
          <w:sz w:val="24"/>
          <w:szCs w:val="24"/>
        </w:rPr>
        <w:t xml:space="preserve">lo que se traduce en instaurar una política institucional en un contexto de restricciones sanitarias y presupuestales, precisamente por la situación excepcional que acontece y que además de derivar en reglas precipitadas podrían implicar un riesgo innecesario para el personal técnico y operativo del Tribunal local, cuando el problema legal es en torno a un caso concreto. Por ello es por lo que no encontramos proporcional ni necesario abordar el problema legal de la manera en que se propone. </w:t>
      </w:r>
    </w:p>
    <w:p w:rsidR="001D19E5" w:rsidRPr="008D5EC4" w:rsidRDefault="001D19E5" w:rsidP="001D19E5">
      <w:pPr>
        <w:spacing w:before="100" w:beforeAutospacing="1" w:after="100" w:afterAutospacing="1" w:line="360" w:lineRule="auto"/>
        <w:jc w:val="both"/>
        <w:rPr>
          <w:rFonts w:cs="Arial"/>
          <w:sz w:val="24"/>
          <w:szCs w:val="24"/>
        </w:rPr>
      </w:pPr>
      <w:r w:rsidRPr="008D5EC4">
        <w:rPr>
          <w:rFonts w:cs="Arial"/>
          <w:sz w:val="24"/>
          <w:szCs w:val="24"/>
        </w:rPr>
        <w:t>En efecto, como dejamos precisado en apartados que anteceden, el acto reclamado destacado es el acuerdo de once de marzo por el que se negó autorizar un correo electrónico para realizar notificaciones por esta vía y si bien se duele de la omisión del Tribunal local de regular e implementar un sistema de notificaciones electrónicas de conformidad con lo establecido en el artículo 9, párrafo 3, de la Ley de Medios local, lo cierto es que ese planteamiento se hace valer como motivo de agravio y no como acto reclamado destacado.</w:t>
      </w:r>
    </w:p>
    <w:p w:rsidR="001D19E5" w:rsidRPr="008D5EC4" w:rsidRDefault="001D19E5" w:rsidP="001D19E5">
      <w:pPr>
        <w:spacing w:before="100" w:beforeAutospacing="1" w:after="100" w:afterAutospacing="1" w:line="360" w:lineRule="auto"/>
        <w:jc w:val="both"/>
        <w:rPr>
          <w:rFonts w:cs="Arial"/>
          <w:sz w:val="24"/>
          <w:szCs w:val="24"/>
          <w:lang w:val="es-ES_tradnl"/>
        </w:rPr>
      </w:pPr>
      <w:r w:rsidRPr="008D5EC4">
        <w:rPr>
          <w:rFonts w:cs="Arial"/>
          <w:sz w:val="24"/>
          <w:szCs w:val="24"/>
          <w:lang w:val="es-ES_tradnl"/>
        </w:rPr>
        <w:t>Por tanto, a consideración de los suscritos, en la sentencia aprobada por la mayoría se está yendo más allá de lo solicitado por el actor, haciendo un único estudio de la omisión del Tribunal local y ordenándole de manera oficiosa que emita</w:t>
      </w:r>
      <w:r w:rsidRPr="008D5EC4">
        <w:rPr>
          <w:rFonts w:eastAsia="Times New Roman" w:cs="Arial"/>
          <w:sz w:val="24"/>
          <w:szCs w:val="24"/>
          <w:lang w:eastAsia="es-MX"/>
        </w:rPr>
        <w:t xml:space="preserve"> </w:t>
      </w:r>
      <w:r w:rsidRPr="008D5EC4">
        <w:rPr>
          <w:rFonts w:eastAsia="Times New Roman" w:cs="Arial"/>
          <w:b/>
          <w:sz w:val="24"/>
          <w:szCs w:val="24"/>
          <w:lang w:eastAsia="es-MX"/>
        </w:rPr>
        <w:t xml:space="preserve">a la brevedad </w:t>
      </w:r>
      <w:r w:rsidRPr="008D5EC4">
        <w:rPr>
          <w:rFonts w:eastAsia="Times New Roman" w:cs="Arial"/>
          <w:sz w:val="24"/>
          <w:szCs w:val="24"/>
          <w:lang w:eastAsia="es-MX"/>
        </w:rPr>
        <w:t>la regulación por la que implemente las notificaciones electrónicas de sus acuerdos, resoluciones y sentencias, hasta que se contenga la pandemia de coronavirus, Covid-19, o lo que determine conforme a sus atribuciones</w:t>
      </w:r>
      <w:r w:rsidRPr="008D5EC4">
        <w:rPr>
          <w:rFonts w:cs="Arial"/>
          <w:sz w:val="24"/>
          <w:szCs w:val="24"/>
          <w:lang w:val="es-ES_tradnl"/>
        </w:rPr>
        <w:t>.</w:t>
      </w:r>
    </w:p>
    <w:p w:rsidR="001D19E5" w:rsidRPr="008D5EC4" w:rsidRDefault="001D19E5" w:rsidP="001D19E5">
      <w:pPr>
        <w:spacing w:before="100" w:beforeAutospacing="1" w:after="100" w:afterAutospacing="1" w:line="360" w:lineRule="auto"/>
        <w:jc w:val="both"/>
        <w:rPr>
          <w:rFonts w:cs="Arial"/>
          <w:sz w:val="24"/>
          <w:szCs w:val="24"/>
        </w:rPr>
      </w:pPr>
      <w:r w:rsidRPr="008D5EC4">
        <w:rPr>
          <w:rFonts w:cs="Arial"/>
          <w:sz w:val="24"/>
          <w:szCs w:val="24"/>
          <w:lang w:val="es-ES_tradnl"/>
        </w:rPr>
        <w:t xml:space="preserve">Además de que no se comparte la metodología de análisis de la sentencia aprobada, en tanto que en ninguna parte se hace cargo del acuerdo reclamado, esto es, </w:t>
      </w:r>
      <w:r w:rsidRPr="008D5EC4">
        <w:rPr>
          <w:rFonts w:cs="Arial"/>
          <w:sz w:val="24"/>
          <w:szCs w:val="24"/>
        </w:rPr>
        <w:t>el proveído de once de marzo por el que la magistrada instructora del Tribunal local acordó que no era viable autorizar la cuenta de correo electrónico precisada por la actora ante esa instancia.</w:t>
      </w:r>
    </w:p>
    <w:p w:rsidR="001D19E5" w:rsidRPr="008D5EC4" w:rsidRDefault="001D19E5" w:rsidP="001D19E5">
      <w:pPr>
        <w:spacing w:before="100" w:beforeAutospacing="1" w:after="100" w:afterAutospacing="1" w:line="360" w:lineRule="auto"/>
        <w:jc w:val="both"/>
        <w:rPr>
          <w:rFonts w:cs="Arial"/>
          <w:sz w:val="24"/>
          <w:szCs w:val="24"/>
          <w:lang w:val="es-ES_tradnl"/>
        </w:rPr>
      </w:pPr>
      <w:r w:rsidRPr="008D5EC4">
        <w:rPr>
          <w:rFonts w:cs="Arial"/>
          <w:sz w:val="24"/>
          <w:szCs w:val="24"/>
        </w:rPr>
        <w:t xml:space="preserve">En específico, </w:t>
      </w:r>
      <w:r w:rsidRPr="008D5EC4">
        <w:rPr>
          <w:rFonts w:cs="Arial"/>
          <w:sz w:val="24"/>
          <w:szCs w:val="24"/>
          <w:lang w:val="es-ES_tradnl"/>
        </w:rPr>
        <w:t>no señala por qué el juicio sería procedente en contra de dicho acto, en particular, por qué el acuerdo de una magistrada instructora constituye un acto definitivo.</w:t>
      </w:r>
    </w:p>
    <w:p w:rsidR="001D19E5" w:rsidRPr="008D5EC4" w:rsidRDefault="001D19E5" w:rsidP="001D19E5">
      <w:pPr>
        <w:spacing w:before="100" w:beforeAutospacing="1" w:after="100" w:afterAutospacing="1" w:line="360" w:lineRule="auto"/>
        <w:jc w:val="both"/>
        <w:rPr>
          <w:rFonts w:cs="Arial"/>
          <w:sz w:val="24"/>
          <w:szCs w:val="24"/>
          <w:lang w:val="es-ES_tradnl"/>
        </w:rPr>
      </w:pPr>
      <w:r w:rsidRPr="008D5EC4">
        <w:rPr>
          <w:rFonts w:cs="Arial"/>
          <w:sz w:val="24"/>
          <w:szCs w:val="24"/>
          <w:lang w:val="es-ES_tradnl"/>
        </w:rPr>
        <w:t>Asimismo, se omite el estudio de los agravios de la demanda relativos a la indebida fundamentación y motivación del acuerdo reclamado, sin que se justifique por qué resultaba innecesario su estudio.</w:t>
      </w:r>
    </w:p>
    <w:p w:rsidR="001D19E5" w:rsidRPr="008D5EC4" w:rsidRDefault="001D19E5" w:rsidP="001D19E5">
      <w:pPr>
        <w:spacing w:before="100" w:beforeAutospacing="1" w:after="100" w:afterAutospacing="1" w:line="360" w:lineRule="auto"/>
        <w:jc w:val="both"/>
        <w:rPr>
          <w:rFonts w:cs="Arial"/>
          <w:sz w:val="24"/>
          <w:szCs w:val="24"/>
          <w:lang w:val="es-ES_tradnl"/>
        </w:rPr>
      </w:pPr>
      <w:r w:rsidRPr="008D5EC4">
        <w:rPr>
          <w:rFonts w:cs="Arial"/>
          <w:sz w:val="24"/>
          <w:szCs w:val="24"/>
          <w:lang w:val="es-ES_tradnl"/>
        </w:rPr>
        <w:t xml:space="preserve">No obstante la falta de estudio de los agravios planteados respecto al acuerdo reclamado y que el proyecto se enfocó únicamente a si existía una omisión por parte del Tribunal local, en los efectos se ordena </w:t>
      </w:r>
      <w:r w:rsidRPr="008D5EC4">
        <w:rPr>
          <w:rFonts w:eastAsia="Times New Roman" w:cs="Arial"/>
          <w:sz w:val="24"/>
          <w:szCs w:val="24"/>
          <w:lang w:eastAsia="es-MX"/>
        </w:rPr>
        <w:t>recabar la voluntad de la promovente sobre si desea recibir todas las notificaciones de los acuerdos o resoluciones que a la fecha ya se hayan dictado en el juicio local, para que se les realice vía electrónica, sin precisar si sería a través del correo electrónico personal que proporcionó o si tendría que esperarse a la regulación que se emita por el órgano jurisdiccional local.</w:t>
      </w:r>
    </w:p>
    <w:p w:rsidR="001D19E5" w:rsidRPr="008D5EC4" w:rsidRDefault="001D19E5" w:rsidP="001D19E5">
      <w:pPr>
        <w:spacing w:before="100" w:beforeAutospacing="1" w:after="100" w:afterAutospacing="1" w:line="360" w:lineRule="auto"/>
        <w:jc w:val="both"/>
        <w:rPr>
          <w:rFonts w:cs="Arial"/>
          <w:sz w:val="24"/>
          <w:szCs w:val="24"/>
        </w:rPr>
      </w:pPr>
      <w:r w:rsidRPr="008D5EC4">
        <w:rPr>
          <w:rFonts w:cs="Arial"/>
          <w:sz w:val="24"/>
          <w:szCs w:val="24"/>
        </w:rPr>
        <w:t>Finalmente, estimamos también que la decisión de la mayoría no se hace cargo de la principal objeción del Tribunal local para no implementar este tipo de notificaciones, la falta de presupuesto, ya que se limita a hacer afirmaciones genéricas en el sentido de que no es un sistema costoso y que incluso puede generar ahorros sin tomar en cuenta ni hacerse mayor análisis de las condiciones institucionales y técnicas del Tribunal para implementar, en plena contingencia sanitaria, un sistema de notificaciones del que hasta ahora solo la actora reclama su aplicación.</w:t>
      </w:r>
    </w:p>
    <w:p w:rsidR="001D19E5" w:rsidRPr="008D5EC4" w:rsidRDefault="001D19E5" w:rsidP="001D19E5">
      <w:pPr>
        <w:pStyle w:val="NormalWeb"/>
        <w:spacing w:line="360" w:lineRule="auto"/>
        <w:jc w:val="both"/>
        <w:rPr>
          <w:rFonts w:ascii="Arial" w:hAnsi="Arial" w:cs="Arial"/>
          <w:b/>
        </w:rPr>
      </w:pPr>
      <w:r w:rsidRPr="008D5EC4">
        <w:rPr>
          <w:rFonts w:ascii="Arial" w:hAnsi="Arial" w:cs="Arial"/>
          <w:b/>
        </w:rPr>
        <w:t xml:space="preserve">IV. Conclusión </w:t>
      </w:r>
    </w:p>
    <w:p w:rsidR="001D19E5" w:rsidRPr="008D5EC4" w:rsidRDefault="001D19E5" w:rsidP="001D19E5">
      <w:pPr>
        <w:spacing w:before="100" w:beforeAutospacing="1" w:after="100" w:afterAutospacing="1" w:line="360" w:lineRule="auto"/>
        <w:jc w:val="both"/>
        <w:rPr>
          <w:rFonts w:cs="Arial"/>
          <w:sz w:val="24"/>
          <w:szCs w:val="24"/>
        </w:rPr>
      </w:pPr>
      <w:r w:rsidRPr="008D5EC4">
        <w:rPr>
          <w:rFonts w:cs="Arial"/>
          <w:sz w:val="24"/>
          <w:szCs w:val="24"/>
        </w:rPr>
        <w:t xml:space="preserve">Conforme a lo anterior, arribamos a la conclusión de que </w:t>
      </w:r>
      <w:bookmarkStart w:id="31" w:name="_Hlk37929513"/>
      <w:r w:rsidRPr="008D5EC4">
        <w:rPr>
          <w:rFonts w:cs="Arial"/>
          <w:sz w:val="24"/>
          <w:szCs w:val="24"/>
        </w:rPr>
        <w:t xml:space="preserve">la demanda que originó la radicación de los expedientes en el índice de esta Sala Superior, en realidad  corresponde conocer y resolver a la Sala Regional Xalapa, ya que el acto destacado que se reclama es un acuerdo por el que se negó la solicitud de autorizar una cuenta de correo electrónico para recibir notificaciones y porque la temática de la instancia local se vincula con el ejercicio del cargo de una </w:t>
      </w:r>
      <w:r w:rsidRPr="008D5EC4">
        <w:rPr>
          <w:rFonts w:cs="Arial"/>
          <w:bCs/>
          <w:iCs/>
          <w:sz w:val="24"/>
          <w:szCs w:val="24"/>
          <w:lang w:val="es-ES_tradnl"/>
        </w:rPr>
        <w:t>regidora municipal</w:t>
      </w:r>
      <w:bookmarkEnd w:id="31"/>
      <w:r w:rsidRPr="008D5EC4">
        <w:rPr>
          <w:rFonts w:cs="Arial"/>
          <w:bCs/>
          <w:iCs/>
          <w:sz w:val="24"/>
          <w:szCs w:val="24"/>
          <w:lang w:val="es-ES_tradnl"/>
        </w:rPr>
        <w:t xml:space="preserve"> sin que se advierta la necesidad de emitir normas de carácter general para resolver la controversia.</w:t>
      </w:r>
    </w:p>
    <w:p w:rsidR="001D19E5" w:rsidRPr="008D5EC4" w:rsidRDefault="001D19E5" w:rsidP="001D19E5">
      <w:pPr>
        <w:spacing w:before="100" w:beforeAutospacing="1" w:after="100" w:afterAutospacing="1" w:line="360" w:lineRule="auto"/>
        <w:jc w:val="both"/>
        <w:rPr>
          <w:rFonts w:cs="Arial"/>
          <w:sz w:val="24"/>
          <w:szCs w:val="24"/>
        </w:rPr>
      </w:pPr>
      <w:r w:rsidRPr="008D5EC4">
        <w:rPr>
          <w:rFonts w:cs="Arial"/>
          <w:sz w:val="24"/>
          <w:szCs w:val="24"/>
        </w:rPr>
        <w:t xml:space="preserve">Asimismo, estimamos que ningún fin práctico tiene reencauzar el asunto a juicio electoral, en tanto que el asunto resulta notoria y manifiestamente improcedente al carecer de legitimación procesal activa quien suscribió la demanda, o bien, debió declararse improcedente el juicio electoral y, por tanto, desecharse de plano, </w:t>
      </w:r>
      <w:r w:rsidRPr="008D5EC4">
        <w:rPr>
          <w:rFonts w:eastAsia="Arial Unicode MS" w:cs="Arial"/>
          <w:bCs/>
          <w:sz w:val="24"/>
          <w:szCs w:val="24"/>
        </w:rPr>
        <w:t>ante la falta de un documento que acredite de forma fehaciente la representación legal de Pedro Miguel Barrita López como apoderado de la promovente.</w:t>
      </w:r>
    </w:p>
    <w:p w:rsidR="001D19E5" w:rsidRDefault="001D19E5" w:rsidP="001D19E5">
      <w:pPr>
        <w:pStyle w:val="NormalWeb"/>
        <w:spacing w:before="0" w:beforeAutospacing="0" w:after="0" w:afterAutospacing="0"/>
        <w:jc w:val="both"/>
        <w:rPr>
          <w:rFonts w:ascii="Arial" w:hAnsi="Arial" w:cs="Arial"/>
        </w:rPr>
      </w:pPr>
      <w:r w:rsidRPr="008D5EC4">
        <w:rPr>
          <w:rFonts w:ascii="Arial" w:hAnsi="Arial" w:cs="Arial"/>
        </w:rPr>
        <w:t>Con base en las ideas desarrolladas, formulamos el presente voto particular.</w:t>
      </w:r>
    </w:p>
    <w:p w:rsidR="006338DB" w:rsidRPr="008D5EC4" w:rsidRDefault="006338DB" w:rsidP="001D19E5">
      <w:pPr>
        <w:pStyle w:val="NormalWeb"/>
        <w:spacing w:before="0" w:beforeAutospacing="0" w:after="0" w:afterAutospacing="0"/>
        <w:jc w:val="both"/>
        <w:rPr>
          <w:rFonts w:ascii="Arial" w:hAnsi="Arial" w:cs="Arial"/>
          <w:b/>
        </w:rPr>
      </w:pPr>
    </w:p>
    <w:p w:rsidR="009602EB" w:rsidRPr="00A55F4D" w:rsidRDefault="006338DB" w:rsidP="00A55F4D">
      <w:pPr>
        <w:spacing w:line="360" w:lineRule="auto"/>
        <w:jc w:val="both"/>
        <w:rPr>
          <w:rFonts w:cs="Arial"/>
          <w:sz w:val="24"/>
          <w:szCs w:val="24"/>
        </w:rPr>
      </w:pPr>
      <w:bookmarkStart w:id="32" w:name="_Hlk38013615"/>
      <w:bookmarkStart w:id="33" w:name="_Hlk38013993"/>
      <w:r w:rsidRPr="00A55F4D">
        <w:rPr>
          <w:rFonts w:cs="Arial"/>
          <w:sz w:val="24"/>
          <w:szCs w:val="24"/>
        </w:rPr>
        <w:t xml:space="preserve">Este documento es una representación gráfica autorizada mediante </w:t>
      </w:r>
      <w:bookmarkStart w:id="34" w:name="_Hlk38015046"/>
      <w:r w:rsidRPr="00A55F4D">
        <w:rPr>
          <w:rFonts w:cs="Arial"/>
          <w:sz w:val="24"/>
          <w:szCs w:val="24"/>
        </w:rPr>
        <w:t>firmas electrónicas certificadas</w:t>
      </w:r>
      <w:bookmarkEnd w:id="34"/>
      <w:r w:rsidRPr="00A55F4D">
        <w:rPr>
          <w:rFonts w:cs="Arial"/>
          <w:sz w:val="24"/>
          <w:szCs w:val="24"/>
        </w:rPr>
        <w:t xml:space="preserve">, el cual tiene plena validez jurídica de conformidad con los numerales segundo y cuarto del Acuerdo General de la Sala Superior del Tribunal Electoral del Poder Judicial de la Federación 3/2020, por el que se implementa la firma electrónica certificada del Poder Judicial de la Federación en los acuerdos, resoluciones y sentencias que se dicten con motivo del trámite, turno, sustanciación y resolución de los medios de impugnación en materia electoral. </w:t>
      </w:r>
      <w:bookmarkEnd w:id="32"/>
      <w:bookmarkEnd w:id="33"/>
    </w:p>
    <w:p w:rsidR="00586CDC" w:rsidRPr="003E7D28" w:rsidRDefault="00586CDC" w:rsidP="00910A18">
      <w:pPr>
        <w:spacing w:before="100" w:beforeAutospacing="1" w:after="100" w:afterAutospacing="1" w:line="360" w:lineRule="auto"/>
        <w:jc w:val="both"/>
        <w:rPr>
          <w:rFonts w:eastAsia="Times New Roman" w:cs="Arial"/>
          <w:sz w:val="24"/>
          <w:szCs w:val="24"/>
          <w:lang w:eastAsia="es-MX"/>
        </w:rPr>
      </w:pPr>
    </w:p>
    <w:sectPr w:rsidR="00586CDC" w:rsidRPr="003E7D28" w:rsidSect="00B1451F">
      <w:pgSz w:w="12240" w:h="18720" w:code="14"/>
      <w:pgMar w:top="2552" w:right="1418" w:bottom="1418" w:left="2552" w:header="1559" w:footer="121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05A" w:rsidRDefault="009B005A" w:rsidP="00D41F45">
      <w:r>
        <w:separator/>
      </w:r>
    </w:p>
  </w:endnote>
  <w:endnote w:type="continuationSeparator" w:id="0">
    <w:p w:rsidR="009B005A" w:rsidRDefault="009B005A" w:rsidP="00D4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032" w:rsidRDefault="00B42032" w:rsidP="00675766">
    <w:pPr>
      <w:pStyle w:val="Piedepgina"/>
      <w:spacing w:before="120"/>
      <w:jc w:val="center"/>
    </w:pPr>
  </w:p>
  <w:sdt>
    <w:sdtPr>
      <w:id w:val="73874612"/>
      <w:docPartObj>
        <w:docPartGallery w:val="Page Numbers (Bottom of Page)"/>
        <w:docPartUnique/>
      </w:docPartObj>
    </w:sdtPr>
    <w:sdtEndPr>
      <w:rPr>
        <w:sz w:val="24"/>
        <w:szCs w:val="24"/>
      </w:rPr>
    </w:sdtEndPr>
    <w:sdtContent>
      <w:p w:rsidR="00B42032" w:rsidRPr="005C2AD3" w:rsidRDefault="00B42032" w:rsidP="00675766">
        <w:pPr>
          <w:pStyle w:val="Piedepgina"/>
          <w:spacing w:before="120"/>
          <w:jc w:val="center"/>
          <w:rPr>
            <w:sz w:val="24"/>
            <w:szCs w:val="24"/>
          </w:rPr>
        </w:pPr>
        <w:r w:rsidRPr="005C2AD3">
          <w:rPr>
            <w:sz w:val="24"/>
            <w:szCs w:val="24"/>
          </w:rPr>
          <w:fldChar w:fldCharType="begin"/>
        </w:r>
        <w:r w:rsidRPr="005C2AD3">
          <w:rPr>
            <w:sz w:val="24"/>
            <w:szCs w:val="24"/>
          </w:rPr>
          <w:instrText>PAGE   \* MERGEFORMAT</w:instrText>
        </w:r>
        <w:r w:rsidRPr="005C2AD3">
          <w:rPr>
            <w:sz w:val="24"/>
            <w:szCs w:val="24"/>
          </w:rPr>
          <w:fldChar w:fldCharType="separate"/>
        </w:r>
        <w:r w:rsidRPr="008D1478">
          <w:rPr>
            <w:noProof/>
            <w:sz w:val="24"/>
            <w:szCs w:val="24"/>
            <w:lang w:val="es-ES"/>
          </w:rPr>
          <w:t>10</w:t>
        </w:r>
        <w:r w:rsidRPr="005C2AD3">
          <w:rPr>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2053255"/>
      <w:docPartObj>
        <w:docPartGallery w:val="Page Numbers (Bottom of Page)"/>
        <w:docPartUnique/>
      </w:docPartObj>
    </w:sdtPr>
    <w:sdtEndPr>
      <w:rPr>
        <w:sz w:val="24"/>
        <w:szCs w:val="24"/>
      </w:rPr>
    </w:sdtEndPr>
    <w:sdtContent>
      <w:p w:rsidR="00B42032" w:rsidRDefault="00B42032" w:rsidP="00675766">
        <w:pPr>
          <w:pStyle w:val="Piedepgina"/>
          <w:spacing w:before="120"/>
          <w:jc w:val="center"/>
        </w:pPr>
      </w:p>
      <w:p w:rsidR="00B42032" w:rsidRPr="005C2AD3" w:rsidRDefault="00B42032" w:rsidP="00675766">
        <w:pPr>
          <w:pStyle w:val="Piedepgina"/>
          <w:spacing w:before="120"/>
          <w:jc w:val="center"/>
          <w:rPr>
            <w:sz w:val="24"/>
            <w:szCs w:val="24"/>
          </w:rPr>
        </w:pPr>
        <w:r w:rsidRPr="005C2AD3">
          <w:rPr>
            <w:sz w:val="24"/>
            <w:szCs w:val="24"/>
          </w:rPr>
          <w:fldChar w:fldCharType="begin"/>
        </w:r>
        <w:r w:rsidRPr="005C2AD3">
          <w:rPr>
            <w:sz w:val="24"/>
            <w:szCs w:val="24"/>
          </w:rPr>
          <w:instrText>PAGE   \* MERGEFORMAT</w:instrText>
        </w:r>
        <w:r w:rsidRPr="005C2AD3">
          <w:rPr>
            <w:sz w:val="24"/>
            <w:szCs w:val="24"/>
          </w:rPr>
          <w:fldChar w:fldCharType="separate"/>
        </w:r>
        <w:r w:rsidRPr="008D1478">
          <w:rPr>
            <w:noProof/>
            <w:sz w:val="24"/>
            <w:szCs w:val="24"/>
            <w:lang w:val="es-ES"/>
          </w:rPr>
          <w:t>9</w:t>
        </w:r>
        <w:r w:rsidRPr="005C2AD3">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032" w:rsidRPr="00222671" w:rsidRDefault="00B42032" w:rsidP="00675766">
    <w:pPr>
      <w:pStyle w:val="Piedepgina"/>
      <w:tabs>
        <w:tab w:val="clear" w:pos="4252"/>
        <w:tab w:val="clear" w:pos="8504"/>
      </w:tabs>
      <w:jc w:val="right"/>
      <w:rPr>
        <w:rFonts w:cs="Arial"/>
        <w:b/>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05A" w:rsidRDefault="009B005A" w:rsidP="00D41F45">
      <w:r>
        <w:separator/>
      </w:r>
    </w:p>
  </w:footnote>
  <w:footnote w:type="continuationSeparator" w:id="0">
    <w:p w:rsidR="009B005A" w:rsidRDefault="009B005A" w:rsidP="00D41F45">
      <w:r>
        <w:continuationSeparator/>
      </w:r>
    </w:p>
  </w:footnote>
  <w:footnote w:id="1">
    <w:p w:rsidR="00B42032" w:rsidRPr="00731A1D" w:rsidRDefault="00B42032" w:rsidP="00731A1D">
      <w:pPr>
        <w:pStyle w:val="Textonotapie"/>
        <w:jc w:val="both"/>
        <w:rPr>
          <w:rFonts w:cs="Arial"/>
          <w:sz w:val="18"/>
          <w:szCs w:val="18"/>
        </w:rPr>
      </w:pPr>
      <w:r w:rsidRPr="00731A1D">
        <w:rPr>
          <w:rStyle w:val="Refdenotaalpie"/>
          <w:rFonts w:cs="Arial"/>
          <w:sz w:val="18"/>
          <w:szCs w:val="18"/>
        </w:rPr>
        <w:footnoteRef/>
      </w:r>
      <w:r w:rsidRPr="00731A1D">
        <w:rPr>
          <w:rFonts w:cs="Arial"/>
          <w:sz w:val="18"/>
          <w:szCs w:val="18"/>
        </w:rPr>
        <w:t xml:space="preserve"> Secretari</w:t>
      </w:r>
      <w:r w:rsidR="004209B8" w:rsidRPr="00731A1D">
        <w:rPr>
          <w:rFonts w:cs="Arial"/>
          <w:sz w:val="18"/>
          <w:szCs w:val="18"/>
        </w:rPr>
        <w:t>ado</w:t>
      </w:r>
      <w:r w:rsidRPr="00731A1D">
        <w:rPr>
          <w:rFonts w:cs="Arial"/>
          <w:sz w:val="18"/>
          <w:szCs w:val="18"/>
        </w:rPr>
        <w:t>:</w:t>
      </w:r>
      <w:r w:rsidR="000F22CB">
        <w:rPr>
          <w:rFonts w:cs="Arial"/>
          <w:sz w:val="18"/>
          <w:szCs w:val="18"/>
        </w:rPr>
        <w:t xml:space="preserve"> </w:t>
      </w:r>
      <w:r w:rsidR="00B0238E" w:rsidRPr="00731A1D">
        <w:rPr>
          <w:rFonts w:cs="Arial"/>
          <w:sz w:val="18"/>
          <w:szCs w:val="18"/>
        </w:rPr>
        <w:t>Nancy Correa Alfaro</w:t>
      </w:r>
      <w:r w:rsidR="000F22CB">
        <w:rPr>
          <w:rFonts w:cs="Arial"/>
          <w:sz w:val="18"/>
          <w:szCs w:val="18"/>
        </w:rPr>
        <w:t>,</w:t>
      </w:r>
      <w:r w:rsidR="00B0238E" w:rsidRPr="00731A1D">
        <w:rPr>
          <w:rFonts w:cs="Arial"/>
          <w:sz w:val="18"/>
          <w:szCs w:val="18"/>
        </w:rPr>
        <w:t xml:space="preserve"> </w:t>
      </w:r>
      <w:r w:rsidR="000F22CB">
        <w:rPr>
          <w:rFonts w:cs="Arial"/>
          <w:sz w:val="18"/>
          <w:szCs w:val="18"/>
        </w:rPr>
        <w:t>Fernando Ramírez Barrios</w:t>
      </w:r>
      <w:r w:rsidR="000F22CB" w:rsidRPr="00731A1D">
        <w:rPr>
          <w:rFonts w:cs="Arial"/>
          <w:sz w:val="18"/>
          <w:szCs w:val="18"/>
        </w:rPr>
        <w:t xml:space="preserve"> </w:t>
      </w:r>
      <w:r w:rsidR="00B0238E" w:rsidRPr="00731A1D">
        <w:rPr>
          <w:rFonts w:cs="Arial"/>
          <w:sz w:val="18"/>
          <w:szCs w:val="18"/>
        </w:rPr>
        <w:t>y</w:t>
      </w:r>
      <w:r w:rsidR="006107D5" w:rsidRPr="00731A1D">
        <w:rPr>
          <w:rFonts w:cs="Arial"/>
          <w:sz w:val="18"/>
          <w:szCs w:val="18"/>
        </w:rPr>
        <w:t xml:space="preserve"> </w:t>
      </w:r>
      <w:r w:rsidR="00C4171F" w:rsidRPr="00731A1D">
        <w:rPr>
          <w:rFonts w:cs="Arial"/>
          <w:sz w:val="18"/>
          <w:szCs w:val="18"/>
        </w:rPr>
        <w:t>Héctor C</w:t>
      </w:r>
      <w:r w:rsidR="008E5695" w:rsidRPr="00731A1D">
        <w:rPr>
          <w:rFonts w:cs="Arial"/>
          <w:sz w:val="18"/>
          <w:szCs w:val="18"/>
        </w:rPr>
        <w:t xml:space="preserve">. </w:t>
      </w:r>
      <w:r w:rsidR="00C4171F" w:rsidRPr="00731A1D">
        <w:rPr>
          <w:rFonts w:cs="Arial"/>
          <w:sz w:val="18"/>
          <w:szCs w:val="18"/>
        </w:rPr>
        <w:t xml:space="preserve">Tejeda González. </w:t>
      </w:r>
    </w:p>
  </w:footnote>
  <w:footnote w:id="2">
    <w:p w:rsidR="007E380B" w:rsidRPr="00731A1D" w:rsidRDefault="007E380B" w:rsidP="00731A1D">
      <w:pPr>
        <w:pStyle w:val="Textonotapie"/>
        <w:jc w:val="both"/>
        <w:rPr>
          <w:rFonts w:cs="Arial"/>
          <w:sz w:val="18"/>
          <w:szCs w:val="18"/>
        </w:rPr>
      </w:pPr>
      <w:r w:rsidRPr="00731A1D">
        <w:rPr>
          <w:rStyle w:val="Refdenotaalpie"/>
          <w:rFonts w:cs="Arial"/>
          <w:sz w:val="18"/>
          <w:szCs w:val="18"/>
        </w:rPr>
        <w:footnoteRef/>
      </w:r>
      <w:r w:rsidRPr="00731A1D">
        <w:rPr>
          <w:rFonts w:cs="Arial"/>
          <w:sz w:val="18"/>
          <w:szCs w:val="18"/>
        </w:rPr>
        <w:t xml:space="preserve"> Salvo mención expresa todas las fechas corresponden a dos mil veinte.</w:t>
      </w:r>
    </w:p>
  </w:footnote>
  <w:footnote w:id="3">
    <w:p w:rsidR="00B409E7" w:rsidRPr="00731A1D" w:rsidRDefault="00B409E7" w:rsidP="00731A1D">
      <w:pPr>
        <w:pStyle w:val="Textonotapie"/>
        <w:jc w:val="both"/>
        <w:rPr>
          <w:rFonts w:cs="Arial"/>
          <w:sz w:val="18"/>
          <w:szCs w:val="18"/>
        </w:rPr>
      </w:pPr>
      <w:r w:rsidRPr="00731A1D">
        <w:rPr>
          <w:rStyle w:val="Refdenotaalpie"/>
          <w:rFonts w:cs="Arial"/>
          <w:sz w:val="18"/>
          <w:szCs w:val="18"/>
        </w:rPr>
        <w:footnoteRef/>
      </w:r>
      <w:r w:rsidRPr="00731A1D">
        <w:rPr>
          <w:rFonts w:cs="Arial"/>
          <w:sz w:val="18"/>
          <w:szCs w:val="18"/>
        </w:rPr>
        <w:t xml:space="preserve"> </w:t>
      </w:r>
      <w:r w:rsidRPr="00731A1D">
        <w:rPr>
          <w:rFonts w:cs="Arial"/>
          <w:sz w:val="18"/>
          <w:szCs w:val="18"/>
          <w:shd w:val="clear" w:color="auto" w:fill="FFFFFF"/>
        </w:rPr>
        <w:t>Con fundamento en lo dispuesto en los artículos 17, 41, párrafo segundo, base VI, y 99, párrafo cuarto, fracción X, de la Constitución; 184 y 189, fracción I, incisos d) y e), de la Ley Orgánica; 83 y 87 de la Ley de Medios; y los Lineamientos generales para la identificación e integración de expedientes del Tribunal Electoral del Poder Judicial de la Federación.</w:t>
      </w:r>
    </w:p>
  </w:footnote>
  <w:footnote w:id="4">
    <w:p w:rsidR="00750F8A" w:rsidRPr="00731A1D" w:rsidRDefault="00C02D3D" w:rsidP="00731A1D">
      <w:pPr>
        <w:shd w:val="clear" w:color="auto" w:fill="FFFFFF"/>
        <w:jc w:val="both"/>
        <w:rPr>
          <w:rFonts w:eastAsia="Times New Roman" w:cs="Arial"/>
          <w:sz w:val="18"/>
          <w:szCs w:val="18"/>
          <w:lang w:eastAsia="es-MX"/>
        </w:rPr>
      </w:pPr>
      <w:r w:rsidRPr="00731A1D">
        <w:rPr>
          <w:rStyle w:val="Refdenotaalpie"/>
          <w:rFonts w:cs="Arial"/>
          <w:sz w:val="18"/>
          <w:szCs w:val="18"/>
        </w:rPr>
        <w:footnoteRef/>
      </w:r>
      <w:r w:rsidRPr="00731A1D">
        <w:rPr>
          <w:rFonts w:cs="Arial"/>
          <w:sz w:val="18"/>
          <w:szCs w:val="18"/>
        </w:rPr>
        <w:t xml:space="preserve"> </w:t>
      </w:r>
      <w:r w:rsidR="00750F8A" w:rsidRPr="00731A1D">
        <w:rPr>
          <w:rFonts w:cs="Arial"/>
          <w:sz w:val="18"/>
          <w:szCs w:val="18"/>
        </w:rPr>
        <w:t>“</w:t>
      </w:r>
      <w:r w:rsidR="00750F8A" w:rsidRPr="00731A1D">
        <w:rPr>
          <w:rFonts w:eastAsia="Times New Roman" w:cs="Arial"/>
          <w:b/>
          <w:bCs/>
          <w:sz w:val="18"/>
          <w:szCs w:val="18"/>
          <w:lang w:eastAsia="es-MX"/>
        </w:rPr>
        <w:t>IV.</w:t>
      </w:r>
      <w:r w:rsidR="00750F8A" w:rsidRPr="00731A1D">
        <w:rPr>
          <w:rFonts w:eastAsia="Times New Roman" w:cs="Arial"/>
          <w:sz w:val="18"/>
          <w:szCs w:val="18"/>
          <w:lang w:eastAsia="es-MX"/>
        </w:rPr>
        <w:t> Se considera que pueden discutirse y resolverse de forma </w:t>
      </w:r>
      <w:r w:rsidR="00750F8A" w:rsidRPr="00731A1D">
        <w:rPr>
          <w:rFonts w:eastAsia="Times New Roman" w:cs="Arial"/>
          <w:b/>
          <w:bCs/>
          <w:sz w:val="18"/>
          <w:szCs w:val="18"/>
          <w:lang w:eastAsia="es-MX"/>
        </w:rPr>
        <w:t>no presencial </w:t>
      </w:r>
      <w:r w:rsidR="00750F8A" w:rsidRPr="00731A1D">
        <w:rPr>
          <w:rFonts w:eastAsia="Times New Roman" w:cs="Arial"/>
          <w:sz w:val="18"/>
          <w:szCs w:val="18"/>
          <w:lang w:eastAsia="es-MX"/>
        </w:rPr>
        <w:t>los asuntos previstos en el artículo 12 del Reglamento Interno de este Tribunal,</w:t>
      </w:r>
      <w:r w:rsidR="009602EB">
        <w:rPr>
          <w:rFonts w:eastAsia="Times New Roman" w:cs="Arial"/>
          <w:sz w:val="18"/>
          <w:szCs w:val="18"/>
          <w:lang w:eastAsia="es-MX"/>
        </w:rPr>
        <w:t xml:space="preserve"> </w:t>
      </w:r>
      <w:r w:rsidR="00750F8A" w:rsidRPr="00731A1D">
        <w:rPr>
          <w:rFonts w:eastAsia="Times New Roman" w:cs="Arial"/>
          <w:sz w:val="18"/>
          <w:szCs w:val="18"/>
          <w:lang w:eastAsia="es-MX"/>
        </w:rPr>
        <w:t>(2) aquellos que esta Sala Superior considere </w:t>
      </w:r>
      <w:r w:rsidR="00750F8A" w:rsidRPr="00731A1D">
        <w:rPr>
          <w:rFonts w:eastAsia="Times New Roman" w:cs="Arial"/>
          <w:b/>
          <w:bCs/>
          <w:sz w:val="18"/>
          <w:szCs w:val="18"/>
          <w:lang w:eastAsia="es-MX"/>
        </w:rPr>
        <w:t>urgentes</w:t>
      </w:r>
      <w:r w:rsidR="00750F8A" w:rsidRPr="00731A1D">
        <w:rPr>
          <w:rFonts w:eastAsia="Times New Roman" w:cs="Arial"/>
          <w:sz w:val="18"/>
          <w:szCs w:val="18"/>
          <w:lang w:eastAsia="es-MX"/>
        </w:rPr>
        <w:t>, entendiéndose por éstos, </w:t>
      </w:r>
      <w:r w:rsidR="00750F8A" w:rsidRPr="00731A1D">
        <w:rPr>
          <w:rFonts w:eastAsia="Times New Roman" w:cs="Arial"/>
          <w:b/>
          <w:bCs/>
          <w:sz w:val="18"/>
          <w:szCs w:val="18"/>
          <w:lang w:eastAsia="es-MX"/>
        </w:rPr>
        <w:t>aquellos que se encuentren vinculados a algún proceso electoral en relación con términos perentorios</w:t>
      </w:r>
      <w:r w:rsidR="00750F8A" w:rsidRPr="00731A1D">
        <w:rPr>
          <w:rFonts w:eastAsia="Times New Roman" w:cs="Arial"/>
          <w:sz w:val="18"/>
          <w:szCs w:val="18"/>
          <w:lang w:eastAsia="es-MX"/>
        </w:rPr>
        <w:t>, o bien, </w:t>
      </w:r>
      <w:r w:rsidR="00750F8A" w:rsidRPr="00731A1D">
        <w:rPr>
          <w:rFonts w:eastAsia="Times New Roman" w:cs="Arial"/>
          <w:b/>
          <w:bCs/>
          <w:sz w:val="18"/>
          <w:szCs w:val="18"/>
          <w:lang w:eastAsia="es-MX"/>
        </w:rPr>
        <w:t>que pudieran generar la posibilidad de un daño irreparable, lo cual deberá estar debidamente justificado en la sentencia.</w:t>
      </w:r>
    </w:p>
    <w:p w:rsidR="00750F8A" w:rsidRPr="00731A1D" w:rsidRDefault="00750F8A" w:rsidP="00731A1D">
      <w:pPr>
        <w:shd w:val="clear" w:color="auto" w:fill="FFFFFF"/>
        <w:jc w:val="both"/>
        <w:rPr>
          <w:rFonts w:eastAsia="Times New Roman" w:cs="Arial"/>
          <w:sz w:val="18"/>
          <w:szCs w:val="18"/>
          <w:lang w:eastAsia="es-MX"/>
        </w:rPr>
      </w:pPr>
      <w:r w:rsidRPr="00731A1D">
        <w:rPr>
          <w:rFonts w:eastAsia="Times New Roman" w:cs="Arial"/>
          <w:sz w:val="18"/>
          <w:szCs w:val="18"/>
          <w:lang w:eastAsia="es-MX"/>
        </w:rPr>
        <w:t>En todo caso, serán objeto de resolución aquellos que de manera fundada y motivada el Pleno determine, con base en la situación sanitaria que atraviese el país, de manera que, si las medidas preventivas se extienden en el tiempo, según lo determinen las autoridades sanitarias correspondientes, este Tribunal podrá adoptar las medidas pertinentes para la resolución de esos asuntos.</w:t>
      </w:r>
    </w:p>
    <w:p w:rsidR="00C02D3D" w:rsidRPr="00731A1D" w:rsidRDefault="00750F8A" w:rsidP="00731A1D">
      <w:pPr>
        <w:shd w:val="clear" w:color="auto" w:fill="FFFFFF"/>
        <w:jc w:val="both"/>
        <w:rPr>
          <w:rFonts w:eastAsia="Times New Roman" w:cs="Arial"/>
          <w:sz w:val="18"/>
          <w:szCs w:val="18"/>
          <w:lang w:eastAsia="es-MX"/>
        </w:rPr>
      </w:pPr>
      <w:r w:rsidRPr="00731A1D">
        <w:rPr>
          <w:rFonts w:eastAsia="Times New Roman" w:cs="Arial"/>
          <w:sz w:val="18"/>
          <w:szCs w:val="18"/>
          <w:lang w:eastAsia="es-MX"/>
        </w:rPr>
        <w:t>Por tanto, los proyectos correspondientes deberán circularse con la </w:t>
      </w:r>
      <w:r w:rsidRPr="00731A1D">
        <w:rPr>
          <w:rFonts w:eastAsia="Times New Roman" w:cs="Arial"/>
          <w:b/>
          <w:bCs/>
          <w:sz w:val="18"/>
          <w:szCs w:val="18"/>
          <w:lang w:eastAsia="es-MX"/>
        </w:rPr>
        <w:t>anticipación</w:t>
      </w:r>
      <w:r w:rsidRPr="00731A1D">
        <w:rPr>
          <w:rFonts w:eastAsia="Times New Roman" w:cs="Arial"/>
          <w:sz w:val="18"/>
          <w:szCs w:val="18"/>
          <w:lang w:eastAsia="es-MX"/>
        </w:rPr>
        <w:t> suficiente para su discusión y resolución, lo cual deberá ser conforme a la agenda que la Presidencia, a través del Titular de la Secretaría General de Acuerdos, hubiere establecido para ese efecto.</w:t>
      </w:r>
    </w:p>
  </w:footnote>
  <w:footnote w:id="5">
    <w:p w:rsidR="00235828" w:rsidRPr="00731A1D" w:rsidRDefault="00235828" w:rsidP="00731A1D">
      <w:pPr>
        <w:pStyle w:val="Textonotapie"/>
        <w:rPr>
          <w:rFonts w:cs="Arial"/>
          <w:sz w:val="18"/>
          <w:szCs w:val="18"/>
        </w:rPr>
      </w:pPr>
      <w:r w:rsidRPr="00731A1D">
        <w:rPr>
          <w:rStyle w:val="Refdenotaalpie"/>
          <w:rFonts w:cs="Arial"/>
          <w:sz w:val="18"/>
          <w:szCs w:val="18"/>
        </w:rPr>
        <w:footnoteRef/>
      </w:r>
      <w:r w:rsidRPr="00731A1D">
        <w:rPr>
          <w:rFonts w:cs="Arial"/>
          <w:sz w:val="18"/>
          <w:szCs w:val="18"/>
        </w:rPr>
        <w:t xml:space="preserve"> </w:t>
      </w:r>
      <w:r w:rsidR="007C178E" w:rsidRPr="00731A1D">
        <w:rPr>
          <w:rFonts w:cs="Arial"/>
          <w:sz w:val="18"/>
          <w:szCs w:val="18"/>
        </w:rPr>
        <w:t>Constancias agregadas en el</w:t>
      </w:r>
      <w:r w:rsidRPr="00731A1D">
        <w:rPr>
          <w:rFonts w:cs="Arial"/>
          <w:sz w:val="18"/>
          <w:szCs w:val="18"/>
        </w:rPr>
        <w:t xml:space="preserve"> cuaderno único accesorio del expediente principal. </w:t>
      </w:r>
    </w:p>
  </w:footnote>
  <w:footnote w:id="6">
    <w:p w:rsidR="00376123" w:rsidRPr="00731A1D" w:rsidRDefault="00376123" w:rsidP="00731A1D">
      <w:pPr>
        <w:pStyle w:val="Textonotapie"/>
        <w:jc w:val="both"/>
        <w:rPr>
          <w:rFonts w:cs="Arial"/>
          <w:sz w:val="18"/>
          <w:szCs w:val="18"/>
        </w:rPr>
      </w:pPr>
      <w:r w:rsidRPr="00731A1D">
        <w:rPr>
          <w:rStyle w:val="Refdenotaalpie"/>
          <w:rFonts w:cs="Arial"/>
          <w:sz w:val="18"/>
          <w:szCs w:val="18"/>
        </w:rPr>
        <w:footnoteRef/>
      </w:r>
      <w:r w:rsidRPr="00731A1D">
        <w:rPr>
          <w:rFonts w:cs="Arial"/>
          <w:sz w:val="18"/>
          <w:szCs w:val="18"/>
        </w:rPr>
        <w:t xml:space="preserve"> Previstos en el artículo 9, </w:t>
      </w:r>
      <w:r w:rsidR="007824D6" w:rsidRPr="00731A1D">
        <w:rPr>
          <w:rFonts w:cs="Arial"/>
          <w:sz w:val="18"/>
          <w:szCs w:val="18"/>
        </w:rPr>
        <w:t xml:space="preserve">párrafo 1, de la Ley de Medios. </w:t>
      </w:r>
    </w:p>
  </w:footnote>
  <w:footnote w:id="7">
    <w:p w:rsidR="00646D06" w:rsidRPr="00731A1D" w:rsidRDefault="00646D06" w:rsidP="00731A1D">
      <w:pPr>
        <w:pStyle w:val="Textonotapie"/>
        <w:jc w:val="both"/>
        <w:rPr>
          <w:rFonts w:cs="Arial"/>
          <w:sz w:val="18"/>
          <w:szCs w:val="18"/>
        </w:rPr>
      </w:pPr>
      <w:r w:rsidRPr="00731A1D">
        <w:rPr>
          <w:rStyle w:val="Refdenotaalpie"/>
          <w:rFonts w:cs="Arial"/>
          <w:sz w:val="18"/>
          <w:szCs w:val="18"/>
        </w:rPr>
        <w:footnoteRef/>
      </w:r>
      <w:r w:rsidRPr="00731A1D">
        <w:rPr>
          <w:rFonts w:cs="Arial"/>
          <w:sz w:val="18"/>
          <w:szCs w:val="18"/>
        </w:rPr>
        <w:t xml:space="preserve"> </w:t>
      </w:r>
      <w:r w:rsidRPr="00731A1D">
        <w:rPr>
          <w:rFonts w:cs="Arial"/>
          <w:sz w:val="18"/>
          <w:szCs w:val="18"/>
          <w:shd w:val="clear" w:color="auto" w:fill="FFFFFF"/>
        </w:rPr>
        <w:t>Al respecto es aplicable el criterio contenido en la Jurisprudencia 15/2011 de rubro: </w:t>
      </w:r>
      <w:r w:rsidRPr="00731A1D">
        <w:rPr>
          <w:rFonts w:cs="Arial"/>
          <w:b/>
          <w:bCs/>
          <w:sz w:val="18"/>
          <w:szCs w:val="18"/>
          <w:shd w:val="clear" w:color="auto" w:fill="FFFFFF"/>
        </w:rPr>
        <w:t>PLAZO PARA PRESENTAR UN MEDIO DE IMPUGNACIÓN, TRATÁNDOSE DE OMISIONES</w:t>
      </w:r>
      <w:r w:rsidRPr="00731A1D">
        <w:rPr>
          <w:rFonts w:cs="Arial"/>
          <w:sz w:val="18"/>
          <w:szCs w:val="18"/>
          <w:shd w:val="clear" w:color="auto" w:fill="FFFFFF"/>
        </w:rPr>
        <w:t>, publicada en la Gaceta de Jurisprudencia y Tesis en materia electoral, Tribunal Electoral del Poder Judicial de la Federación, Año 4, Número 9, 2011, páginas 29 y 30.</w:t>
      </w:r>
    </w:p>
  </w:footnote>
  <w:footnote w:id="8">
    <w:p w:rsidR="00BE6345" w:rsidRPr="00731A1D" w:rsidRDefault="00BE6345" w:rsidP="00731A1D">
      <w:pPr>
        <w:pStyle w:val="Textonotapie"/>
        <w:jc w:val="both"/>
        <w:rPr>
          <w:rFonts w:cs="Arial"/>
          <w:sz w:val="18"/>
          <w:szCs w:val="18"/>
        </w:rPr>
      </w:pPr>
      <w:r w:rsidRPr="00731A1D">
        <w:rPr>
          <w:rStyle w:val="Refdenotaalpie"/>
          <w:rFonts w:cs="Arial"/>
          <w:sz w:val="18"/>
          <w:szCs w:val="18"/>
        </w:rPr>
        <w:footnoteRef/>
      </w:r>
      <w:r w:rsidRPr="00731A1D">
        <w:rPr>
          <w:rFonts w:cs="Arial"/>
          <w:sz w:val="18"/>
          <w:szCs w:val="18"/>
        </w:rPr>
        <w:t xml:space="preserve"> </w:t>
      </w:r>
      <w:r w:rsidR="00861A48" w:rsidRPr="00731A1D">
        <w:rPr>
          <w:rFonts w:cs="Arial"/>
          <w:sz w:val="18"/>
          <w:szCs w:val="18"/>
        </w:rPr>
        <w:t>Artículo 26. (…)</w:t>
      </w:r>
    </w:p>
    <w:p w:rsidR="00861A48" w:rsidRPr="00731A1D" w:rsidRDefault="00861A48" w:rsidP="00731A1D">
      <w:pPr>
        <w:pStyle w:val="Textonotapie"/>
        <w:jc w:val="both"/>
        <w:rPr>
          <w:rFonts w:cs="Arial"/>
          <w:sz w:val="18"/>
          <w:szCs w:val="18"/>
        </w:rPr>
      </w:pPr>
      <w:r w:rsidRPr="00731A1D">
        <w:rPr>
          <w:rFonts w:cs="Arial"/>
          <w:sz w:val="18"/>
          <w:szCs w:val="18"/>
        </w:rPr>
        <w:t>4. El actor o recurrente y el tercero interesado podrán autorizar para oír notificaciones en su nombre, a cualquier persona con capacidad legal, quien quedará facultada para interponer los recursos que procedan, ofrecer y rendir pruebas, alegar en las audiencias, solicitar su suspensión o diferimiento, realizar cualquier acto que resulte ser necesario para la defensa de los derechos del autorizante, pero no podrá substituir o delegar dichas facultades en un tercero.</w:t>
      </w:r>
    </w:p>
  </w:footnote>
  <w:footnote w:id="9">
    <w:p w:rsidR="00B31BFC" w:rsidRPr="00731A1D" w:rsidRDefault="00B31BFC" w:rsidP="00731A1D">
      <w:pPr>
        <w:pStyle w:val="Textonotapie"/>
        <w:jc w:val="both"/>
        <w:rPr>
          <w:rFonts w:cs="Arial"/>
          <w:sz w:val="18"/>
          <w:szCs w:val="18"/>
        </w:rPr>
      </w:pPr>
      <w:r w:rsidRPr="00731A1D">
        <w:rPr>
          <w:rStyle w:val="Refdenotaalpie"/>
          <w:rFonts w:cs="Arial"/>
          <w:sz w:val="18"/>
          <w:szCs w:val="18"/>
        </w:rPr>
        <w:footnoteRef/>
      </w:r>
      <w:r w:rsidRPr="00731A1D">
        <w:rPr>
          <w:rFonts w:cs="Arial"/>
          <w:sz w:val="18"/>
          <w:szCs w:val="18"/>
        </w:rPr>
        <w:t xml:space="preserve"> </w:t>
      </w:r>
      <w:r w:rsidRPr="00731A1D">
        <w:rPr>
          <w:rFonts w:cs="Arial"/>
          <w:sz w:val="18"/>
          <w:szCs w:val="18"/>
          <w:shd w:val="clear" w:color="auto" w:fill="FFFFFF"/>
        </w:rPr>
        <w:t>“</w:t>
      </w:r>
      <w:hyperlink r:id="rId1" w:anchor="25/2012_" w:history="1">
        <w:r w:rsidRPr="00731A1D">
          <w:rPr>
            <w:rStyle w:val="Hipervnculo"/>
            <w:rFonts w:cs="Arial"/>
            <w:color w:val="auto"/>
            <w:sz w:val="18"/>
            <w:szCs w:val="18"/>
            <w:u w:val="none"/>
            <w:shd w:val="clear" w:color="auto" w:fill="FFFFFF"/>
          </w:rPr>
          <w:t>REPRESENTACIÓN. ES ADMISIBLE EN LA PRESENTACIÓN E INTERPOSICIÓN DE LOS MEDIOS DE IMPUGNACIÓN EN MATERIA ELECTORAL</w:t>
        </w:r>
      </w:hyperlink>
      <w:r w:rsidRPr="00731A1D">
        <w:rPr>
          <w:rFonts w:cs="Arial"/>
          <w:sz w:val="18"/>
          <w:szCs w:val="18"/>
          <w:shd w:val="clear" w:color="auto" w:fill="FFFFFF"/>
        </w:rPr>
        <w:t>”. Consultable en la p. 658, de la Compilación citada.</w:t>
      </w:r>
    </w:p>
  </w:footnote>
  <w:footnote w:id="10">
    <w:p w:rsidR="002A28C5" w:rsidRPr="00731A1D" w:rsidRDefault="00466090" w:rsidP="00731A1D">
      <w:pPr>
        <w:pStyle w:val="NormalWeb"/>
        <w:shd w:val="clear" w:color="auto" w:fill="FFFFFF"/>
        <w:spacing w:before="0" w:beforeAutospacing="0" w:after="0" w:afterAutospacing="0"/>
        <w:jc w:val="both"/>
        <w:rPr>
          <w:rFonts w:ascii="Arial" w:hAnsi="Arial" w:cs="Arial"/>
          <w:sz w:val="18"/>
          <w:szCs w:val="18"/>
        </w:rPr>
      </w:pPr>
      <w:r w:rsidRPr="00731A1D">
        <w:rPr>
          <w:rStyle w:val="Refdenotaalpie"/>
          <w:rFonts w:ascii="Arial" w:hAnsi="Arial" w:cs="Arial"/>
          <w:sz w:val="18"/>
          <w:szCs w:val="18"/>
        </w:rPr>
        <w:footnoteRef/>
      </w:r>
      <w:r w:rsidR="002A28C5" w:rsidRPr="00731A1D">
        <w:rPr>
          <w:rFonts w:ascii="Arial" w:hAnsi="Arial" w:cs="Arial"/>
          <w:sz w:val="18"/>
          <w:szCs w:val="18"/>
        </w:rPr>
        <w:t xml:space="preserve"> Artículo 3. (…)</w:t>
      </w:r>
    </w:p>
    <w:p w:rsidR="006F18C5" w:rsidRPr="00731A1D" w:rsidRDefault="00466090" w:rsidP="00731A1D">
      <w:pPr>
        <w:pStyle w:val="NormalWeb"/>
        <w:shd w:val="clear" w:color="auto" w:fill="FFFFFF"/>
        <w:spacing w:before="0" w:beforeAutospacing="0" w:after="0" w:afterAutospacing="0"/>
        <w:jc w:val="both"/>
        <w:rPr>
          <w:rFonts w:ascii="Arial" w:hAnsi="Arial" w:cs="Arial"/>
          <w:sz w:val="18"/>
          <w:szCs w:val="18"/>
        </w:rPr>
      </w:pPr>
      <w:r w:rsidRPr="00731A1D">
        <w:rPr>
          <w:rFonts w:ascii="Arial" w:hAnsi="Arial" w:cs="Arial"/>
          <w:sz w:val="18"/>
          <w:szCs w:val="18"/>
        </w:rPr>
        <w:t xml:space="preserve"> </w:t>
      </w:r>
      <w:r w:rsidRPr="00731A1D">
        <w:rPr>
          <w:rFonts w:ascii="Arial" w:hAnsi="Arial" w:cs="Arial"/>
          <w:b/>
          <w:bCs/>
          <w:sz w:val="18"/>
          <w:szCs w:val="18"/>
        </w:rPr>
        <w:t>V. </w:t>
      </w:r>
      <w:r w:rsidRPr="00731A1D">
        <w:rPr>
          <w:rFonts w:ascii="Arial" w:hAnsi="Arial" w:cs="Arial"/>
          <w:sz w:val="18"/>
          <w:szCs w:val="18"/>
        </w:rPr>
        <w:t>Toda persona tiene derecho a gozar de los beneficios del desarrollo de la ciencia y la innovación tecnológica. El Estado apoyará la investigación e innovación científica, humanística y tecnológica, y garantizará el acceso abierto a la información que derive de ella, para lo cual deberá proveer recursos y estímulos suficientes, conforme a las bases de coordinación, vinculación y participación que establezcan las leyes en la materia; además alentará el fortalecimiento y difusión de nuestra cultura;</w:t>
      </w:r>
      <w:r w:rsidR="00C01D80" w:rsidRPr="00731A1D">
        <w:rPr>
          <w:rFonts w:ascii="Arial" w:hAnsi="Arial" w:cs="Arial"/>
          <w:sz w:val="18"/>
          <w:szCs w:val="18"/>
        </w:rPr>
        <w:t xml:space="preserve"> (…)</w:t>
      </w:r>
    </w:p>
  </w:footnote>
  <w:footnote w:id="11">
    <w:p w:rsidR="00466090" w:rsidRPr="00731A1D" w:rsidRDefault="00466090" w:rsidP="00731A1D">
      <w:pPr>
        <w:pStyle w:val="Textonotapie"/>
        <w:jc w:val="both"/>
        <w:rPr>
          <w:rFonts w:cs="Arial"/>
          <w:sz w:val="18"/>
          <w:szCs w:val="18"/>
        </w:rPr>
      </w:pPr>
      <w:r w:rsidRPr="00731A1D">
        <w:rPr>
          <w:rStyle w:val="Refdenotaalpie"/>
          <w:rFonts w:cs="Arial"/>
          <w:sz w:val="18"/>
          <w:szCs w:val="18"/>
        </w:rPr>
        <w:footnoteRef/>
      </w:r>
      <w:r w:rsidRPr="00731A1D">
        <w:rPr>
          <w:rFonts w:cs="Arial"/>
          <w:sz w:val="18"/>
          <w:szCs w:val="18"/>
        </w:rPr>
        <w:t xml:space="preserve"> </w:t>
      </w:r>
      <w:r w:rsidR="002A28C5" w:rsidRPr="00731A1D">
        <w:rPr>
          <w:rFonts w:cs="Arial"/>
          <w:sz w:val="18"/>
          <w:szCs w:val="18"/>
        </w:rPr>
        <w:t>Artículo 6 (…)</w:t>
      </w:r>
    </w:p>
    <w:p w:rsidR="00C01D80" w:rsidRPr="00731A1D" w:rsidRDefault="00C01D80" w:rsidP="00731A1D">
      <w:pPr>
        <w:pStyle w:val="Textonotapie"/>
        <w:jc w:val="both"/>
        <w:rPr>
          <w:rFonts w:cs="Arial"/>
          <w:sz w:val="18"/>
          <w:szCs w:val="18"/>
        </w:rPr>
      </w:pPr>
      <w:r w:rsidRPr="00731A1D">
        <w:rPr>
          <w:rFonts w:cs="Arial"/>
          <w:sz w:val="18"/>
          <w:szCs w:val="18"/>
        </w:rPr>
        <w:t>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rsidR="00C01D80" w:rsidRPr="00731A1D" w:rsidRDefault="00C01D80" w:rsidP="00731A1D">
      <w:pPr>
        <w:pStyle w:val="Textonotapie"/>
        <w:jc w:val="both"/>
        <w:rPr>
          <w:rFonts w:cs="Arial"/>
          <w:sz w:val="18"/>
          <w:szCs w:val="18"/>
        </w:rPr>
      </w:pPr>
      <w:r w:rsidRPr="00731A1D">
        <w:rPr>
          <w:rFonts w:cs="Arial"/>
          <w:sz w:val="18"/>
          <w:szCs w:val="18"/>
        </w:rPr>
        <w:t>(…)</w:t>
      </w:r>
    </w:p>
  </w:footnote>
  <w:footnote w:id="12">
    <w:p w:rsidR="00E430FC" w:rsidRPr="00731A1D" w:rsidRDefault="00E430FC" w:rsidP="00731A1D">
      <w:pPr>
        <w:pStyle w:val="NormalWeb"/>
        <w:shd w:val="clear" w:color="auto" w:fill="FFFFFF"/>
        <w:tabs>
          <w:tab w:val="left" w:pos="6946"/>
        </w:tabs>
        <w:spacing w:before="0" w:beforeAutospacing="0" w:after="0" w:afterAutospacing="0"/>
        <w:ind w:right="49"/>
        <w:jc w:val="both"/>
        <w:rPr>
          <w:rFonts w:ascii="Arial" w:hAnsi="Arial" w:cs="Arial"/>
          <w:sz w:val="18"/>
          <w:szCs w:val="18"/>
        </w:rPr>
      </w:pPr>
      <w:r w:rsidRPr="00731A1D">
        <w:rPr>
          <w:rStyle w:val="Refdenotaalpie"/>
          <w:rFonts w:ascii="Arial" w:hAnsi="Arial" w:cs="Arial"/>
          <w:sz w:val="18"/>
          <w:szCs w:val="18"/>
        </w:rPr>
        <w:footnoteRef/>
      </w:r>
      <w:r w:rsidRPr="00731A1D">
        <w:rPr>
          <w:rFonts w:ascii="Arial" w:hAnsi="Arial" w:cs="Arial"/>
          <w:sz w:val="18"/>
          <w:szCs w:val="18"/>
        </w:rPr>
        <w:t xml:space="preserve"> Artículo 9.</w:t>
      </w:r>
    </w:p>
    <w:p w:rsidR="00E430FC" w:rsidRPr="00731A1D" w:rsidRDefault="00E430FC" w:rsidP="00731A1D">
      <w:pPr>
        <w:pStyle w:val="NormalWeb"/>
        <w:shd w:val="clear" w:color="auto" w:fill="FFFFFF"/>
        <w:tabs>
          <w:tab w:val="left" w:pos="6946"/>
        </w:tabs>
        <w:spacing w:before="0" w:beforeAutospacing="0" w:after="0" w:afterAutospacing="0"/>
        <w:ind w:right="49"/>
        <w:jc w:val="both"/>
        <w:rPr>
          <w:rFonts w:ascii="Arial" w:hAnsi="Arial" w:cs="Arial"/>
          <w:sz w:val="18"/>
          <w:szCs w:val="18"/>
        </w:rPr>
      </w:pPr>
      <w:r w:rsidRPr="00731A1D">
        <w:rPr>
          <w:rFonts w:ascii="Arial" w:hAnsi="Arial" w:cs="Arial"/>
          <w:sz w:val="18"/>
          <w:szCs w:val="18"/>
        </w:rPr>
        <w:t>1. Para la interposición de los recursos se cumplirá con los siguientes requisitos:</w:t>
      </w:r>
    </w:p>
    <w:p w:rsidR="00E430FC" w:rsidRPr="00731A1D" w:rsidRDefault="00E430FC" w:rsidP="00731A1D">
      <w:pPr>
        <w:pStyle w:val="NormalWeb"/>
        <w:shd w:val="clear" w:color="auto" w:fill="FFFFFF"/>
        <w:tabs>
          <w:tab w:val="left" w:pos="6946"/>
        </w:tabs>
        <w:spacing w:before="0" w:beforeAutospacing="0" w:after="0" w:afterAutospacing="0"/>
        <w:ind w:right="49"/>
        <w:jc w:val="both"/>
        <w:rPr>
          <w:rFonts w:ascii="Arial" w:hAnsi="Arial" w:cs="Arial"/>
          <w:sz w:val="18"/>
          <w:szCs w:val="18"/>
        </w:rPr>
      </w:pPr>
      <w:r w:rsidRPr="00731A1D">
        <w:rPr>
          <w:rFonts w:ascii="Arial" w:hAnsi="Arial" w:cs="Arial"/>
          <w:sz w:val="18"/>
          <w:szCs w:val="18"/>
        </w:rPr>
        <w:t>(…)</w:t>
      </w:r>
    </w:p>
    <w:p w:rsidR="00E430FC" w:rsidRPr="00731A1D" w:rsidRDefault="00E430FC" w:rsidP="00731A1D">
      <w:pPr>
        <w:pStyle w:val="NormalWeb"/>
        <w:shd w:val="clear" w:color="auto" w:fill="FFFFFF"/>
        <w:tabs>
          <w:tab w:val="left" w:pos="6946"/>
        </w:tabs>
        <w:spacing w:before="0" w:beforeAutospacing="0" w:after="0" w:afterAutospacing="0"/>
        <w:ind w:right="49"/>
        <w:jc w:val="both"/>
        <w:rPr>
          <w:rFonts w:ascii="Arial" w:hAnsi="Arial" w:cs="Arial"/>
          <w:sz w:val="18"/>
          <w:szCs w:val="18"/>
        </w:rPr>
      </w:pPr>
      <w:r w:rsidRPr="00731A1D">
        <w:rPr>
          <w:rFonts w:ascii="Arial" w:hAnsi="Arial" w:cs="Arial"/>
          <w:sz w:val="18"/>
          <w:szCs w:val="18"/>
        </w:rPr>
        <w:t>b) Señalar domicilio para recibir notificaciones en la capital del Estado y, en su caso, a quien en su nombre las pueda oír y recibir. Si el promovente omite señalar domicilio para recibirlas, se llevarán a cabo por estrados;</w:t>
      </w:r>
    </w:p>
    <w:p w:rsidR="00E430FC" w:rsidRPr="00731A1D" w:rsidRDefault="00E430FC" w:rsidP="00731A1D">
      <w:pPr>
        <w:pStyle w:val="NormalWeb"/>
        <w:shd w:val="clear" w:color="auto" w:fill="FFFFFF"/>
        <w:tabs>
          <w:tab w:val="left" w:pos="6946"/>
        </w:tabs>
        <w:spacing w:before="0" w:beforeAutospacing="0" w:after="0" w:afterAutospacing="0"/>
        <w:ind w:right="49"/>
        <w:jc w:val="both"/>
        <w:rPr>
          <w:rFonts w:ascii="Arial" w:hAnsi="Arial" w:cs="Arial"/>
          <w:sz w:val="18"/>
          <w:szCs w:val="18"/>
        </w:rPr>
      </w:pPr>
      <w:r w:rsidRPr="00731A1D">
        <w:rPr>
          <w:rFonts w:ascii="Arial" w:hAnsi="Arial" w:cs="Arial"/>
          <w:sz w:val="18"/>
          <w:szCs w:val="18"/>
        </w:rPr>
        <w:t>(…)</w:t>
      </w:r>
    </w:p>
    <w:p w:rsidR="00E430FC" w:rsidRPr="008415D6" w:rsidRDefault="00E430FC" w:rsidP="008415D6">
      <w:pPr>
        <w:pStyle w:val="NormalWeb"/>
        <w:shd w:val="clear" w:color="auto" w:fill="FFFFFF"/>
        <w:tabs>
          <w:tab w:val="left" w:pos="6946"/>
        </w:tabs>
        <w:spacing w:before="0" w:beforeAutospacing="0" w:after="0" w:afterAutospacing="0"/>
        <w:ind w:right="49"/>
        <w:jc w:val="both"/>
        <w:rPr>
          <w:rFonts w:ascii="Arial" w:hAnsi="Arial" w:cs="Arial"/>
          <w:sz w:val="18"/>
          <w:szCs w:val="18"/>
        </w:rPr>
      </w:pPr>
      <w:r w:rsidRPr="00731A1D">
        <w:rPr>
          <w:rFonts w:ascii="Arial" w:hAnsi="Arial" w:cs="Arial"/>
          <w:sz w:val="18"/>
          <w:szCs w:val="18"/>
        </w:rPr>
        <w:t xml:space="preserve">3. Respecto a lo previsto en el numeral 1 inciso b) de este artículo, se realizará notificación electrónica de la resolución cuando las partes así lo soliciten. El Tribunal proveerá de un certificado de firma electrónica avanzada a quien así lo solicite. Las partes podrán proporcionar dirección de correo electrónico que cuente con mecanismos de confirmación de los envíos de las notificaciones. Las partes deberán manifestar expresamente su voluntad de que sean notificados por esta forma. </w:t>
      </w:r>
    </w:p>
  </w:footnote>
  <w:footnote w:id="13">
    <w:p w:rsidR="00811D27" w:rsidRPr="00731A1D" w:rsidRDefault="00811D27" w:rsidP="00731A1D">
      <w:pPr>
        <w:pStyle w:val="Estilo"/>
        <w:rPr>
          <w:rFonts w:cs="Arial"/>
          <w:sz w:val="18"/>
          <w:szCs w:val="18"/>
        </w:rPr>
      </w:pPr>
      <w:r w:rsidRPr="00731A1D">
        <w:rPr>
          <w:rStyle w:val="Refdenotaalpie"/>
          <w:rFonts w:cs="Arial"/>
          <w:sz w:val="18"/>
          <w:szCs w:val="18"/>
        </w:rPr>
        <w:footnoteRef/>
      </w:r>
      <w:r w:rsidRPr="00731A1D">
        <w:rPr>
          <w:rFonts w:cs="Arial"/>
          <w:sz w:val="18"/>
          <w:szCs w:val="18"/>
        </w:rPr>
        <w:t xml:space="preserve"> Artículo 26 (…)</w:t>
      </w:r>
    </w:p>
    <w:p w:rsidR="00811D27" w:rsidRPr="00731A1D" w:rsidRDefault="00811D27" w:rsidP="00731A1D">
      <w:pPr>
        <w:pStyle w:val="Estilo"/>
        <w:rPr>
          <w:rFonts w:cs="Arial"/>
          <w:sz w:val="18"/>
          <w:szCs w:val="18"/>
        </w:rPr>
      </w:pPr>
      <w:r w:rsidRPr="00731A1D">
        <w:rPr>
          <w:rFonts w:cs="Arial"/>
          <w:sz w:val="18"/>
          <w:szCs w:val="18"/>
        </w:rPr>
        <w:t>3. Las notificaciones se podrán hacer personalmente, por estrados, por oficio, por correo certificado, correo electrónico de conformidad con el artículo 9 numeral 3 de esta Ley, por telegrama o por fax, según se requiera para la eficacia del acto, resolución o sentencia a notificar, salvo disposición expresa de esta Ley.</w:t>
      </w:r>
    </w:p>
    <w:p w:rsidR="008D69B5" w:rsidRPr="00731A1D" w:rsidRDefault="008D69B5" w:rsidP="00731A1D">
      <w:pPr>
        <w:pStyle w:val="Estilo"/>
        <w:rPr>
          <w:rFonts w:cs="Arial"/>
          <w:sz w:val="18"/>
          <w:szCs w:val="18"/>
        </w:rPr>
      </w:pPr>
      <w:r w:rsidRPr="00731A1D">
        <w:rPr>
          <w:rFonts w:cs="Arial"/>
          <w:sz w:val="18"/>
          <w:szCs w:val="18"/>
        </w:rPr>
        <w:t>(…)</w:t>
      </w:r>
    </w:p>
    <w:p w:rsidR="00AA2DDE" w:rsidRPr="00731A1D" w:rsidRDefault="00AA2DDE" w:rsidP="00731A1D">
      <w:pPr>
        <w:pStyle w:val="Estilo"/>
        <w:rPr>
          <w:rFonts w:cs="Arial"/>
          <w:sz w:val="18"/>
          <w:szCs w:val="18"/>
        </w:rPr>
      </w:pPr>
      <w:r w:rsidRPr="00731A1D">
        <w:rPr>
          <w:rFonts w:cs="Arial"/>
          <w:sz w:val="18"/>
          <w:szCs w:val="18"/>
        </w:rPr>
        <w:t>Artículo 93.</w:t>
      </w:r>
    </w:p>
    <w:p w:rsidR="00AA2DDE" w:rsidRPr="00731A1D" w:rsidRDefault="00AA2DDE" w:rsidP="00731A1D">
      <w:pPr>
        <w:pStyle w:val="Estilo"/>
        <w:rPr>
          <w:rFonts w:cs="Arial"/>
          <w:sz w:val="18"/>
          <w:szCs w:val="18"/>
        </w:rPr>
      </w:pPr>
      <w:r w:rsidRPr="00731A1D">
        <w:rPr>
          <w:rFonts w:cs="Arial"/>
          <w:sz w:val="18"/>
          <w:szCs w:val="18"/>
        </w:rPr>
        <w:t>1. Conforme a las condiciones específicas del lugar, las notificaciones se podrán hacer personalmente, por medio electrónico o cédula publicada en los estrados, por oficio, por correo certificado, por telegrama, fax, según se requiera para la eficacia del acto, sentencia o resolución a notificar, salvo disposición expresa de esta ley. En todo caso deberá garantizar la posibilidad material de adoptar una adecuada defensa de aquellos que la notificación genere perjuicio a su esfera jurídica.</w:t>
      </w:r>
    </w:p>
    <w:p w:rsidR="00AA2DDE" w:rsidRPr="00731A1D" w:rsidRDefault="00AA2DDE" w:rsidP="00731A1D">
      <w:pPr>
        <w:pStyle w:val="Estilo"/>
        <w:rPr>
          <w:rFonts w:cs="Arial"/>
          <w:sz w:val="18"/>
          <w:szCs w:val="18"/>
        </w:rPr>
      </w:pPr>
      <w:r w:rsidRPr="00731A1D">
        <w:rPr>
          <w:rFonts w:cs="Arial"/>
          <w:sz w:val="18"/>
          <w:szCs w:val="18"/>
        </w:rPr>
        <w:t>(…)</w:t>
      </w:r>
    </w:p>
  </w:footnote>
  <w:footnote w:id="14">
    <w:p w:rsidR="00B06DFA" w:rsidRPr="00731A1D" w:rsidRDefault="00B06DFA" w:rsidP="00731A1D">
      <w:pPr>
        <w:pStyle w:val="Textonotapie"/>
        <w:jc w:val="both"/>
        <w:rPr>
          <w:rFonts w:cs="Arial"/>
          <w:sz w:val="18"/>
          <w:szCs w:val="18"/>
        </w:rPr>
      </w:pPr>
      <w:r w:rsidRPr="00731A1D">
        <w:rPr>
          <w:rStyle w:val="Refdenotaalpie"/>
          <w:rFonts w:cs="Arial"/>
          <w:sz w:val="18"/>
          <w:szCs w:val="18"/>
        </w:rPr>
        <w:footnoteRef/>
      </w:r>
      <w:r w:rsidRPr="00731A1D">
        <w:rPr>
          <w:rFonts w:cs="Arial"/>
          <w:sz w:val="18"/>
          <w:szCs w:val="18"/>
        </w:rPr>
        <w:t xml:space="preserve"> Artículo </w:t>
      </w:r>
      <w:proofErr w:type="gramStart"/>
      <w:r w:rsidRPr="00731A1D">
        <w:rPr>
          <w:rFonts w:cs="Arial"/>
          <w:sz w:val="18"/>
          <w:szCs w:val="18"/>
        </w:rPr>
        <w:t>29.(</w:t>
      </w:r>
      <w:proofErr w:type="gramEnd"/>
      <w:r w:rsidRPr="00731A1D">
        <w:rPr>
          <w:rFonts w:cs="Arial"/>
          <w:sz w:val="18"/>
          <w:szCs w:val="18"/>
        </w:rPr>
        <w:t>…)</w:t>
      </w:r>
    </w:p>
    <w:p w:rsidR="00B06DFA" w:rsidRPr="00731A1D" w:rsidRDefault="00B06DFA" w:rsidP="00731A1D">
      <w:pPr>
        <w:pStyle w:val="Estilo"/>
        <w:rPr>
          <w:rFonts w:cs="Arial"/>
          <w:sz w:val="18"/>
          <w:szCs w:val="18"/>
        </w:rPr>
      </w:pPr>
      <w:r w:rsidRPr="00731A1D">
        <w:rPr>
          <w:rFonts w:cs="Arial"/>
          <w:sz w:val="18"/>
          <w:szCs w:val="18"/>
        </w:rPr>
        <w:t xml:space="preserve">5. La notificación por correo electrónico surtirá efectos a partir de que se tenga constancia de la recepción de </w:t>
      </w:r>
      <w:proofErr w:type="gramStart"/>
      <w:r w:rsidRPr="00731A1D">
        <w:rPr>
          <w:rFonts w:cs="Arial"/>
          <w:sz w:val="18"/>
          <w:szCs w:val="18"/>
        </w:rPr>
        <w:t>la misma</w:t>
      </w:r>
      <w:proofErr w:type="gramEnd"/>
      <w:r w:rsidRPr="00731A1D">
        <w:rPr>
          <w:rFonts w:cs="Arial"/>
          <w:sz w:val="18"/>
          <w:szCs w:val="18"/>
        </w:rPr>
        <w:t xml:space="preserve"> o, en su caso, se cuente con el acuse de recibo correspondiente.</w:t>
      </w:r>
    </w:p>
  </w:footnote>
  <w:footnote w:id="15">
    <w:p w:rsidR="008A55C4" w:rsidRPr="00731A1D" w:rsidRDefault="008A55C4" w:rsidP="00731A1D">
      <w:pPr>
        <w:pStyle w:val="Textonotapie"/>
        <w:jc w:val="both"/>
        <w:rPr>
          <w:rFonts w:cs="Arial"/>
          <w:sz w:val="18"/>
          <w:szCs w:val="18"/>
        </w:rPr>
      </w:pPr>
      <w:r w:rsidRPr="00731A1D">
        <w:rPr>
          <w:rStyle w:val="Refdenotaalpie"/>
          <w:rFonts w:cs="Arial"/>
          <w:sz w:val="18"/>
          <w:szCs w:val="18"/>
        </w:rPr>
        <w:footnoteRef/>
      </w:r>
      <w:r w:rsidRPr="00731A1D">
        <w:rPr>
          <w:rFonts w:cs="Arial"/>
          <w:sz w:val="18"/>
          <w:szCs w:val="18"/>
        </w:rPr>
        <w:t xml:space="preserve"> Artículo 9 (…)</w:t>
      </w:r>
    </w:p>
    <w:p w:rsidR="008A55C4" w:rsidRPr="00731A1D" w:rsidRDefault="008A55C4" w:rsidP="00731A1D">
      <w:pPr>
        <w:pStyle w:val="Textonotapie"/>
        <w:jc w:val="both"/>
        <w:rPr>
          <w:rFonts w:cs="Arial"/>
          <w:sz w:val="18"/>
          <w:szCs w:val="18"/>
        </w:rPr>
      </w:pPr>
      <w:r w:rsidRPr="00731A1D">
        <w:rPr>
          <w:rFonts w:cs="Arial"/>
          <w:sz w:val="18"/>
          <w:szCs w:val="18"/>
        </w:rPr>
        <w:t>4. Respecto a lo previsto en el párrafo 1 inciso b) de este artículo, se realizará notificación electrónica de la resolución cuando las partes así lo soliciten. El Tribunal proveerá de un certificado de firma electrónica avanzada a quien así lo solicite. Las partes podrán proporcionar dirección de correo electrónico que cuente con mecanismos de confirmación de los envíos de las notificaciones. Las partes deberán manifestar expresamente su voluntad de que sean notificados por esta vía.</w:t>
      </w:r>
    </w:p>
  </w:footnote>
  <w:footnote w:id="16">
    <w:p w:rsidR="00AA3509" w:rsidRPr="009602EB" w:rsidRDefault="00F87AFA" w:rsidP="00731A1D">
      <w:pPr>
        <w:pStyle w:val="Textonotapie"/>
        <w:jc w:val="both"/>
        <w:rPr>
          <w:rFonts w:cs="Arial"/>
          <w:sz w:val="18"/>
          <w:szCs w:val="18"/>
        </w:rPr>
      </w:pPr>
      <w:r w:rsidRPr="00731A1D">
        <w:rPr>
          <w:rStyle w:val="Refdenotaalpie"/>
          <w:rFonts w:cs="Arial"/>
          <w:sz w:val="18"/>
          <w:szCs w:val="18"/>
        </w:rPr>
        <w:footnoteRef/>
      </w:r>
      <w:r w:rsidRPr="009602EB">
        <w:rPr>
          <w:rFonts w:cs="Arial"/>
          <w:sz w:val="18"/>
          <w:szCs w:val="18"/>
        </w:rPr>
        <w:t xml:space="preserve"> </w:t>
      </w:r>
      <w:r w:rsidR="00AA3509" w:rsidRPr="009602EB">
        <w:rPr>
          <w:rFonts w:cs="Arial"/>
          <w:sz w:val="18"/>
          <w:szCs w:val="18"/>
        </w:rPr>
        <w:t xml:space="preserve">- </w:t>
      </w:r>
      <w:hyperlink r:id="rId2" w:history="1">
        <w:r w:rsidR="00AA3509" w:rsidRPr="009602EB">
          <w:rPr>
            <w:rStyle w:val="Hipervnculo"/>
            <w:rFonts w:cs="Arial"/>
            <w:color w:val="auto"/>
            <w:sz w:val="18"/>
            <w:szCs w:val="18"/>
            <w:u w:val="none"/>
          </w:rPr>
          <w:t>Acuerdo General Conjunto número 1/2013 de la Suprema Corte de Justicia de la Nación, del Tribunal Electoral del Poder Judicial de la Federación y del Consejo de la Judicatura Federal, relativo a la Firma Electrónica Certificada del Poder Judicial de la Federación (FIREL) y al expediente electrónico.</w:t>
        </w:r>
      </w:hyperlink>
    </w:p>
    <w:p w:rsidR="00FB661D" w:rsidRPr="00731A1D" w:rsidRDefault="00FB661D" w:rsidP="00731A1D">
      <w:pPr>
        <w:pStyle w:val="Textonotapie"/>
        <w:jc w:val="both"/>
        <w:rPr>
          <w:rFonts w:cs="Arial"/>
          <w:sz w:val="18"/>
          <w:szCs w:val="18"/>
          <w:u w:val="single"/>
        </w:rPr>
      </w:pPr>
      <w:r w:rsidRPr="009602EB">
        <w:rPr>
          <w:rFonts w:cs="Arial"/>
          <w:sz w:val="18"/>
          <w:szCs w:val="18"/>
        </w:rPr>
        <w:t xml:space="preserve">- </w:t>
      </w:r>
      <w:hyperlink r:id="rId3" w:history="1">
        <w:r w:rsidR="00CB5785" w:rsidRPr="009602EB">
          <w:rPr>
            <w:rStyle w:val="Hipervnculo"/>
            <w:rFonts w:cs="Arial"/>
            <w:color w:val="auto"/>
            <w:sz w:val="18"/>
            <w:szCs w:val="18"/>
            <w:u w:val="none"/>
          </w:rPr>
          <w:t>Acuerdo General de la Sala Superior del Tribunal Electoral del Poder Judicial de la Federación número 3/2020, por el que se implementa la firma electrónica certificada del Poder Judicial de la Federación en los acuerdos, resoluciones y sentencias que se dicten con motivo del trámite, turno, sustanciación y resolución de los medios de impugnación en materia electoral.</w:t>
        </w:r>
      </w:hyperlink>
    </w:p>
  </w:footnote>
  <w:footnote w:id="17">
    <w:p w:rsidR="003E7D28" w:rsidRPr="00731A1D" w:rsidRDefault="003E7D28" w:rsidP="00731A1D">
      <w:pPr>
        <w:pStyle w:val="Textonotapie"/>
        <w:jc w:val="both"/>
        <w:rPr>
          <w:rFonts w:cs="Arial"/>
          <w:sz w:val="18"/>
          <w:szCs w:val="18"/>
        </w:rPr>
      </w:pPr>
      <w:r w:rsidRPr="00731A1D">
        <w:rPr>
          <w:rStyle w:val="Refdenotaalpie"/>
          <w:rFonts w:cs="Arial"/>
          <w:sz w:val="18"/>
          <w:szCs w:val="18"/>
        </w:rPr>
        <w:footnoteRef/>
      </w:r>
      <w:r w:rsidRPr="00731A1D">
        <w:rPr>
          <w:rFonts w:cs="Arial"/>
          <w:sz w:val="18"/>
          <w:szCs w:val="18"/>
        </w:rPr>
        <w:t xml:space="preserve"> </w:t>
      </w:r>
      <w:r w:rsidR="0044388B" w:rsidRPr="00731A1D">
        <w:rPr>
          <w:rFonts w:cs="Arial"/>
          <w:sz w:val="18"/>
          <w:szCs w:val="18"/>
        </w:rPr>
        <w:t xml:space="preserve">Disponible en: </w:t>
      </w:r>
      <w:hyperlink r:id="rId4" w:history="1">
        <w:r w:rsidR="0044388B" w:rsidRPr="00731A1D">
          <w:rPr>
            <w:rStyle w:val="Hipervnculo"/>
            <w:rFonts w:cs="Arial"/>
            <w:color w:val="auto"/>
            <w:sz w:val="18"/>
            <w:szCs w:val="18"/>
          </w:rPr>
          <w:t>https://www.te.gob.mx/media/files/3f0d85732bf3c02.pdf</w:t>
        </w:r>
      </w:hyperlink>
    </w:p>
  </w:footnote>
  <w:footnote w:id="18">
    <w:p w:rsidR="0044388B" w:rsidRPr="00731A1D" w:rsidRDefault="0044388B" w:rsidP="00731A1D">
      <w:pPr>
        <w:pStyle w:val="Textonotapie"/>
        <w:jc w:val="both"/>
        <w:rPr>
          <w:rFonts w:cs="Arial"/>
          <w:sz w:val="18"/>
          <w:szCs w:val="18"/>
        </w:rPr>
      </w:pPr>
      <w:r w:rsidRPr="00731A1D">
        <w:rPr>
          <w:rStyle w:val="Refdenotaalpie"/>
          <w:rFonts w:cs="Arial"/>
          <w:sz w:val="18"/>
          <w:szCs w:val="18"/>
        </w:rPr>
        <w:footnoteRef/>
      </w:r>
      <w:r w:rsidRPr="00731A1D">
        <w:rPr>
          <w:rFonts w:cs="Arial"/>
          <w:sz w:val="18"/>
          <w:szCs w:val="18"/>
        </w:rPr>
        <w:t xml:space="preserve"> Disponible en: </w:t>
      </w:r>
      <w:r w:rsidRPr="007F0B28">
        <w:rPr>
          <w:rFonts w:cs="Arial"/>
          <w:sz w:val="18"/>
          <w:szCs w:val="18"/>
          <w:u w:val="single"/>
        </w:rPr>
        <w:t>https://www.te.gob.mx/media/files/ec743f97d2cfead6c8a2a77daf9f923a0.pdf</w:t>
      </w:r>
    </w:p>
  </w:footnote>
  <w:footnote w:id="19">
    <w:p w:rsidR="007C26D8" w:rsidRPr="00731A1D" w:rsidRDefault="007C26D8" w:rsidP="00731A1D">
      <w:pPr>
        <w:pStyle w:val="Textonotapie"/>
        <w:jc w:val="both"/>
        <w:rPr>
          <w:rFonts w:cs="Arial"/>
          <w:sz w:val="18"/>
          <w:szCs w:val="18"/>
        </w:rPr>
      </w:pPr>
      <w:r w:rsidRPr="00731A1D">
        <w:rPr>
          <w:rStyle w:val="Refdenotaalpie"/>
          <w:rFonts w:cs="Arial"/>
          <w:sz w:val="18"/>
          <w:szCs w:val="18"/>
        </w:rPr>
        <w:footnoteRef/>
      </w:r>
      <w:r w:rsidRPr="00731A1D">
        <w:rPr>
          <w:rFonts w:cs="Arial"/>
          <w:sz w:val="18"/>
          <w:szCs w:val="18"/>
        </w:rPr>
        <w:t xml:space="preserve"> ACUERDO General número 3/2020, de diecisiete de marzo de dos mil veinte, del Pleno de la Suprema Corte de Justicia de la Nación, por el que se suspenden actividades jurisdiccionales y, por ende, se declaran inhábiles los días que comprenden del dieciocho de marzo al diecinueve de abril de dos mil veinte, y se habilitan los días que resulten necesarios para proveer sobre la admisión y suspensión de controversias constitucionales urgente.</w:t>
      </w:r>
    </w:p>
    <w:p w:rsidR="007C26D8" w:rsidRPr="00731A1D" w:rsidRDefault="007C26D8" w:rsidP="00731A1D">
      <w:pPr>
        <w:pStyle w:val="Textonotapie"/>
        <w:jc w:val="both"/>
        <w:rPr>
          <w:rFonts w:cs="Arial"/>
          <w:sz w:val="18"/>
          <w:szCs w:val="18"/>
        </w:rPr>
      </w:pPr>
      <w:r w:rsidRPr="00731A1D">
        <w:rPr>
          <w:rFonts w:cs="Arial"/>
          <w:sz w:val="18"/>
          <w:szCs w:val="18"/>
        </w:rPr>
        <w:t xml:space="preserve">Disponible en: </w:t>
      </w:r>
      <w:hyperlink r:id="rId5" w:history="1">
        <w:r w:rsidRPr="00731A1D">
          <w:rPr>
            <w:rStyle w:val="Hipervnculo"/>
            <w:rFonts w:cs="Arial"/>
            <w:color w:val="auto"/>
            <w:sz w:val="18"/>
            <w:szCs w:val="18"/>
          </w:rPr>
          <w:t>https://www.dof.gob.mx/nota_detalle.php?codigo=5589708&amp;fecha=18/03/2020</w:t>
        </w:r>
      </w:hyperlink>
    </w:p>
  </w:footnote>
  <w:footnote w:id="20">
    <w:p w:rsidR="002A794E" w:rsidRPr="00731A1D" w:rsidRDefault="006778C9" w:rsidP="00731A1D">
      <w:pPr>
        <w:pStyle w:val="Textonotapie"/>
        <w:jc w:val="both"/>
        <w:rPr>
          <w:rFonts w:cs="Arial"/>
          <w:sz w:val="18"/>
          <w:szCs w:val="18"/>
        </w:rPr>
      </w:pPr>
      <w:r w:rsidRPr="00731A1D">
        <w:rPr>
          <w:rStyle w:val="Refdenotaalpie"/>
          <w:rFonts w:cs="Arial"/>
          <w:sz w:val="18"/>
          <w:szCs w:val="18"/>
        </w:rPr>
        <w:footnoteRef/>
      </w:r>
      <w:r w:rsidRPr="00731A1D">
        <w:rPr>
          <w:rFonts w:cs="Arial"/>
          <w:sz w:val="18"/>
          <w:szCs w:val="18"/>
        </w:rPr>
        <w:t xml:space="preserve"> </w:t>
      </w:r>
      <w:r w:rsidR="00A75227" w:rsidRPr="00731A1D">
        <w:rPr>
          <w:rFonts w:cs="Arial"/>
          <w:sz w:val="18"/>
          <w:szCs w:val="18"/>
        </w:rPr>
        <w:t>A</w:t>
      </w:r>
      <w:r w:rsidR="00CD0477" w:rsidRPr="00731A1D">
        <w:rPr>
          <w:rFonts w:cs="Arial"/>
          <w:sz w:val="18"/>
          <w:szCs w:val="18"/>
        </w:rPr>
        <w:t>cuerdo</w:t>
      </w:r>
      <w:r w:rsidR="00A75227" w:rsidRPr="00731A1D">
        <w:rPr>
          <w:rFonts w:cs="Arial"/>
          <w:sz w:val="18"/>
          <w:szCs w:val="18"/>
        </w:rPr>
        <w:t xml:space="preserve"> General 4/2020 del Pleno del Consejo de la Judicatura Federal, relativo a las medidas de contingencia en los órganos jurisdiccionales por el fenómeno de salud pública derivado del virus COVID-19</w:t>
      </w:r>
      <w:r w:rsidR="002A794E" w:rsidRPr="00731A1D">
        <w:rPr>
          <w:rFonts w:cs="Arial"/>
          <w:sz w:val="18"/>
          <w:szCs w:val="18"/>
        </w:rPr>
        <w:t>. Disponible en:</w:t>
      </w:r>
    </w:p>
    <w:p w:rsidR="006778C9" w:rsidRPr="00731A1D" w:rsidRDefault="009B005A" w:rsidP="00731A1D">
      <w:pPr>
        <w:pStyle w:val="Textonotapie"/>
        <w:jc w:val="both"/>
        <w:rPr>
          <w:rFonts w:cs="Arial"/>
          <w:sz w:val="18"/>
          <w:szCs w:val="18"/>
        </w:rPr>
      </w:pPr>
      <w:hyperlink r:id="rId6" w:history="1">
        <w:r w:rsidR="002A794E" w:rsidRPr="00731A1D">
          <w:rPr>
            <w:rStyle w:val="Hipervnculo"/>
            <w:rFonts w:cs="Arial"/>
            <w:color w:val="auto"/>
            <w:sz w:val="18"/>
            <w:szCs w:val="18"/>
          </w:rPr>
          <w:t>https://www.dof.gob.mx/nota_detalle.php?codigo=5589993&amp;fecha=20/03/2020</w:t>
        </w:r>
      </w:hyperlink>
    </w:p>
  </w:footnote>
  <w:footnote w:id="21">
    <w:p w:rsidR="009252C3" w:rsidRPr="00731A1D" w:rsidRDefault="009252C3" w:rsidP="00731A1D">
      <w:pPr>
        <w:pStyle w:val="Textonotapie"/>
        <w:jc w:val="both"/>
        <w:rPr>
          <w:rFonts w:cs="Arial"/>
          <w:sz w:val="18"/>
          <w:szCs w:val="18"/>
        </w:rPr>
      </w:pPr>
      <w:r w:rsidRPr="00731A1D">
        <w:rPr>
          <w:rStyle w:val="Refdenotaalpie"/>
          <w:rFonts w:cs="Arial"/>
          <w:sz w:val="18"/>
          <w:szCs w:val="18"/>
        </w:rPr>
        <w:footnoteRef/>
      </w:r>
      <w:r w:rsidRPr="00731A1D">
        <w:rPr>
          <w:rFonts w:cs="Arial"/>
          <w:sz w:val="18"/>
          <w:szCs w:val="18"/>
        </w:rPr>
        <w:t xml:space="preserve"> </w:t>
      </w:r>
      <w:r w:rsidR="00CD0477" w:rsidRPr="00731A1D">
        <w:rPr>
          <w:rFonts w:cs="Arial"/>
          <w:sz w:val="18"/>
          <w:szCs w:val="18"/>
        </w:rPr>
        <w:t>“</w:t>
      </w:r>
      <w:r w:rsidR="00CD0477" w:rsidRPr="00731A1D">
        <w:rPr>
          <w:rFonts w:cs="Arial"/>
          <w:sz w:val="18"/>
          <w:szCs w:val="18"/>
          <w:shd w:val="clear" w:color="auto" w:fill="FFFFFF"/>
        </w:rPr>
        <w:t>Acuerdo del Magistrado Presidente del Tribunal Electoral del Poder Judicial de la Federación, relativo a la implementación de medidas que garanticen el adecuado funcionamiento en la prestación de los servicios esenciales y preventivas para la protección de los servidores públicos de esta institución y personas que acudan a sus instalaciones.”</w:t>
      </w:r>
      <w:r w:rsidR="00E21A46" w:rsidRPr="00731A1D">
        <w:rPr>
          <w:rFonts w:cs="Arial"/>
          <w:sz w:val="18"/>
          <w:szCs w:val="18"/>
          <w:shd w:val="clear" w:color="auto" w:fill="FFFFFF"/>
        </w:rPr>
        <w:t xml:space="preserve"> Disponible en: </w:t>
      </w:r>
      <w:hyperlink r:id="rId7" w:history="1">
        <w:r w:rsidR="00E21A46" w:rsidRPr="00731A1D">
          <w:rPr>
            <w:rStyle w:val="Hipervnculo"/>
            <w:rFonts w:cs="Arial"/>
            <w:color w:val="auto"/>
            <w:sz w:val="18"/>
            <w:szCs w:val="18"/>
            <w:shd w:val="clear" w:color="auto" w:fill="FFFFFF"/>
          </w:rPr>
          <w:t>https://www.te.gob.mx/media/pdf/b014e5b0d2525ff.pdf</w:t>
        </w:r>
      </w:hyperlink>
      <w:r w:rsidR="00E21A46" w:rsidRPr="00731A1D">
        <w:rPr>
          <w:rFonts w:cs="Arial"/>
          <w:sz w:val="18"/>
          <w:szCs w:val="18"/>
          <w:shd w:val="clear" w:color="auto" w:fill="FFFFFF"/>
        </w:rPr>
        <w:t xml:space="preserve"> </w:t>
      </w:r>
    </w:p>
  </w:footnote>
  <w:footnote w:id="22">
    <w:p w:rsidR="004C3C0E" w:rsidRPr="00731A1D" w:rsidRDefault="004C3C0E" w:rsidP="00731A1D">
      <w:pPr>
        <w:pStyle w:val="Textonotapie"/>
        <w:jc w:val="both"/>
        <w:rPr>
          <w:rFonts w:cs="Arial"/>
          <w:sz w:val="18"/>
          <w:szCs w:val="18"/>
        </w:rPr>
      </w:pPr>
      <w:r w:rsidRPr="00731A1D">
        <w:rPr>
          <w:rStyle w:val="Refdenotaalpie"/>
          <w:rFonts w:cs="Arial"/>
          <w:sz w:val="18"/>
          <w:szCs w:val="18"/>
        </w:rPr>
        <w:footnoteRef/>
      </w:r>
      <w:r w:rsidRPr="00731A1D">
        <w:rPr>
          <w:rFonts w:cs="Arial"/>
          <w:sz w:val="18"/>
          <w:szCs w:val="18"/>
        </w:rPr>
        <w:t xml:space="preserve"> </w:t>
      </w:r>
      <w:r w:rsidR="00887C79" w:rsidRPr="00731A1D">
        <w:rPr>
          <w:rFonts w:cs="Arial"/>
          <w:sz w:val="18"/>
          <w:szCs w:val="18"/>
        </w:rPr>
        <w:t xml:space="preserve">Disponible en: </w:t>
      </w:r>
      <w:hyperlink r:id="rId8" w:history="1">
        <w:r w:rsidR="00887C79" w:rsidRPr="00731A1D">
          <w:rPr>
            <w:rStyle w:val="Hipervnculo"/>
            <w:rFonts w:cs="Arial"/>
            <w:color w:val="auto"/>
            <w:sz w:val="18"/>
            <w:szCs w:val="18"/>
          </w:rPr>
          <w:t>https://www.dof.gob.mx/nota_detalle.php?codigo=5590681&amp;fecha=27/03/2020</w:t>
        </w:r>
      </w:hyperlink>
    </w:p>
  </w:footnote>
  <w:footnote w:id="23">
    <w:p w:rsidR="002077E1" w:rsidRPr="00731A1D" w:rsidRDefault="0014524A" w:rsidP="00731A1D">
      <w:pPr>
        <w:pStyle w:val="Textonotapie"/>
        <w:jc w:val="both"/>
        <w:rPr>
          <w:rFonts w:cs="Arial"/>
          <w:sz w:val="18"/>
          <w:szCs w:val="18"/>
        </w:rPr>
      </w:pPr>
      <w:r w:rsidRPr="00731A1D">
        <w:rPr>
          <w:rStyle w:val="Refdenotaalpie"/>
          <w:rFonts w:cs="Arial"/>
          <w:sz w:val="18"/>
          <w:szCs w:val="18"/>
        </w:rPr>
        <w:footnoteRef/>
      </w:r>
      <w:r w:rsidRPr="00731A1D">
        <w:rPr>
          <w:rFonts w:cs="Arial"/>
          <w:sz w:val="18"/>
          <w:szCs w:val="18"/>
        </w:rPr>
        <w:t xml:space="preserve"> </w:t>
      </w:r>
      <w:r w:rsidR="00944618" w:rsidRPr="00731A1D">
        <w:rPr>
          <w:rFonts w:cs="Arial"/>
          <w:sz w:val="18"/>
          <w:szCs w:val="18"/>
        </w:rPr>
        <w:t xml:space="preserve">Disponible en: </w:t>
      </w:r>
      <w:hyperlink r:id="rId9" w:history="1">
        <w:r w:rsidR="002077E1" w:rsidRPr="00731A1D">
          <w:rPr>
            <w:rStyle w:val="Hipervnculo"/>
            <w:rFonts w:cs="Arial"/>
            <w:color w:val="auto"/>
            <w:sz w:val="18"/>
            <w:szCs w:val="18"/>
          </w:rPr>
          <w:t>https://www.dof.gob.mx/nota_detalle.php?codigo=5590745&amp;fecha=30/03/2020</w:t>
        </w:r>
      </w:hyperlink>
    </w:p>
  </w:footnote>
  <w:footnote w:id="24">
    <w:p w:rsidR="00D51BD0" w:rsidRPr="00731A1D" w:rsidRDefault="00D51BD0" w:rsidP="00731A1D">
      <w:pPr>
        <w:pStyle w:val="Textonotapie"/>
        <w:jc w:val="both"/>
        <w:rPr>
          <w:rFonts w:cs="Arial"/>
          <w:sz w:val="18"/>
          <w:szCs w:val="18"/>
        </w:rPr>
      </w:pPr>
      <w:r w:rsidRPr="00731A1D">
        <w:rPr>
          <w:rStyle w:val="Refdenotaalpie"/>
          <w:rFonts w:cs="Arial"/>
          <w:sz w:val="18"/>
          <w:szCs w:val="18"/>
        </w:rPr>
        <w:footnoteRef/>
      </w:r>
      <w:r w:rsidRPr="00731A1D">
        <w:rPr>
          <w:rFonts w:cs="Arial"/>
          <w:sz w:val="18"/>
          <w:szCs w:val="18"/>
        </w:rPr>
        <w:t xml:space="preserve"> </w:t>
      </w:r>
      <w:r w:rsidR="002077E1" w:rsidRPr="00731A1D">
        <w:rPr>
          <w:rFonts w:cs="Arial"/>
          <w:sz w:val="18"/>
          <w:szCs w:val="18"/>
        </w:rPr>
        <w:t xml:space="preserve">Disponible en: </w:t>
      </w:r>
      <w:r w:rsidR="003B5A72" w:rsidRPr="00731A1D">
        <w:rPr>
          <w:rFonts w:cs="Arial"/>
          <w:sz w:val="18"/>
          <w:szCs w:val="18"/>
        </w:rPr>
        <w:t>https://www.te.gob.mx/media/files/ec743f97d2cfead6c8a2a77daf9f923a0.pdf</w:t>
      </w:r>
    </w:p>
  </w:footnote>
  <w:footnote w:id="25">
    <w:p w:rsidR="0065096D" w:rsidRPr="00731A1D" w:rsidRDefault="0065096D" w:rsidP="00731A1D">
      <w:pPr>
        <w:pStyle w:val="Textonotapie"/>
        <w:jc w:val="both"/>
        <w:rPr>
          <w:rFonts w:cs="Arial"/>
          <w:sz w:val="18"/>
          <w:szCs w:val="18"/>
        </w:rPr>
      </w:pPr>
      <w:r w:rsidRPr="00731A1D">
        <w:rPr>
          <w:rStyle w:val="Refdenotaalpie"/>
          <w:rFonts w:cs="Arial"/>
          <w:sz w:val="18"/>
          <w:szCs w:val="18"/>
        </w:rPr>
        <w:footnoteRef/>
      </w:r>
      <w:r w:rsidRPr="00731A1D">
        <w:rPr>
          <w:rFonts w:cs="Arial"/>
          <w:sz w:val="18"/>
          <w:szCs w:val="18"/>
        </w:rPr>
        <w:t xml:space="preserve"> 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w:t>
      </w:r>
    </w:p>
  </w:footnote>
  <w:footnote w:id="26">
    <w:p w:rsidR="00781631" w:rsidRPr="00731A1D" w:rsidRDefault="00781631" w:rsidP="00731A1D">
      <w:pPr>
        <w:pStyle w:val="Textonotapie"/>
        <w:jc w:val="both"/>
        <w:rPr>
          <w:rFonts w:cs="Arial"/>
          <w:sz w:val="18"/>
          <w:szCs w:val="18"/>
        </w:rPr>
      </w:pPr>
      <w:r w:rsidRPr="00731A1D">
        <w:rPr>
          <w:rStyle w:val="Refdenotaalpie"/>
          <w:rFonts w:cs="Arial"/>
          <w:sz w:val="18"/>
          <w:szCs w:val="18"/>
        </w:rPr>
        <w:footnoteRef/>
      </w:r>
      <w:r w:rsidRPr="00731A1D">
        <w:rPr>
          <w:rFonts w:cs="Arial"/>
          <w:sz w:val="18"/>
          <w:szCs w:val="18"/>
        </w:rPr>
        <w:t xml:space="preserve"> </w:t>
      </w:r>
      <w:r w:rsidR="00162A2D" w:rsidRPr="00731A1D">
        <w:rPr>
          <w:rFonts w:cs="Arial"/>
          <w:sz w:val="18"/>
          <w:szCs w:val="18"/>
        </w:rPr>
        <w:t xml:space="preserve">Véase la jurisprudencia </w:t>
      </w:r>
      <w:r w:rsidR="00027CC0" w:rsidRPr="00731A1D">
        <w:rPr>
          <w:rFonts w:cs="Arial"/>
          <w:sz w:val="18"/>
          <w:szCs w:val="18"/>
        </w:rPr>
        <w:t xml:space="preserve">1a./J. 8/2019 </w:t>
      </w:r>
      <w:r w:rsidR="00162A2D" w:rsidRPr="00731A1D">
        <w:rPr>
          <w:rFonts w:cs="Arial"/>
          <w:sz w:val="18"/>
          <w:szCs w:val="18"/>
        </w:rPr>
        <w:t>de la Segunda Sala</w:t>
      </w:r>
      <w:r w:rsidR="00027CC0" w:rsidRPr="00731A1D">
        <w:rPr>
          <w:rFonts w:cs="Arial"/>
          <w:sz w:val="18"/>
          <w:szCs w:val="18"/>
        </w:rPr>
        <w:t xml:space="preserve"> de la SCJN</w:t>
      </w:r>
      <w:r w:rsidR="00162A2D" w:rsidRPr="00731A1D">
        <w:rPr>
          <w:rFonts w:cs="Arial"/>
          <w:sz w:val="18"/>
          <w:szCs w:val="18"/>
        </w:rPr>
        <w:t>, de rubro: DERECHO A LA PROTECCIÓN DE LA SALUD. DIMENSIONES INDIVIDUAL Y SOCIAL.</w:t>
      </w:r>
      <w:r w:rsidR="00027CC0" w:rsidRPr="00731A1D">
        <w:rPr>
          <w:rFonts w:cs="Arial"/>
          <w:sz w:val="18"/>
          <w:szCs w:val="18"/>
        </w:rPr>
        <w:t xml:space="preserve"> Publicada en </w:t>
      </w:r>
      <w:r w:rsidR="00811362" w:rsidRPr="00731A1D">
        <w:rPr>
          <w:rFonts w:cs="Arial"/>
          <w:sz w:val="18"/>
          <w:szCs w:val="18"/>
        </w:rPr>
        <w:t xml:space="preserve">la Gaceta del Semanario Judicial de la Federación, Décima Época, Libro 63, </w:t>
      </w:r>
      <w:r w:rsidR="009602EB" w:rsidRPr="00731A1D">
        <w:rPr>
          <w:rFonts w:cs="Arial"/>
          <w:sz w:val="18"/>
          <w:szCs w:val="18"/>
        </w:rPr>
        <w:t>febrero</w:t>
      </w:r>
      <w:r w:rsidR="00811362" w:rsidRPr="00731A1D">
        <w:rPr>
          <w:rFonts w:cs="Arial"/>
          <w:sz w:val="18"/>
          <w:szCs w:val="18"/>
        </w:rPr>
        <w:t xml:space="preserve"> de 2019, Tomo I</w:t>
      </w:r>
      <w:r w:rsidR="00862A79" w:rsidRPr="00731A1D">
        <w:rPr>
          <w:rFonts w:cs="Arial"/>
          <w:sz w:val="18"/>
          <w:szCs w:val="18"/>
        </w:rPr>
        <w:t xml:space="preserve">, p. 486. </w:t>
      </w:r>
    </w:p>
  </w:footnote>
  <w:footnote w:id="27">
    <w:p w:rsidR="00731A1D" w:rsidRPr="00731A1D" w:rsidRDefault="00731A1D" w:rsidP="00731A1D">
      <w:pPr>
        <w:pStyle w:val="NormalWeb"/>
        <w:shd w:val="clear" w:color="auto" w:fill="FFFFFF"/>
        <w:spacing w:before="0" w:beforeAutospacing="0" w:after="0" w:afterAutospacing="0"/>
        <w:jc w:val="both"/>
        <w:rPr>
          <w:rFonts w:ascii="Arial" w:hAnsi="Arial" w:cs="Arial"/>
          <w:color w:val="000000"/>
          <w:sz w:val="18"/>
          <w:szCs w:val="18"/>
        </w:rPr>
      </w:pPr>
      <w:r w:rsidRPr="00731A1D">
        <w:rPr>
          <w:rStyle w:val="Refdenotaalpie"/>
          <w:rFonts w:ascii="Arial" w:hAnsi="Arial" w:cs="Arial"/>
          <w:sz w:val="18"/>
          <w:szCs w:val="18"/>
        </w:rPr>
        <w:footnoteRef/>
      </w:r>
      <w:r w:rsidRPr="00731A1D">
        <w:rPr>
          <w:rFonts w:ascii="Arial" w:hAnsi="Arial" w:cs="Arial"/>
          <w:sz w:val="18"/>
          <w:szCs w:val="18"/>
        </w:rPr>
        <w:t xml:space="preserve"> La Declaración Universal de los Derechos Humanos en su apartado 1 del artículo 25, </w:t>
      </w:r>
      <w:r w:rsidRPr="00731A1D">
        <w:rPr>
          <w:rFonts w:ascii="Arial" w:hAnsi="Arial" w:cs="Arial"/>
          <w:color w:val="000000"/>
          <w:sz w:val="18"/>
          <w:szCs w:val="18"/>
        </w:rPr>
        <w:t>señala que toda persona tiene</w:t>
      </w:r>
      <w:r w:rsidRPr="00731A1D">
        <w:rPr>
          <w:rFonts w:ascii="Arial" w:hAnsi="Arial" w:cs="Arial"/>
          <w:sz w:val="18"/>
          <w:szCs w:val="18"/>
        </w:rPr>
        <w:t xml:space="preserve"> </w:t>
      </w:r>
      <w:r w:rsidRPr="00731A1D">
        <w:rPr>
          <w:rFonts w:ascii="Arial" w:hAnsi="Arial" w:cs="Arial"/>
          <w:color w:val="000000"/>
          <w:sz w:val="18"/>
          <w:szCs w:val="18"/>
        </w:rPr>
        <w:t xml:space="preserve">derecho, entre otros a la salud.   El artículo 12 del Pacto Internacional de Derechos Económicos, Sociales y Culturales alude al derecho de toda persona al disfrute del más alto nivel posible de salud física y mental, y refiere que los Estados deben adoptar medidas para asegurar la plena efectividad de este derecho; el artículo 10 del Protocolo Adicional a la Convención Americana sobre Derechos Humanos en materia de Derechos Económicos, Sociales y Culturales "Protocolo de San Salvador", refiere que toda persona tiene derecho a la salud, entendida como el disfrute del más alto nivel de bienestar físico, mental y social. </w:t>
      </w:r>
    </w:p>
  </w:footnote>
  <w:footnote w:id="28">
    <w:p w:rsidR="007E180A" w:rsidRPr="00731A1D" w:rsidRDefault="007E180A" w:rsidP="00731A1D">
      <w:pPr>
        <w:pStyle w:val="Textonotapie"/>
        <w:jc w:val="both"/>
        <w:rPr>
          <w:rFonts w:cs="Arial"/>
          <w:sz w:val="18"/>
          <w:szCs w:val="18"/>
        </w:rPr>
      </w:pPr>
      <w:r w:rsidRPr="00731A1D">
        <w:rPr>
          <w:rStyle w:val="Refdenotaalpie"/>
          <w:rFonts w:cs="Arial"/>
          <w:sz w:val="18"/>
          <w:szCs w:val="18"/>
        </w:rPr>
        <w:footnoteRef/>
      </w:r>
      <w:r w:rsidRPr="00731A1D">
        <w:rPr>
          <w:rFonts w:cs="Arial"/>
          <w:sz w:val="18"/>
          <w:szCs w:val="18"/>
        </w:rPr>
        <w:t xml:space="preserve"> Artículo 12. Son atribuciones del Pleno las siguientes:</w:t>
      </w:r>
    </w:p>
    <w:p w:rsidR="007E180A" w:rsidRPr="00731A1D" w:rsidRDefault="007E180A" w:rsidP="00731A1D">
      <w:pPr>
        <w:pStyle w:val="Textonotapie"/>
        <w:jc w:val="both"/>
        <w:rPr>
          <w:rFonts w:cs="Arial"/>
          <w:sz w:val="18"/>
          <w:szCs w:val="18"/>
        </w:rPr>
      </w:pPr>
      <w:r w:rsidRPr="00731A1D">
        <w:rPr>
          <w:rFonts w:cs="Arial"/>
          <w:sz w:val="18"/>
          <w:szCs w:val="18"/>
        </w:rPr>
        <w:t xml:space="preserve">I. </w:t>
      </w:r>
      <w:r w:rsidRPr="00731A1D">
        <w:rPr>
          <w:rFonts w:cs="Arial"/>
          <w:b/>
          <w:sz w:val="18"/>
          <w:szCs w:val="18"/>
        </w:rPr>
        <w:t>Emitir los acuerdos generales que sean necesarios para la pronta y eficaz resolución de los asuntos de su competencia</w:t>
      </w:r>
      <w:r w:rsidRPr="00731A1D">
        <w:rPr>
          <w:rFonts w:cs="Arial"/>
          <w:sz w:val="18"/>
          <w:szCs w:val="18"/>
        </w:rPr>
        <w:t>, estableciendo los criterios en caso de obscuridad o ausencia de ley;</w:t>
      </w:r>
    </w:p>
    <w:p w:rsidR="007E180A" w:rsidRPr="00731A1D" w:rsidRDefault="007E180A" w:rsidP="00731A1D">
      <w:pPr>
        <w:pStyle w:val="Textonotapie"/>
        <w:jc w:val="both"/>
        <w:rPr>
          <w:rFonts w:cs="Arial"/>
          <w:sz w:val="18"/>
          <w:szCs w:val="18"/>
        </w:rPr>
      </w:pPr>
      <w:r w:rsidRPr="00731A1D">
        <w:rPr>
          <w:rFonts w:cs="Arial"/>
          <w:sz w:val="18"/>
          <w:szCs w:val="18"/>
        </w:rPr>
        <w:t>II. Dar las bases generales para la contratación y adscripción del personal; la observación de la disciplina y puntualidad en todas las áreas; y la optimización de sus recursos;</w:t>
      </w:r>
    </w:p>
    <w:p w:rsidR="007E180A" w:rsidRPr="00731A1D" w:rsidRDefault="007E180A" w:rsidP="00731A1D">
      <w:pPr>
        <w:pStyle w:val="Textonotapie"/>
        <w:jc w:val="both"/>
        <w:rPr>
          <w:rFonts w:cs="Arial"/>
          <w:sz w:val="18"/>
          <w:szCs w:val="18"/>
        </w:rPr>
      </w:pPr>
      <w:r w:rsidRPr="00731A1D">
        <w:rPr>
          <w:rFonts w:cs="Arial"/>
          <w:sz w:val="18"/>
          <w:szCs w:val="18"/>
        </w:rPr>
        <w:t xml:space="preserve">III. </w:t>
      </w:r>
      <w:r w:rsidRPr="00731A1D">
        <w:rPr>
          <w:rFonts w:cs="Arial"/>
          <w:b/>
          <w:sz w:val="18"/>
          <w:szCs w:val="18"/>
        </w:rPr>
        <w:t>Determinar los lineamientos</w:t>
      </w:r>
      <w:r w:rsidRPr="00731A1D">
        <w:rPr>
          <w:rFonts w:cs="Arial"/>
          <w:sz w:val="18"/>
          <w:szCs w:val="18"/>
        </w:rPr>
        <w:t xml:space="preserve"> que correspondan respecto a la organización y funcionamiento del Tribunal; (…)</w:t>
      </w:r>
    </w:p>
  </w:footnote>
  <w:footnote w:id="29">
    <w:p w:rsidR="001D19E5" w:rsidRPr="00083375" w:rsidRDefault="001D19E5" w:rsidP="001D19E5">
      <w:pPr>
        <w:pStyle w:val="Textonotapie"/>
        <w:jc w:val="both"/>
        <w:rPr>
          <w:rFonts w:cs="Arial"/>
        </w:rPr>
      </w:pPr>
      <w:r w:rsidRPr="00083375">
        <w:rPr>
          <w:rStyle w:val="Refdenotaalpie"/>
          <w:rFonts w:cs="Arial"/>
        </w:rPr>
        <w:footnoteRef/>
      </w:r>
      <w:r w:rsidRPr="00083375">
        <w:rPr>
          <w:rFonts w:cs="Arial"/>
        </w:rPr>
        <w:t xml:space="preserve"> Con fundamento en los artículos 187 de la Ley Orgánica del Poder Judicial de la Federación y 11 del Reglamento Interno de este Tribunal Electoral</w:t>
      </w:r>
      <w:r>
        <w:rPr>
          <w:rFonts w:cs="Arial"/>
        </w:rPr>
        <w:t xml:space="preserve"> del Poder Judicial de la Federación</w:t>
      </w:r>
      <w:r w:rsidRPr="00083375">
        <w:rPr>
          <w:rFonts w:cs="Arial"/>
        </w:rPr>
        <w:t>.</w:t>
      </w:r>
    </w:p>
  </w:footnote>
  <w:footnote w:id="30">
    <w:p w:rsidR="001D19E5" w:rsidRPr="00083375" w:rsidRDefault="001D19E5" w:rsidP="001D19E5">
      <w:pPr>
        <w:pStyle w:val="Textonotapie"/>
        <w:jc w:val="both"/>
        <w:rPr>
          <w:rFonts w:cs="Arial"/>
        </w:rPr>
      </w:pPr>
      <w:r w:rsidRPr="00083375">
        <w:rPr>
          <w:rStyle w:val="Refdenotaalpie"/>
          <w:rFonts w:cs="Arial"/>
        </w:rPr>
        <w:footnoteRef/>
      </w:r>
      <w:r w:rsidRPr="00083375">
        <w:rPr>
          <w:rFonts w:cs="Arial"/>
        </w:rPr>
        <w:t xml:space="preserve"> En adelante juicio para la ciudadanía.</w:t>
      </w:r>
    </w:p>
  </w:footnote>
  <w:footnote w:id="31">
    <w:p w:rsidR="001D19E5" w:rsidRPr="00083375" w:rsidRDefault="001D19E5" w:rsidP="001D19E5">
      <w:pPr>
        <w:pStyle w:val="Textonotapie"/>
        <w:jc w:val="both"/>
        <w:rPr>
          <w:rFonts w:cs="Arial"/>
        </w:rPr>
      </w:pPr>
      <w:r w:rsidRPr="00083375">
        <w:rPr>
          <w:rStyle w:val="Refdenotaalpie"/>
          <w:rFonts w:cs="Arial"/>
        </w:rPr>
        <w:footnoteRef/>
      </w:r>
      <w:r w:rsidRPr="00083375">
        <w:rPr>
          <w:rFonts w:cs="Arial"/>
        </w:rPr>
        <w:t xml:space="preserve"> Colaboraron en su elaboración: Fernando Anselmo España García, Karina Quetzalli Trejo </w:t>
      </w:r>
      <w:proofErr w:type="spellStart"/>
      <w:r w:rsidRPr="00083375">
        <w:rPr>
          <w:rFonts w:cs="Arial"/>
        </w:rPr>
        <w:t>Trejo</w:t>
      </w:r>
      <w:proofErr w:type="spellEnd"/>
      <w:r w:rsidRPr="00083375">
        <w:rPr>
          <w:rFonts w:cs="Arial"/>
        </w:rPr>
        <w:t xml:space="preserve">, Alexandra D. Avena Koenigsberger, José Alberto Montes de Oca Sánchez y Rodolfo Arce Corral </w:t>
      </w:r>
    </w:p>
  </w:footnote>
  <w:footnote w:id="32">
    <w:p w:rsidR="001D19E5" w:rsidRPr="00083375" w:rsidRDefault="001D19E5" w:rsidP="001D19E5">
      <w:pPr>
        <w:pStyle w:val="Textonotapie"/>
        <w:jc w:val="both"/>
        <w:rPr>
          <w:rFonts w:cs="Arial"/>
        </w:rPr>
      </w:pPr>
      <w:r w:rsidRPr="00083375">
        <w:rPr>
          <w:rStyle w:val="Refdenotaalpie"/>
          <w:rFonts w:cs="Arial"/>
        </w:rPr>
        <w:footnoteRef/>
      </w:r>
      <w:r w:rsidRPr="00083375">
        <w:rPr>
          <w:rFonts w:cs="Arial"/>
        </w:rPr>
        <w:t xml:space="preserve"> En </w:t>
      </w:r>
      <w:r>
        <w:rPr>
          <w:rFonts w:cs="Arial"/>
        </w:rPr>
        <w:t>lo sucesivo</w:t>
      </w:r>
      <w:r w:rsidRPr="00083375">
        <w:rPr>
          <w:rFonts w:cs="Arial"/>
        </w:rPr>
        <w:t xml:space="preserve"> Tribunal local.</w:t>
      </w:r>
    </w:p>
  </w:footnote>
  <w:footnote w:id="33">
    <w:p w:rsidR="001D19E5" w:rsidRPr="002676B8" w:rsidRDefault="001D19E5" w:rsidP="001D19E5">
      <w:pPr>
        <w:pStyle w:val="Textonotapie"/>
        <w:jc w:val="both"/>
        <w:rPr>
          <w:rFonts w:cs="Arial"/>
        </w:rPr>
      </w:pPr>
      <w:r w:rsidRPr="002676B8">
        <w:rPr>
          <w:rStyle w:val="Refdenotaalpie"/>
          <w:rFonts w:cs="Arial"/>
        </w:rPr>
        <w:footnoteRef/>
      </w:r>
      <w:r w:rsidRPr="002676B8">
        <w:rPr>
          <w:rFonts w:cs="Arial"/>
        </w:rPr>
        <w:t xml:space="preserve"> En adelante promovente.</w:t>
      </w:r>
    </w:p>
  </w:footnote>
  <w:footnote w:id="34">
    <w:p w:rsidR="001D19E5" w:rsidRPr="00083375" w:rsidRDefault="001D19E5" w:rsidP="001D19E5">
      <w:pPr>
        <w:pStyle w:val="Textonotapie"/>
        <w:jc w:val="both"/>
        <w:rPr>
          <w:rFonts w:cs="Arial"/>
        </w:rPr>
      </w:pPr>
      <w:r w:rsidRPr="00083375">
        <w:rPr>
          <w:rStyle w:val="Refdenotaalpie"/>
          <w:rFonts w:cs="Arial"/>
        </w:rPr>
        <w:footnoteRef/>
      </w:r>
      <w:r w:rsidRPr="00083375">
        <w:rPr>
          <w:rFonts w:cs="Arial"/>
        </w:rPr>
        <w:t xml:space="preserve"> Véase jurisprudencia 9/2010.</w:t>
      </w:r>
    </w:p>
  </w:footnote>
  <w:footnote w:id="35">
    <w:p w:rsidR="001D19E5" w:rsidRPr="00083375" w:rsidRDefault="001D19E5" w:rsidP="001D19E5">
      <w:pPr>
        <w:pStyle w:val="Textonotapie"/>
        <w:jc w:val="both"/>
        <w:rPr>
          <w:rFonts w:cs="Arial"/>
        </w:rPr>
      </w:pPr>
      <w:r w:rsidRPr="00083375">
        <w:rPr>
          <w:rStyle w:val="Refdenotaalpie"/>
          <w:rFonts w:cs="Arial"/>
        </w:rPr>
        <w:footnoteRef/>
      </w:r>
      <w:r w:rsidRPr="00083375">
        <w:rPr>
          <w:rFonts w:cs="Arial"/>
        </w:rPr>
        <w:t xml:space="preserve"> En lo subsecuente las fechas corresponden a dos mil veinte, salvo precisión en contrario.</w:t>
      </w:r>
    </w:p>
  </w:footnote>
  <w:footnote w:id="36">
    <w:p w:rsidR="001D19E5" w:rsidRPr="00083375" w:rsidRDefault="001D19E5" w:rsidP="001D19E5">
      <w:pPr>
        <w:pStyle w:val="Textonotapie"/>
        <w:jc w:val="both"/>
        <w:rPr>
          <w:rFonts w:cs="Arial"/>
        </w:rPr>
      </w:pPr>
      <w:r w:rsidRPr="00083375">
        <w:rPr>
          <w:rStyle w:val="Refdenotaalpie"/>
          <w:rFonts w:cs="Arial"/>
        </w:rPr>
        <w:footnoteRef/>
      </w:r>
      <w:r w:rsidRPr="00083375">
        <w:rPr>
          <w:rFonts w:cs="Arial"/>
        </w:rPr>
        <w:t xml:space="preserve"> En lo sucesivo Sala Regional Xalapa.</w:t>
      </w:r>
    </w:p>
  </w:footnote>
  <w:footnote w:id="37">
    <w:p w:rsidR="001D19E5" w:rsidRPr="00083375" w:rsidRDefault="001D19E5" w:rsidP="001D19E5">
      <w:pPr>
        <w:pStyle w:val="Textonotapie"/>
        <w:jc w:val="both"/>
        <w:rPr>
          <w:rFonts w:cs="Arial"/>
        </w:rPr>
      </w:pPr>
      <w:r w:rsidRPr="00083375">
        <w:rPr>
          <w:rStyle w:val="Refdenotaalpie"/>
          <w:rFonts w:cs="Arial"/>
        </w:rPr>
        <w:footnoteRef/>
      </w:r>
      <w:r w:rsidRPr="00083375">
        <w:rPr>
          <w:rFonts w:cs="Arial"/>
        </w:rPr>
        <w:t xml:space="preserve"> En adelante Ley de Medios local.</w:t>
      </w:r>
    </w:p>
  </w:footnote>
  <w:footnote w:id="38">
    <w:p w:rsidR="001D19E5" w:rsidRPr="002676B8" w:rsidRDefault="001D19E5" w:rsidP="001D19E5">
      <w:pPr>
        <w:pStyle w:val="Textonotapie"/>
        <w:jc w:val="both"/>
        <w:rPr>
          <w:rFonts w:cs="Arial"/>
        </w:rPr>
      </w:pPr>
      <w:r w:rsidRPr="002676B8">
        <w:rPr>
          <w:rStyle w:val="Refdenotaalpie"/>
          <w:rFonts w:cs="Arial"/>
        </w:rPr>
        <w:footnoteRef/>
      </w:r>
      <w:r w:rsidRPr="002676B8">
        <w:rPr>
          <w:rFonts w:cs="Arial"/>
        </w:rPr>
        <w:t xml:space="preserve"> </w:t>
      </w:r>
      <w:r w:rsidRPr="002676B8">
        <w:rPr>
          <w:rFonts w:cs="Arial"/>
          <w:bCs/>
          <w:iCs/>
          <w:lang w:val="es-ES_tradnl"/>
        </w:rPr>
        <w:t>En términos del artículo 26, párrafos 4 y 5 de la Ley de</w:t>
      </w:r>
      <w:r>
        <w:rPr>
          <w:rFonts w:cs="Arial"/>
          <w:bCs/>
          <w:iCs/>
          <w:lang w:val="es-ES_tradnl"/>
        </w:rPr>
        <w:t xml:space="preserve"> Medios local</w:t>
      </w:r>
      <w:r w:rsidRPr="002676B8">
        <w:rPr>
          <w:rFonts w:cs="Arial"/>
          <w:bCs/>
          <w:iCs/>
          <w:lang w:val="es-ES_tradnl"/>
        </w:rPr>
        <w:t>.</w:t>
      </w:r>
    </w:p>
  </w:footnote>
  <w:footnote w:id="39">
    <w:p w:rsidR="001D19E5" w:rsidRPr="002676B8" w:rsidRDefault="001D19E5" w:rsidP="001D19E5">
      <w:pPr>
        <w:pStyle w:val="Textonotapie"/>
        <w:jc w:val="both"/>
        <w:rPr>
          <w:rFonts w:cs="Arial"/>
        </w:rPr>
      </w:pPr>
      <w:r w:rsidRPr="002676B8">
        <w:rPr>
          <w:rStyle w:val="Refdenotaalpie"/>
          <w:rFonts w:cs="Arial"/>
        </w:rPr>
        <w:footnoteRef/>
      </w:r>
      <w:r w:rsidRPr="002676B8">
        <w:rPr>
          <w:rFonts w:cs="Arial"/>
        </w:rPr>
        <w:t xml:space="preserve"> En </w:t>
      </w:r>
      <w:r>
        <w:rPr>
          <w:rFonts w:cs="Arial"/>
        </w:rPr>
        <w:t>lo subsecuente</w:t>
      </w:r>
      <w:r w:rsidRPr="002676B8">
        <w:rPr>
          <w:rFonts w:cs="Arial"/>
        </w:rPr>
        <w:t xml:space="preserve"> Ley de Medios.</w:t>
      </w:r>
    </w:p>
  </w:footnote>
  <w:footnote w:id="40">
    <w:p w:rsidR="001D19E5" w:rsidRPr="002676B8" w:rsidRDefault="001D19E5" w:rsidP="001D19E5">
      <w:pPr>
        <w:pStyle w:val="Textonotapie"/>
        <w:jc w:val="both"/>
        <w:rPr>
          <w:rFonts w:cs="Arial"/>
        </w:rPr>
      </w:pPr>
      <w:r w:rsidRPr="002676B8">
        <w:rPr>
          <w:rStyle w:val="Refdenotaalpie"/>
          <w:rFonts w:cs="Arial"/>
        </w:rPr>
        <w:footnoteRef/>
      </w:r>
      <w:r w:rsidRPr="002676B8">
        <w:rPr>
          <w:rFonts w:cs="Arial"/>
        </w:rPr>
        <w:t xml:space="preserve"> Artículo 26. (…)</w:t>
      </w:r>
    </w:p>
    <w:p w:rsidR="001D19E5" w:rsidRPr="002676B8" w:rsidRDefault="001D19E5" w:rsidP="001D19E5">
      <w:pPr>
        <w:pStyle w:val="Textonotapie"/>
        <w:jc w:val="both"/>
        <w:rPr>
          <w:rFonts w:cs="Arial"/>
        </w:rPr>
      </w:pPr>
      <w:r w:rsidRPr="002676B8">
        <w:rPr>
          <w:rFonts w:cs="Arial"/>
        </w:rPr>
        <w:t>4. El actor o recurrente y el tercero interesado podrán autorizar para oír notificaciones en su nombre, a cualquier persona con capacidad legal, quien quedará facultada para interponer los recursos que procedan, ofrecer y rendir pruebas, alegar en las audiencias, solicitar su suspensión o diferimiento, realizar cualquier acto que resulte ser necesario para la defensa de los derechos del autorizante, pero no podrá substituir o delegar dichas facultades en un tercero.</w:t>
      </w:r>
    </w:p>
  </w:footnote>
  <w:footnote w:id="41">
    <w:p w:rsidR="001D19E5" w:rsidRPr="002676B8" w:rsidRDefault="001D19E5" w:rsidP="001D19E5">
      <w:pPr>
        <w:pStyle w:val="Textonotapie"/>
        <w:jc w:val="both"/>
        <w:rPr>
          <w:rFonts w:cs="Arial"/>
          <w:lang w:val="en-US"/>
        </w:rPr>
      </w:pPr>
      <w:r w:rsidRPr="002676B8">
        <w:rPr>
          <w:rStyle w:val="Refdenotaalpie"/>
          <w:rFonts w:cs="Arial"/>
        </w:rPr>
        <w:footnoteRef/>
      </w:r>
      <w:r w:rsidRPr="002676B8">
        <w:rPr>
          <w:rFonts w:cs="Arial"/>
          <w:lang w:val="en-US"/>
        </w:rPr>
        <w:t xml:space="preserve"> Sunstein, Cass R., </w:t>
      </w:r>
      <w:r w:rsidRPr="002676B8">
        <w:rPr>
          <w:rFonts w:cs="Arial"/>
          <w:i/>
          <w:iCs/>
          <w:lang w:val="en-US"/>
        </w:rPr>
        <w:t>One Case at a Time. Judicial Minimalism</w:t>
      </w:r>
      <w:r w:rsidRPr="002676B8">
        <w:rPr>
          <w:rFonts w:cs="Arial"/>
          <w:lang w:val="en-US"/>
        </w:rPr>
        <w:t xml:space="preserve">, Harvard University Press, Cambridge, Mass, 1999, p. x. </w:t>
      </w:r>
    </w:p>
  </w:footnote>
  <w:footnote w:id="42">
    <w:p w:rsidR="001D19E5" w:rsidRPr="002676B8" w:rsidRDefault="001D19E5" w:rsidP="001D19E5">
      <w:pPr>
        <w:pStyle w:val="Textonotapie"/>
        <w:jc w:val="both"/>
        <w:rPr>
          <w:rFonts w:cs="Arial"/>
        </w:rPr>
      </w:pPr>
      <w:r w:rsidRPr="002676B8">
        <w:rPr>
          <w:rStyle w:val="Refdenotaalpie"/>
          <w:rFonts w:cs="Arial"/>
        </w:rPr>
        <w:footnoteRef/>
      </w:r>
      <w:r w:rsidRPr="002676B8">
        <w:rPr>
          <w:rFonts w:cs="Arial"/>
        </w:rPr>
        <w:t xml:space="preserve"> Por ejemplo, el artículo 692, fracción II de la Ley Federal del Trabajo, así como en los Códigos Procesales Civiles de Coahuila, Guerrero y Zacatecas, o bien el artículo 26, párrafo 4 de la Ley de Medios local.</w:t>
      </w:r>
    </w:p>
  </w:footnote>
  <w:footnote w:id="43">
    <w:p w:rsidR="001D19E5" w:rsidRPr="002676B8" w:rsidRDefault="001D19E5" w:rsidP="001D19E5">
      <w:pPr>
        <w:pStyle w:val="Textonotapie"/>
        <w:jc w:val="both"/>
        <w:rPr>
          <w:rFonts w:cs="Arial"/>
        </w:rPr>
      </w:pPr>
      <w:r w:rsidRPr="002676B8">
        <w:rPr>
          <w:rStyle w:val="Refdenotaalpie"/>
          <w:rFonts w:cs="Arial"/>
        </w:rPr>
        <w:footnoteRef/>
      </w:r>
      <w:r w:rsidRPr="002676B8">
        <w:rPr>
          <w:rFonts w:cs="Arial"/>
        </w:rPr>
        <w:t xml:space="preserve"> En el caso de la legislación federal, l</w:t>
      </w:r>
      <w:r w:rsidRPr="002676B8">
        <w:rPr>
          <w:rFonts w:eastAsia="Arial Unicode MS" w:cs="Arial"/>
          <w:bCs/>
        </w:rPr>
        <w:t xml:space="preserve">a única facultad que otorga a las partes el artículo 9, párrafo 1, inciso b), de la Ley de Medios, es para autorizar a alguna persona para que </w:t>
      </w:r>
      <w:r w:rsidRPr="002676B8">
        <w:rPr>
          <w:rFonts w:eastAsia="Arial Unicode MS" w:cs="Arial"/>
          <w:b/>
          <w:bCs/>
        </w:rPr>
        <w:t>reciba notificaciones en su nombre</w:t>
      </w:r>
      <w:r w:rsidRPr="002676B8">
        <w:rPr>
          <w:rFonts w:eastAsia="Arial Unicode MS" w:cs="Arial"/>
          <w:bCs/>
        </w:rPr>
        <w:t>, lo cual significa que la o el autorizado tiene la facultad de recibirlas, pero sus atribuciones se circunscriben a esa tarea durante el trámite y resolución del proceso en el que fue nombrado, sin que confiera una representación respecto del autorizante. Lo anterior es reiterado en el artículo 68 del Reglamento Interno del Tribunal Electoral del Poder Judicial de la Federación en el que precisa que dichos autorizados únicamente pueden: 1) consultar e imponerse de los autos, 2) recoger documentos, y 3) desahogar requerimientos cuando consistan únicamente en la presentación física de documentos.</w:t>
      </w:r>
    </w:p>
  </w:footnote>
  <w:footnote w:id="44">
    <w:p w:rsidR="001D19E5" w:rsidRPr="002676B8" w:rsidRDefault="001D19E5" w:rsidP="001D19E5">
      <w:pPr>
        <w:pStyle w:val="Textonotapie"/>
        <w:jc w:val="both"/>
        <w:rPr>
          <w:rFonts w:cs="Arial"/>
        </w:rPr>
      </w:pPr>
      <w:r w:rsidRPr="002676B8">
        <w:rPr>
          <w:rStyle w:val="Refdenotaalpie"/>
          <w:rFonts w:cs="Arial"/>
        </w:rPr>
        <w:footnoteRef/>
      </w:r>
      <w:r w:rsidRPr="002676B8">
        <w:rPr>
          <w:rFonts w:cs="Arial"/>
        </w:rPr>
        <w:t xml:space="preserve"> En términos similares se encuentra el artículo 12, apartado 1, inciso a), de la Ley de Medios, el cual señala que el actor será </w:t>
      </w:r>
      <w:r w:rsidRPr="002676B8">
        <w:rPr>
          <w:rFonts w:cs="Arial"/>
          <w:b/>
        </w:rPr>
        <w:t>quien estando legitimado presente por sí mismo o, en su caso, a través de representante, en los términos de este ordenamiento,</w:t>
      </w:r>
      <w:r w:rsidRPr="002676B8">
        <w:rPr>
          <w:rFonts w:cs="Arial"/>
        </w:rPr>
        <w:t xml:space="preserve"> el medio de impugnación respectivo.</w:t>
      </w:r>
    </w:p>
  </w:footnote>
  <w:footnote w:id="45">
    <w:p w:rsidR="001D19E5" w:rsidRPr="002676B8" w:rsidRDefault="001D19E5" w:rsidP="001D19E5">
      <w:pPr>
        <w:pStyle w:val="Textonotapie"/>
        <w:jc w:val="both"/>
        <w:rPr>
          <w:rFonts w:cs="Arial"/>
        </w:rPr>
      </w:pPr>
      <w:r w:rsidRPr="002676B8">
        <w:rPr>
          <w:rStyle w:val="Refdenotaalpie"/>
          <w:rFonts w:cs="Arial"/>
        </w:rPr>
        <w:footnoteRef/>
      </w:r>
      <w:r w:rsidRPr="002676B8">
        <w:rPr>
          <w:rFonts w:cs="Arial"/>
        </w:rPr>
        <w:t xml:space="preserve"> “Artículo 26</w:t>
      </w:r>
    </w:p>
    <w:p w:rsidR="001D19E5" w:rsidRPr="002676B8" w:rsidRDefault="001D19E5" w:rsidP="001D19E5">
      <w:pPr>
        <w:pStyle w:val="Textonotapie"/>
        <w:jc w:val="both"/>
        <w:rPr>
          <w:rFonts w:cs="Arial"/>
        </w:rPr>
      </w:pPr>
      <w:r w:rsidRPr="002676B8">
        <w:rPr>
          <w:rFonts w:cs="Arial"/>
        </w:rPr>
        <w:t>….</w:t>
      </w:r>
    </w:p>
    <w:p w:rsidR="001D19E5" w:rsidRPr="002676B8" w:rsidRDefault="001D19E5" w:rsidP="001D19E5">
      <w:pPr>
        <w:pStyle w:val="Textonotapie"/>
        <w:jc w:val="both"/>
        <w:rPr>
          <w:rFonts w:cs="Arial"/>
        </w:rPr>
      </w:pPr>
      <w:r w:rsidRPr="002676B8">
        <w:rPr>
          <w:rFonts w:cs="Arial"/>
        </w:rPr>
        <w:t>4. El actor o recurrente y el tercero interesado podrán autorizar para oír notificaciones en su nombre, a cualquier persona con capacidad legal, quien quedará facultada para interponer los recursos que procedan, ofrecer y rendir pruebas, alegar en las audiencias, solicitar su suspensión o diferimiento, realizar cualquier acto que resulte ser necesario para la defensa de los derechos del autorizante, pero no podrá substituir o delegar dichas facultades en un tercero.</w:t>
      </w:r>
    </w:p>
    <w:p w:rsidR="001D19E5" w:rsidRPr="002676B8" w:rsidRDefault="001D19E5" w:rsidP="001D19E5">
      <w:pPr>
        <w:pStyle w:val="Textonotapie"/>
        <w:jc w:val="both"/>
        <w:rPr>
          <w:rFonts w:cs="Arial"/>
        </w:rPr>
      </w:pPr>
      <w:r w:rsidRPr="002676B8">
        <w:rPr>
          <w:rFonts w:cs="Arial"/>
        </w:rPr>
        <w:t>5. La persona autorizada conforme al numeral anterior, deberá acreditar encontrarse legalmente autorizada para ejercer la profesión de licenciado en derecho, y deberán proporcionarse los datos correspondientes en el escrito en que se otorgue dicha autorización; pero el actor o recurrente y el tercero interesado podrán designar personas solamente autorizadas para oír notificaciones e imponerse de los autos, a cualquier persona con capacidad legal, quien no gozará de las demás facultades a que se refiere este numeral.</w:t>
      </w:r>
    </w:p>
    <w:p w:rsidR="001D19E5" w:rsidRPr="002676B8" w:rsidRDefault="001D19E5" w:rsidP="001D19E5">
      <w:pPr>
        <w:pStyle w:val="Textonotapie"/>
        <w:jc w:val="both"/>
        <w:rPr>
          <w:rFonts w:cs="Arial"/>
        </w:rPr>
      </w:pPr>
      <w:r w:rsidRPr="002676B8">
        <w:rPr>
          <w:rFonts w:cs="Arial"/>
        </w:rPr>
        <w:t>…”</w:t>
      </w:r>
    </w:p>
  </w:footnote>
  <w:footnote w:id="46">
    <w:p w:rsidR="001D19E5" w:rsidRPr="002676B8" w:rsidRDefault="001D19E5" w:rsidP="001D19E5">
      <w:pPr>
        <w:pStyle w:val="Textonotapie"/>
        <w:jc w:val="both"/>
        <w:rPr>
          <w:rFonts w:cs="Arial"/>
          <w:bCs/>
          <w:color w:val="000000" w:themeColor="text1"/>
          <w:spacing w:val="-6"/>
          <w:lang w:eastAsia="es-MX"/>
        </w:rPr>
      </w:pPr>
      <w:r w:rsidRPr="002676B8">
        <w:rPr>
          <w:rStyle w:val="Refdenotaalpie"/>
          <w:rFonts w:cs="Arial"/>
        </w:rPr>
        <w:footnoteRef/>
      </w:r>
      <w:r w:rsidRPr="002676B8">
        <w:rPr>
          <w:rFonts w:cs="Arial"/>
        </w:rPr>
        <w:t xml:space="preserve"> </w:t>
      </w:r>
      <w:r w:rsidRPr="002676B8">
        <w:rPr>
          <w:rFonts w:cs="Arial"/>
          <w:bCs/>
          <w:color w:val="000000" w:themeColor="text1"/>
          <w:spacing w:val="-6"/>
          <w:lang w:eastAsia="es-MX"/>
        </w:rPr>
        <w:t>La legitimación procesal activa consiste en la aptitud o circunstancia especial que la ley otorga a una persona para ser parte, en calidad de demandante, en un juicio o proceso determinado, la cual deriva, por regla, de la existencia de un derecho sustantivo, atribuible al sujeto que acude, por sí mismo, o por conducto, de su representante, ante el órgano jurisdiccional competente, a exigir la satisfacción de una pretensión, circunstancia distinta será que le asista razón al demandante.</w:t>
      </w:r>
    </w:p>
    <w:p w:rsidR="001D19E5" w:rsidRPr="002676B8" w:rsidRDefault="001D19E5" w:rsidP="001D19E5">
      <w:pPr>
        <w:pStyle w:val="Textonotapie"/>
        <w:jc w:val="both"/>
        <w:rPr>
          <w:rFonts w:cs="Arial"/>
        </w:rPr>
      </w:pPr>
      <w:r w:rsidRPr="002676B8">
        <w:rPr>
          <w:rFonts w:cs="Arial"/>
          <w:bCs/>
          <w:color w:val="000000" w:themeColor="text1"/>
          <w:spacing w:val="-6"/>
          <w:lang w:eastAsia="es-MX"/>
        </w:rPr>
        <w:t xml:space="preserve">Véase la jurisprudencia 2ª./J. 75/97, sustentada por la Segunda Sala de la Suprema Corte de Justicia de la Nación, cuyo rubro es </w:t>
      </w:r>
      <w:r w:rsidRPr="002676B8">
        <w:rPr>
          <w:rFonts w:cs="Arial"/>
          <w:bCs/>
          <w:i/>
          <w:color w:val="000000" w:themeColor="text1"/>
          <w:spacing w:val="-6"/>
          <w:lang w:eastAsia="es-MX"/>
        </w:rPr>
        <w:t xml:space="preserve">LEGITIMACIÓN PROCESAL ACTIVA. CONCEPTO. </w:t>
      </w:r>
      <w:r w:rsidRPr="002676B8">
        <w:rPr>
          <w:rFonts w:cs="Arial"/>
        </w:rPr>
        <w:t>Todas las tesis y jurisprudencias de la SCJN y Tribunales Colegiados son consultables en: https://bit.ly/2ErvyLe.</w:t>
      </w:r>
    </w:p>
  </w:footnote>
  <w:footnote w:id="47">
    <w:p w:rsidR="001D19E5" w:rsidRPr="002676B8" w:rsidRDefault="001D19E5" w:rsidP="001D19E5">
      <w:pPr>
        <w:pStyle w:val="Textonotapie"/>
        <w:jc w:val="both"/>
        <w:rPr>
          <w:rFonts w:cs="Arial"/>
        </w:rPr>
      </w:pPr>
      <w:r w:rsidRPr="002676B8">
        <w:rPr>
          <w:rStyle w:val="Refdenotaalpie"/>
          <w:rFonts w:cs="Arial"/>
        </w:rPr>
        <w:footnoteRef/>
      </w:r>
      <w:r w:rsidRPr="002676B8">
        <w:rPr>
          <w:rFonts w:cs="Arial"/>
        </w:rPr>
        <w:t xml:space="preserve"> Véanse las jurisprudencias 1a./J. 108/2013 (10a.) y 2a./J. 90/2012 (10a.), de rubros “AMPARO INDIRECTO EN MATERIA MERCANTIL. EL AUTORIZADO POR LAS PARTES EN TÉRMINOS DEL ARTÍCULO 1069, PÁRRAFO TERCERO, DEL CÓDIGO DE COMERCIO, NO ESTÁ FACULTADO PARA PROMOVERLO A NOMBRE DE SU AUTORIZANTE” y “AUTORIZADO EN EL PROCEDIMIENTO CONTENCIOSO ADMINISTRATIVO. CARECE DE FACULTADES PARA PROMOVER JUICIO DE AMPARO DIRECTO (MODIFICACIÓN DE LA JURISPRUDENCIA 2a./J. 199/2004).”</w:t>
      </w:r>
    </w:p>
  </w:footnote>
  <w:footnote w:id="48">
    <w:p w:rsidR="001D19E5" w:rsidRPr="002676B8" w:rsidRDefault="001D19E5" w:rsidP="001D19E5">
      <w:pPr>
        <w:pStyle w:val="Textonotapie"/>
        <w:jc w:val="both"/>
        <w:rPr>
          <w:rFonts w:cs="Arial"/>
        </w:rPr>
      </w:pPr>
      <w:r w:rsidRPr="002676B8">
        <w:rPr>
          <w:rStyle w:val="Refdenotaalpie"/>
          <w:rFonts w:cs="Arial"/>
        </w:rPr>
        <w:footnoteRef/>
      </w:r>
      <w:r w:rsidRPr="002676B8">
        <w:rPr>
          <w:rFonts w:cs="Arial"/>
        </w:rPr>
        <w:t xml:space="preserve"> En su caso, en aras de garantizar el acceso a la justicia, </w:t>
      </w:r>
      <w:r w:rsidRPr="002676B8">
        <w:rPr>
          <w:rFonts w:eastAsia="Arial Unicode MS" w:cs="Arial"/>
          <w:bCs/>
        </w:rPr>
        <w:t>el Magistrado instructor pudo haber requerido a</w:t>
      </w:r>
      <w:r w:rsidRPr="00DE084A">
        <w:rPr>
          <w:rFonts w:eastAsia="Arial Unicode MS" w:cs="Arial"/>
          <w:bCs/>
        </w:rPr>
        <w:t xml:space="preserve"> </w:t>
      </w:r>
      <w:r w:rsidRPr="002676B8">
        <w:rPr>
          <w:rFonts w:cs="Arial"/>
          <w:bCs/>
          <w:iCs/>
          <w:lang w:val="es-ES_tradnl"/>
        </w:rPr>
        <w:t>Pedro Miguel Barrita López</w:t>
      </w:r>
      <w:r w:rsidRPr="002676B8">
        <w:rPr>
          <w:rFonts w:eastAsia="Arial Unicode MS" w:cs="Arial"/>
          <w:bCs/>
        </w:rPr>
        <w:t xml:space="preserve"> para que exhibiera el documento que le otorgue la calidad de apoderado legal o para que </w:t>
      </w:r>
      <w:r w:rsidRPr="002676B8">
        <w:rPr>
          <w:rFonts w:cs="Arial"/>
          <w:bCs/>
          <w:iCs/>
          <w:lang w:val="es-ES_tradnl"/>
        </w:rPr>
        <w:t>Gisela Lilia Pérez García manifestara las razones por las que le fue imposible presentar directamente la demanda</w:t>
      </w:r>
      <w:r w:rsidRPr="002676B8">
        <w:rPr>
          <w:rFonts w:eastAsia="Arial Unicode MS" w:cs="Arial"/>
          <w:bCs/>
        </w:rPr>
        <w:t>. Lo anterior, de conformidad con el artículo 72, párrafo primero, fracción IV), inciso b) del Reglamento, el cual establece que corresponde a la o el magistrado instructor, requerir, entre otras cosas, lo conducente sobre la acreditación de la personería por parte del promovente.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750" w:rsidRPr="000A0750" w:rsidRDefault="00B42032" w:rsidP="000A0750">
    <w:pPr>
      <w:pStyle w:val="Encabezado"/>
      <w:tabs>
        <w:tab w:val="clear" w:pos="4252"/>
        <w:tab w:val="clear" w:pos="8504"/>
      </w:tabs>
      <w:rPr>
        <w:rFonts w:cs="Arial"/>
        <w:b/>
        <w:sz w:val="28"/>
        <w:szCs w:val="28"/>
      </w:rPr>
    </w:pPr>
    <w:r w:rsidRPr="000A0750">
      <w:rPr>
        <w:rFonts w:cs="Arial"/>
        <w:b/>
        <w:sz w:val="28"/>
        <w:szCs w:val="28"/>
      </w:rPr>
      <w:t>SUP-</w:t>
    </w:r>
    <w:r w:rsidR="00CD430B" w:rsidRPr="000A0750">
      <w:rPr>
        <w:rFonts w:cs="Arial"/>
        <w:b/>
        <w:sz w:val="28"/>
        <w:szCs w:val="28"/>
      </w:rPr>
      <w:t>J</w:t>
    </w:r>
    <w:r w:rsidR="002D24C5">
      <w:rPr>
        <w:rFonts w:cs="Arial"/>
        <w:b/>
        <w:sz w:val="28"/>
        <w:szCs w:val="28"/>
      </w:rPr>
      <w:t>E-</w:t>
    </w:r>
    <w:r w:rsidR="00E16199">
      <w:rPr>
        <w:rFonts w:cs="Arial"/>
        <w:b/>
        <w:sz w:val="28"/>
        <w:szCs w:val="28"/>
      </w:rPr>
      <w:t>26</w:t>
    </w:r>
    <w:r w:rsidRPr="000A0750">
      <w:rPr>
        <w:rFonts w:cs="Arial"/>
        <w:b/>
        <w:sz w:val="28"/>
        <w:szCs w:val="28"/>
      </w:rPr>
      <w:t>/20</w:t>
    </w:r>
    <w:r w:rsidR="00CF3C51">
      <w:rPr>
        <w:rFonts w:cs="Arial"/>
        <w:b/>
        <w:sz w:val="28"/>
        <w:szCs w:val="28"/>
      </w:rPr>
      <w:t>20</w:t>
    </w:r>
  </w:p>
  <w:p w:rsidR="000A0750" w:rsidRPr="00CB6A3C" w:rsidRDefault="000A0750" w:rsidP="00675766">
    <w:pPr>
      <w:pStyle w:val="Encabezado"/>
      <w:tabs>
        <w:tab w:val="clear" w:pos="4252"/>
        <w:tab w:val="clear" w:pos="8504"/>
      </w:tabs>
      <w:rPr>
        <w:rFonts w:cs="Arial"/>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D8D" w:rsidRPr="000A0750" w:rsidRDefault="00B42032" w:rsidP="00FE7740">
    <w:pPr>
      <w:pStyle w:val="Encabezado"/>
      <w:tabs>
        <w:tab w:val="clear" w:pos="4252"/>
        <w:tab w:val="clear" w:pos="8504"/>
      </w:tabs>
      <w:jc w:val="right"/>
      <w:rPr>
        <w:rFonts w:cs="Arial"/>
        <w:b/>
        <w:sz w:val="28"/>
        <w:szCs w:val="28"/>
      </w:rPr>
    </w:pPr>
    <w:r w:rsidRPr="002F6768">
      <w:rPr>
        <w:rFonts w:cs="Arial"/>
        <w:b/>
        <w:sz w:val="28"/>
        <w:szCs w:val="28"/>
      </w:rPr>
      <w:t>SUP-</w:t>
    </w:r>
    <w:r w:rsidR="002D24C5">
      <w:rPr>
        <w:rFonts w:cs="Arial"/>
        <w:b/>
        <w:sz w:val="28"/>
        <w:szCs w:val="28"/>
      </w:rPr>
      <w:t>JE</w:t>
    </w:r>
    <w:r w:rsidRPr="002F6768">
      <w:rPr>
        <w:rFonts w:cs="Arial"/>
        <w:b/>
        <w:sz w:val="28"/>
        <w:szCs w:val="28"/>
      </w:rPr>
      <w:t>-</w:t>
    </w:r>
    <w:r w:rsidR="00E16199">
      <w:rPr>
        <w:rFonts w:cs="Arial"/>
        <w:b/>
        <w:sz w:val="28"/>
        <w:szCs w:val="28"/>
      </w:rPr>
      <w:t>26</w:t>
    </w:r>
    <w:r>
      <w:rPr>
        <w:rFonts w:cs="Arial"/>
        <w:b/>
        <w:sz w:val="28"/>
        <w:szCs w:val="28"/>
      </w:rPr>
      <w:t>/20</w:t>
    </w:r>
    <w:r w:rsidR="00CF3C51">
      <w:rPr>
        <w:rFonts w:cs="Arial"/>
        <w:b/>
        <w:sz w:val="28"/>
        <w:szCs w:val="28"/>
      </w:rPr>
      <w:t>20</w:t>
    </w:r>
    <w:r w:rsidR="005C0D8D">
      <w:rPr>
        <w:rFonts w:cs="Arial"/>
        <w:b/>
        <w:sz w:val="28"/>
        <w:szCs w:val="28"/>
      </w:rPr>
      <w:t xml:space="preserve"> </w:t>
    </w:r>
  </w:p>
  <w:p w:rsidR="005C0D8D" w:rsidRPr="002F6768" w:rsidRDefault="005C0D8D" w:rsidP="00675766">
    <w:pPr>
      <w:pStyle w:val="Encabezado"/>
      <w:tabs>
        <w:tab w:val="clear" w:pos="4252"/>
        <w:tab w:val="clear" w:pos="8504"/>
      </w:tabs>
      <w:jc w:val="right"/>
      <w:rPr>
        <w:rFonts w:cs="Arial"/>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716F"/>
    <w:multiLevelType w:val="hybridMultilevel"/>
    <w:tmpl w:val="15B8ADCA"/>
    <w:lvl w:ilvl="0" w:tplc="94FAD054">
      <w:start w:val="1"/>
      <w:numFmt w:val="decimal"/>
      <w:pStyle w:val="NUMERADO"/>
      <w:lvlText w:val="%1."/>
      <w:lvlJc w:val="left"/>
      <w:pPr>
        <w:ind w:left="3196" w:hanging="360"/>
      </w:pPr>
      <w:rPr>
        <w:b w:val="0"/>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1" w15:restartNumberingAfterBreak="0">
    <w:nsid w:val="08764111"/>
    <w:multiLevelType w:val="hybridMultilevel"/>
    <w:tmpl w:val="F7E81D32"/>
    <w:lvl w:ilvl="0" w:tplc="AAFABDAC">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5C28D5"/>
    <w:multiLevelType w:val="hybridMultilevel"/>
    <w:tmpl w:val="42DED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9E5454"/>
    <w:multiLevelType w:val="hybridMultilevel"/>
    <w:tmpl w:val="45BA6832"/>
    <w:lvl w:ilvl="0" w:tplc="846A67EA">
      <w:start w:val="1"/>
      <w:numFmt w:val="decimal"/>
      <w:lvlText w:val="%1."/>
      <w:lvlJc w:val="left"/>
      <w:pPr>
        <w:ind w:left="644" w:hanging="360"/>
      </w:pPr>
      <w:rPr>
        <w:rFonts w:ascii="Univers" w:hAnsi="Univers" w:hint="default"/>
        <w:b/>
        <w:sz w:val="20"/>
        <w:szCs w:val="20"/>
      </w:rPr>
    </w:lvl>
    <w:lvl w:ilvl="1" w:tplc="080A0019">
      <w:start w:val="1"/>
      <w:numFmt w:val="lowerLetter"/>
      <w:lvlText w:val="%2."/>
      <w:lvlJc w:val="left"/>
      <w:pPr>
        <w:ind w:left="-3238" w:hanging="360"/>
      </w:pPr>
    </w:lvl>
    <w:lvl w:ilvl="2" w:tplc="FEC0A69A">
      <w:start w:val="1"/>
      <w:numFmt w:val="lowerLetter"/>
      <w:lvlText w:val="%3)"/>
      <w:lvlJc w:val="left"/>
      <w:pPr>
        <w:ind w:left="-2338" w:hanging="360"/>
      </w:pPr>
      <w:rPr>
        <w:rFonts w:hint="default"/>
      </w:rPr>
    </w:lvl>
    <w:lvl w:ilvl="3" w:tplc="080A000F" w:tentative="1">
      <w:start w:val="1"/>
      <w:numFmt w:val="decimal"/>
      <w:lvlText w:val="%4."/>
      <w:lvlJc w:val="left"/>
      <w:pPr>
        <w:ind w:left="-1798" w:hanging="360"/>
      </w:pPr>
    </w:lvl>
    <w:lvl w:ilvl="4" w:tplc="080A0019" w:tentative="1">
      <w:start w:val="1"/>
      <w:numFmt w:val="lowerLetter"/>
      <w:lvlText w:val="%5."/>
      <w:lvlJc w:val="left"/>
      <w:pPr>
        <w:ind w:left="-1078" w:hanging="360"/>
      </w:pPr>
    </w:lvl>
    <w:lvl w:ilvl="5" w:tplc="080A001B" w:tentative="1">
      <w:start w:val="1"/>
      <w:numFmt w:val="lowerRoman"/>
      <w:lvlText w:val="%6."/>
      <w:lvlJc w:val="right"/>
      <w:pPr>
        <w:ind w:left="-358" w:hanging="180"/>
      </w:pPr>
    </w:lvl>
    <w:lvl w:ilvl="6" w:tplc="080A000F" w:tentative="1">
      <w:start w:val="1"/>
      <w:numFmt w:val="decimal"/>
      <w:lvlText w:val="%7."/>
      <w:lvlJc w:val="left"/>
      <w:pPr>
        <w:ind w:left="362" w:hanging="360"/>
      </w:pPr>
    </w:lvl>
    <w:lvl w:ilvl="7" w:tplc="080A0019" w:tentative="1">
      <w:start w:val="1"/>
      <w:numFmt w:val="lowerLetter"/>
      <w:lvlText w:val="%8."/>
      <w:lvlJc w:val="left"/>
      <w:pPr>
        <w:ind w:left="1082" w:hanging="360"/>
      </w:pPr>
    </w:lvl>
    <w:lvl w:ilvl="8" w:tplc="080A001B" w:tentative="1">
      <w:start w:val="1"/>
      <w:numFmt w:val="lowerRoman"/>
      <w:lvlText w:val="%9."/>
      <w:lvlJc w:val="right"/>
      <w:pPr>
        <w:ind w:left="1802" w:hanging="180"/>
      </w:pPr>
    </w:lvl>
  </w:abstractNum>
  <w:abstractNum w:abstractNumId="4" w15:restartNumberingAfterBreak="0">
    <w:nsid w:val="2C6B4915"/>
    <w:multiLevelType w:val="hybridMultilevel"/>
    <w:tmpl w:val="BDDAE39C"/>
    <w:lvl w:ilvl="0" w:tplc="080A0001">
      <w:start w:val="1"/>
      <w:numFmt w:val="bullet"/>
      <w:lvlText w:val=""/>
      <w:lvlJc w:val="left"/>
      <w:pPr>
        <w:ind w:left="791" w:hanging="360"/>
      </w:pPr>
      <w:rPr>
        <w:rFonts w:ascii="Symbol" w:hAnsi="Symbol" w:hint="default"/>
      </w:rPr>
    </w:lvl>
    <w:lvl w:ilvl="1" w:tplc="080A0003" w:tentative="1">
      <w:start w:val="1"/>
      <w:numFmt w:val="bullet"/>
      <w:lvlText w:val="o"/>
      <w:lvlJc w:val="left"/>
      <w:pPr>
        <w:ind w:left="1511" w:hanging="360"/>
      </w:pPr>
      <w:rPr>
        <w:rFonts w:ascii="Courier New" w:hAnsi="Courier New" w:cs="Courier New" w:hint="default"/>
      </w:rPr>
    </w:lvl>
    <w:lvl w:ilvl="2" w:tplc="080A0005" w:tentative="1">
      <w:start w:val="1"/>
      <w:numFmt w:val="bullet"/>
      <w:lvlText w:val=""/>
      <w:lvlJc w:val="left"/>
      <w:pPr>
        <w:ind w:left="2231" w:hanging="360"/>
      </w:pPr>
      <w:rPr>
        <w:rFonts w:ascii="Wingdings" w:hAnsi="Wingdings" w:hint="default"/>
      </w:rPr>
    </w:lvl>
    <w:lvl w:ilvl="3" w:tplc="080A0001" w:tentative="1">
      <w:start w:val="1"/>
      <w:numFmt w:val="bullet"/>
      <w:lvlText w:val=""/>
      <w:lvlJc w:val="left"/>
      <w:pPr>
        <w:ind w:left="2951" w:hanging="360"/>
      </w:pPr>
      <w:rPr>
        <w:rFonts w:ascii="Symbol" w:hAnsi="Symbol" w:hint="default"/>
      </w:rPr>
    </w:lvl>
    <w:lvl w:ilvl="4" w:tplc="080A0003" w:tentative="1">
      <w:start w:val="1"/>
      <w:numFmt w:val="bullet"/>
      <w:lvlText w:val="o"/>
      <w:lvlJc w:val="left"/>
      <w:pPr>
        <w:ind w:left="3671" w:hanging="360"/>
      </w:pPr>
      <w:rPr>
        <w:rFonts w:ascii="Courier New" w:hAnsi="Courier New" w:cs="Courier New" w:hint="default"/>
      </w:rPr>
    </w:lvl>
    <w:lvl w:ilvl="5" w:tplc="080A0005" w:tentative="1">
      <w:start w:val="1"/>
      <w:numFmt w:val="bullet"/>
      <w:lvlText w:val=""/>
      <w:lvlJc w:val="left"/>
      <w:pPr>
        <w:ind w:left="4391" w:hanging="360"/>
      </w:pPr>
      <w:rPr>
        <w:rFonts w:ascii="Wingdings" w:hAnsi="Wingdings" w:hint="default"/>
      </w:rPr>
    </w:lvl>
    <w:lvl w:ilvl="6" w:tplc="080A0001" w:tentative="1">
      <w:start w:val="1"/>
      <w:numFmt w:val="bullet"/>
      <w:lvlText w:val=""/>
      <w:lvlJc w:val="left"/>
      <w:pPr>
        <w:ind w:left="5111" w:hanging="360"/>
      </w:pPr>
      <w:rPr>
        <w:rFonts w:ascii="Symbol" w:hAnsi="Symbol" w:hint="default"/>
      </w:rPr>
    </w:lvl>
    <w:lvl w:ilvl="7" w:tplc="080A0003" w:tentative="1">
      <w:start w:val="1"/>
      <w:numFmt w:val="bullet"/>
      <w:lvlText w:val="o"/>
      <w:lvlJc w:val="left"/>
      <w:pPr>
        <w:ind w:left="5831" w:hanging="360"/>
      </w:pPr>
      <w:rPr>
        <w:rFonts w:ascii="Courier New" w:hAnsi="Courier New" w:cs="Courier New" w:hint="default"/>
      </w:rPr>
    </w:lvl>
    <w:lvl w:ilvl="8" w:tplc="080A0005" w:tentative="1">
      <w:start w:val="1"/>
      <w:numFmt w:val="bullet"/>
      <w:lvlText w:val=""/>
      <w:lvlJc w:val="left"/>
      <w:pPr>
        <w:ind w:left="6551" w:hanging="360"/>
      </w:pPr>
      <w:rPr>
        <w:rFonts w:ascii="Wingdings" w:hAnsi="Wingdings" w:hint="default"/>
      </w:rPr>
    </w:lvl>
  </w:abstractNum>
  <w:abstractNum w:abstractNumId="5" w15:restartNumberingAfterBreak="0">
    <w:nsid w:val="31C6235B"/>
    <w:multiLevelType w:val="hybridMultilevel"/>
    <w:tmpl w:val="11C4F4C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5083CA8"/>
    <w:multiLevelType w:val="hybridMultilevel"/>
    <w:tmpl w:val="130CFBB0"/>
    <w:lvl w:ilvl="0" w:tplc="579C7A28">
      <w:start w:val="1"/>
      <w:numFmt w:val="decimal"/>
      <w:lvlText w:val="%1."/>
      <w:lvlJc w:val="left"/>
      <w:pPr>
        <w:ind w:left="502" w:hanging="360"/>
      </w:pPr>
      <w:rPr>
        <w:b/>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65234531"/>
    <w:multiLevelType w:val="hybridMultilevel"/>
    <w:tmpl w:val="2AC416AE"/>
    <w:lvl w:ilvl="0" w:tplc="2116A5E0">
      <w:start w:val="6"/>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8" w15:restartNumberingAfterBreak="0">
    <w:nsid w:val="74EA0489"/>
    <w:multiLevelType w:val="hybridMultilevel"/>
    <w:tmpl w:val="709EC776"/>
    <w:lvl w:ilvl="0" w:tplc="705C14BE">
      <w:start w:val="1"/>
      <w:numFmt w:val="decimal"/>
      <w:pStyle w:val="numerados"/>
      <w:lvlText w:val="%1."/>
      <w:lvlJc w:val="left"/>
      <w:pPr>
        <w:ind w:left="502" w:hanging="360"/>
      </w:pPr>
      <w:rPr>
        <w:rFonts w:hint="default"/>
        <w:b/>
        <w:sz w:val="28"/>
        <w:szCs w:val="28"/>
      </w:rPr>
    </w:lvl>
    <w:lvl w:ilvl="1" w:tplc="E51E34C0">
      <w:start w:val="1"/>
      <w:numFmt w:val="low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8B46918"/>
    <w:multiLevelType w:val="hybridMultilevel"/>
    <w:tmpl w:val="02D040B8"/>
    <w:lvl w:ilvl="0" w:tplc="483CB5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8"/>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mirrorMargin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F45"/>
    <w:rsid w:val="00000B53"/>
    <w:rsid w:val="00003EE5"/>
    <w:rsid w:val="000042EF"/>
    <w:rsid w:val="00004AA7"/>
    <w:rsid w:val="00005520"/>
    <w:rsid w:val="00007E88"/>
    <w:rsid w:val="00011070"/>
    <w:rsid w:val="0001223A"/>
    <w:rsid w:val="00012C1D"/>
    <w:rsid w:val="0001405B"/>
    <w:rsid w:val="0001640C"/>
    <w:rsid w:val="00017F89"/>
    <w:rsid w:val="00021460"/>
    <w:rsid w:val="00024C52"/>
    <w:rsid w:val="00026F94"/>
    <w:rsid w:val="00027159"/>
    <w:rsid w:val="00027230"/>
    <w:rsid w:val="00027CC0"/>
    <w:rsid w:val="00027D9E"/>
    <w:rsid w:val="0003159F"/>
    <w:rsid w:val="000316B8"/>
    <w:rsid w:val="00032232"/>
    <w:rsid w:val="000327E0"/>
    <w:rsid w:val="00033100"/>
    <w:rsid w:val="00034F62"/>
    <w:rsid w:val="000354BA"/>
    <w:rsid w:val="000356D0"/>
    <w:rsid w:val="00040A37"/>
    <w:rsid w:val="00041315"/>
    <w:rsid w:val="00042AB1"/>
    <w:rsid w:val="00044850"/>
    <w:rsid w:val="00044D9B"/>
    <w:rsid w:val="000469B3"/>
    <w:rsid w:val="00050958"/>
    <w:rsid w:val="0005209E"/>
    <w:rsid w:val="00052F0E"/>
    <w:rsid w:val="0005303D"/>
    <w:rsid w:val="0005355F"/>
    <w:rsid w:val="000562E9"/>
    <w:rsid w:val="00057320"/>
    <w:rsid w:val="00060F0F"/>
    <w:rsid w:val="00061408"/>
    <w:rsid w:val="00063857"/>
    <w:rsid w:val="00064BA4"/>
    <w:rsid w:val="00070D1D"/>
    <w:rsid w:val="000748AB"/>
    <w:rsid w:val="00074E00"/>
    <w:rsid w:val="00075895"/>
    <w:rsid w:val="00076BA4"/>
    <w:rsid w:val="00076ECA"/>
    <w:rsid w:val="000840BE"/>
    <w:rsid w:val="000866E0"/>
    <w:rsid w:val="00087DE1"/>
    <w:rsid w:val="00087E88"/>
    <w:rsid w:val="000906B6"/>
    <w:rsid w:val="00091645"/>
    <w:rsid w:val="00092A55"/>
    <w:rsid w:val="0009668B"/>
    <w:rsid w:val="00097C5E"/>
    <w:rsid w:val="000A0750"/>
    <w:rsid w:val="000A2208"/>
    <w:rsid w:val="000A2BBB"/>
    <w:rsid w:val="000A3850"/>
    <w:rsid w:val="000A48B6"/>
    <w:rsid w:val="000A4963"/>
    <w:rsid w:val="000A5D36"/>
    <w:rsid w:val="000A63BC"/>
    <w:rsid w:val="000A6C4B"/>
    <w:rsid w:val="000B2A4A"/>
    <w:rsid w:val="000B415D"/>
    <w:rsid w:val="000B4977"/>
    <w:rsid w:val="000B4C3C"/>
    <w:rsid w:val="000B5631"/>
    <w:rsid w:val="000B5732"/>
    <w:rsid w:val="000B7161"/>
    <w:rsid w:val="000B7D4F"/>
    <w:rsid w:val="000C1F49"/>
    <w:rsid w:val="000C517C"/>
    <w:rsid w:val="000C5BDB"/>
    <w:rsid w:val="000C77B3"/>
    <w:rsid w:val="000C7D19"/>
    <w:rsid w:val="000D06E9"/>
    <w:rsid w:val="000D0B19"/>
    <w:rsid w:val="000D10CB"/>
    <w:rsid w:val="000D257D"/>
    <w:rsid w:val="000D2D72"/>
    <w:rsid w:val="000D33B0"/>
    <w:rsid w:val="000D4A7D"/>
    <w:rsid w:val="000D5554"/>
    <w:rsid w:val="000D6819"/>
    <w:rsid w:val="000D687B"/>
    <w:rsid w:val="000D77CF"/>
    <w:rsid w:val="000E2839"/>
    <w:rsid w:val="000E2ED6"/>
    <w:rsid w:val="000E34D4"/>
    <w:rsid w:val="000E3EC1"/>
    <w:rsid w:val="000E4976"/>
    <w:rsid w:val="000E577A"/>
    <w:rsid w:val="000E666B"/>
    <w:rsid w:val="000E74A7"/>
    <w:rsid w:val="000E7896"/>
    <w:rsid w:val="000F22CB"/>
    <w:rsid w:val="000F3C8B"/>
    <w:rsid w:val="000F49CC"/>
    <w:rsid w:val="000F4A3C"/>
    <w:rsid w:val="000F6458"/>
    <w:rsid w:val="000F6C93"/>
    <w:rsid w:val="000F7D4A"/>
    <w:rsid w:val="00101034"/>
    <w:rsid w:val="001047A6"/>
    <w:rsid w:val="001048EC"/>
    <w:rsid w:val="00106B4F"/>
    <w:rsid w:val="001078AF"/>
    <w:rsid w:val="0011066B"/>
    <w:rsid w:val="0011295A"/>
    <w:rsid w:val="00112C47"/>
    <w:rsid w:val="00113677"/>
    <w:rsid w:val="001138AE"/>
    <w:rsid w:val="001153F8"/>
    <w:rsid w:val="00115B58"/>
    <w:rsid w:val="0011780F"/>
    <w:rsid w:val="001209C8"/>
    <w:rsid w:val="00121623"/>
    <w:rsid w:val="00123204"/>
    <w:rsid w:val="0012361E"/>
    <w:rsid w:val="00124462"/>
    <w:rsid w:val="00125980"/>
    <w:rsid w:val="00125C6A"/>
    <w:rsid w:val="00125D52"/>
    <w:rsid w:val="001265A5"/>
    <w:rsid w:val="00133057"/>
    <w:rsid w:val="001337CD"/>
    <w:rsid w:val="00133C8E"/>
    <w:rsid w:val="001343C8"/>
    <w:rsid w:val="00143738"/>
    <w:rsid w:val="00145174"/>
    <w:rsid w:val="0014524A"/>
    <w:rsid w:val="00146BDC"/>
    <w:rsid w:val="00147370"/>
    <w:rsid w:val="00150956"/>
    <w:rsid w:val="0015286B"/>
    <w:rsid w:val="00152A2B"/>
    <w:rsid w:val="00152C86"/>
    <w:rsid w:val="0015303D"/>
    <w:rsid w:val="001537AF"/>
    <w:rsid w:val="00160A8D"/>
    <w:rsid w:val="00161C2F"/>
    <w:rsid w:val="00162A2D"/>
    <w:rsid w:val="00163330"/>
    <w:rsid w:val="00167A85"/>
    <w:rsid w:val="00170325"/>
    <w:rsid w:val="0017055A"/>
    <w:rsid w:val="0017462B"/>
    <w:rsid w:val="00176416"/>
    <w:rsid w:val="00177E5C"/>
    <w:rsid w:val="0018035E"/>
    <w:rsid w:val="00181377"/>
    <w:rsid w:val="00182AFD"/>
    <w:rsid w:val="00184C2E"/>
    <w:rsid w:val="00184CBD"/>
    <w:rsid w:val="00185564"/>
    <w:rsid w:val="00186FFD"/>
    <w:rsid w:val="001878BD"/>
    <w:rsid w:val="00191696"/>
    <w:rsid w:val="00191EC1"/>
    <w:rsid w:val="001925F0"/>
    <w:rsid w:val="00196185"/>
    <w:rsid w:val="0019684A"/>
    <w:rsid w:val="001977BD"/>
    <w:rsid w:val="00197AC5"/>
    <w:rsid w:val="001A0218"/>
    <w:rsid w:val="001A063C"/>
    <w:rsid w:val="001A1008"/>
    <w:rsid w:val="001A172C"/>
    <w:rsid w:val="001A1817"/>
    <w:rsid w:val="001A2957"/>
    <w:rsid w:val="001A58A3"/>
    <w:rsid w:val="001A5F3E"/>
    <w:rsid w:val="001A6544"/>
    <w:rsid w:val="001A7E4F"/>
    <w:rsid w:val="001A7E7A"/>
    <w:rsid w:val="001B0B7C"/>
    <w:rsid w:val="001B0F3E"/>
    <w:rsid w:val="001B1E10"/>
    <w:rsid w:val="001B3565"/>
    <w:rsid w:val="001B431D"/>
    <w:rsid w:val="001C095C"/>
    <w:rsid w:val="001C1F4B"/>
    <w:rsid w:val="001C2A3D"/>
    <w:rsid w:val="001C41CA"/>
    <w:rsid w:val="001D026D"/>
    <w:rsid w:val="001D19E5"/>
    <w:rsid w:val="001D582D"/>
    <w:rsid w:val="001D73AE"/>
    <w:rsid w:val="001E0628"/>
    <w:rsid w:val="001E157D"/>
    <w:rsid w:val="001E24AE"/>
    <w:rsid w:val="001E4802"/>
    <w:rsid w:val="001E6B26"/>
    <w:rsid w:val="001E7B71"/>
    <w:rsid w:val="001F0E0C"/>
    <w:rsid w:val="001F4FD7"/>
    <w:rsid w:val="001F57EB"/>
    <w:rsid w:val="001F7F46"/>
    <w:rsid w:val="00201EB3"/>
    <w:rsid w:val="00202A2B"/>
    <w:rsid w:val="00205B2E"/>
    <w:rsid w:val="002077E1"/>
    <w:rsid w:val="00211790"/>
    <w:rsid w:val="00211F16"/>
    <w:rsid w:val="00212338"/>
    <w:rsid w:val="0021243F"/>
    <w:rsid w:val="002159F4"/>
    <w:rsid w:val="002164DF"/>
    <w:rsid w:val="00216B53"/>
    <w:rsid w:val="00217097"/>
    <w:rsid w:val="00217EB3"/>
    <w:rsid w:val="00220062"/>
    <w:rsid w:val="00220688"/>
    <w:rsid w:val="00221166"/>
    <w:rsid w:val="002234C8"/>
    <w:rsid w:val="002238AB"/>
    <w:rsid w:val="00224D7D"/>
    <w:rsid w:val="002256E6"/>
    <w:rsid w:val="00225B04"/>
    <w:rsid w:val="00226751"/>
    <w:rsid w:val="00227296"/>
    <w:rsid w:val="002321CC"/>
    <w:rsid w:val="00232228"/>
    <w:rsid w:val="00232369"/>
    <w:rsid w:val="002347E4"/>
    <w:rsid w:val="00234AE8"/>
    <w:rsid w:val="002351D4"/>
    <w:rsid w:val="00235828"/>
    <w:rsid w:val="00236832"/>
    <w:rsid w:val="00236B65"/>
    <w:rsid w:val="002371F0"/>
    <w:rsid w:val="002378CB"/>
    <w:rsid w:val="002404BA"/>
    <w:rsid w:val="00241A40"/>
    <w:rsid w:val="00242370"/>
    <w:rsid w:val="00243554"/>
    <w:rsid w:val="00244ACE"/>
    <w:rsid w:val="00244D6F"/>
    <w:rsid w:val="00244E20"/>
    <w:rsid w:val="002455B7"/>
    <w:rsid w:val="002460BE"/>
    <w:rsid w:val="00246F18"/>
    <w:rsid w:val="00247A9D"/>
    <w:rsid w:val="002508B3"/>
    <w:rsid w:val="0025350A"/>
    <w:rsid w:val="002543A7"/>
    <w:rsid w:val="00256053"/>
    <w:rsid w:val="0025721C"/>
    <w:rsid w:val="00257825"/>
    <w:rsid w:val="00257FC1"/>
    <w:rsid w:val="00260888"/>
    <w:rsid w:val="00262454"/>
    <w:rsid w:val="002648A7"/>
    <w:rsid w:val="0026623A"/>
    <w:rsid w:val="00267585"/>
    <w:rsid w:val="002677AC"/>
    <w:rsid w:val="0027143F"/>
    <w:rsid w:val="0027157E"/>
    <w:rsid w:val="002715A2"/>
    <w:rsid w:val="00272243"/>
    <w:rsid w:val="00273B6A"/>
    <w:rsid w:val="00273FB6"/>
    <w:rsid w:val="00275D2A"/>
    <w:rsid w:val="0028010A"/>
    <w:rsid w:val="0028043D"/>
    <w:rsid w:val="0028494E"/>
    <w:rsid w:val="00287CC9"/>
    <w:rsid w:val="00291777"/>
    <w:rsid w:val="0029208C"/>
    <w:rsid w:val="00294575"/>
    <w:rsid w:val="002975D1"/>
    <w:rsid w:val="002A035F"/>
    <w:rsid w:val="002A28C5"/>
    <w:rsid w:val="002A2AC6"/>
    <w:rsid w:val="002A2C2E"/>
    <w:rsid w:val="002A4245"/>
    <w:rsid w:val="002A4835"/>
    <w:rsid w:val="002A55FE"/>
    <w:rsid w:val="002A7312"/>
    <w:rsid w:val="002A794E"/>
    <w:rsid w:val="002A79EA"/>
    <w:rsid w:val="002B2FBA"/>
    <w:rsid w:val="002B3415"/>
    <w:rsid w:val="002B53DA"/>
    <w:rsid w:val="002B64BA"/>
    <w:rsid w:val="002C0F03"/>
    <w:rsid w:val="002C1AD4"/>
    <w:rsid w:val="002C34FF"/>
    <w:rsid w:val="002C516B"/>
    <w:rsid w:val="002D06B6"/>
    <w:rsid w:val="002D1733"/>
    <w:rsid w:val="002D24C5"/>
    <w:rsid w:val="002D28B8"/>
    <w:rsid w:val="002D2FCE"/>
    <w:rsid w:val="002D504F"/>
    <w:rsid w:val="002D5925"/>
    <w:rsid w:val="002D7CEE"/>
    <w:rsid w:val="002E1207"/>
    <w:rsid w:val="002E2FC4"/>
    <w:rsid w:val="002E45E9"/>
    <w:rsid w:val="002E515E"/>
    <w:rsid w:val="002E5B40"/>
    <w:rsid w:val="002E7775"/>
    <w:rsid w:val="002E7CE9"/>
    <w:rsid w:val="002F4ED5"/>
    <w:rsid w:val="002F5485"/>
    <w:rsid w:val="002F63B8"/>
    <w:rsid w:val="003018C8"/>
    <w:rsid w:val="00301B79"/>
    <w:rsid w:val="00301C5A"/>
    <w:rsid w:val="00301FEA"/>
    <w:rsid w:val="00304267"/>
    <w:rsid w:val="0031143A"/>
    <w:rsid w:val="0031420D"/>
    <w:rsid w:val="00315F5A"/>
    <w:rsid w:val="003179EB"/>
    <w:rsid w:val="00317E5C"/>
    <w:rsid w:val="00321C8A"/>
    <w:rsid w:val="00322627"/>
    <w:rsid w:val="00322A00"/>
    <w:rsid w:val="00323385"/>
    <w:rsid w:val="003234D4"/>
    <w:rsid w:val="003279D1"/>
    <w:rsid w:val="00330F6D"/>
    <w:rsid w:val="00331787"/>
    <w:rsid w:val="0033467F"/>
    <w:rsid w:val="003359E5"/>
    <w:rsid w:val="00336332"/>
    <w:rsid w:val="003363B5"/>
    <w:rsid w:val="00341A4A"/>
    <w:rsid w:val="003423E6"/>
    <w:rsid w:val="003425DF"/>
    <w:rsid w:val="0034263E"/>
    <w:rsid w:val="00342B03"/>
    <w:rsid w:val="0034399C"/>
    <w:rsid w:val="003451A6"/>
    <w:rsid w:val="00345CD5"/>
    <w:rsid w:val="00346F9E"/>
    <w:rsid w:val="00347F18"/>
    <w:rsid w:val="00351E1B"/>
    <w:rsid w:val="003534D5"/>
    <w:rsid w:val="00355510"/>
    <w:rsid w:val="0035570B"/>
    <w:rsid w:val="003563E7"/>
    <w:rsid w:val="003604F7"/>
    <w:rsid w:val="00360C20"/>
    <w:rsid w:val="00362154"/>
    <w:rsid w:val="003622C8"/>
    <w:rsid w:val="00363E14"/>
    <w:rsid w:val="003665B1"/>
    <w:rsid w:val="00371D82"/>
    <w:rsid w:val="003722D0"/>
    <w:rsid w:val="0037360F"/>
    <w:rsid w:val="0037405D"/>
    <w:rsid w:val="00375DB6"/>
    <w:rsid w:val="00376123"/>
    <w:rsid w:val="003761B6"/>
    <w:rsid w:val="003767BF"/>
    <w:rsid w:val="00377DD6"/>
    <w:rsid w:val="00380B99"/>
    <w:rsid w:val="00382CBC"/>
    <w:rsid w:val="00382D0A"/>
    <w:rsid w:val="00383AC7"/>
    <w:rsid w:val="003843C6"/>
    <w:rsid w:val="00385A53"/>
    <w:rsid w:val="003863E7"/>
    <w:rsid w:val="00392829"/>
    <w:rsid w:val="00392F53"/>
    <w:rsid w:val="003941C8"/>
    <w:rsid w:val="003949F6"/>
    <w:rsid w:val="00394AE9"/>
    <w:rsid w:val="00394DCF"/>
    <w:rsid w:val="00395254"/>
    <w:rsid w:val="00397F37"/>
    <w:rsid w:val="003A0F5D"/>
    <w:rsid w:val="003A25CA"/>
    <w:rsid w:val="003A28AE"/>
    <w:rsid w:val="003A2D6C"/>
    <w:rsid w:val="003A312E"/>
    <w:rsid w:val="003A3616"/>
    <w:rsid w:val="003A3C3F"/>
    <w:rsid w:val="003A4F1D"/>
    <w:rsid w:val="003B0AB2"/>
    <w:rsid w:val="003B111F"/>
    <w:rsid w:val="003B1EFD"/>
    <w:rsid w:val="003B2B45"/>
    <w:rsid w:val="003B39DD"/>
    <w:rsid w:val="003B474A"/>
    <w:rsid w:val="003B4C17"/>
    <w:rsid w:val="003B58D1"/>
    <w:rsid w:val="003B5A72"/>
    <w:rsid w:val="003B5AC5"/>
    <w:rsid w:val="003C0A55"/>
    <w:rsid w:val="003C2448"/>
    <w:rsid w:val="003C2C8C"/>
    <w:rsid w:val="003C6868"/>
    <w:rsid w:val="003C69EE"/>
    <w:rsid w:val="003C77D1"/>
    <w:rsid w:val="003D2CD3"/>
    <w:rsid w:val="003D6E92"/>
    <w:rsid w:val="003E1CED"/>
    <w:rsid w:val="003E1F29"/>
    <w:rsid w:val="003E3320"/>
    <w:rsid w:val="003E35B1"/>
    <w:rsid w:val="003E49BE"/>
    <w:rsid w:val="003E5006"/>
    <w:rsid w:val="003E52BB"/>
    <w:rsid w:val="003E7131"/>
    <w:rsid w:val="003E7D28"/>
    <w:rsid w:val="003F0B9A"/>
    <w:rsid w:val="003F1679"/>
    <w:rsid w:val="003F3DCE"/>
    <w:rsid w:val="003F6DD7"/>
    <w:rsid w:val="00400709"/>
    <w:rsid w:val="00404680"/>
    <w:rsid w:val="00411D48"/>
    <w:rsid w:val="004121AE"/>
    <w:rsid w:val="004145BD"/>
    <w:rsid w:val="004209B8"/>
    <w:rsid w:val="004215D2"/>
    <w:rsid w:val="00423EC4"/>
    <w:rsid w:val="0042649D"/>
    <w:rsid w:val="0042667E"/>
    <w:rsid w:val="00426844"/>
    <w:rsid w:val="004274D9"/>
    <w:rsid w:val="00430658"/>
    <w:rsid w:val="0043101B"/>
    <w:rsid w:val="0043211B"/>
    <w:rsid w:val="00435619"/>
    <w:rsid w:val="004359A7"/>
    <w:rsid w:val="00436384"/>
    <w:rsid w:val="004364C2"/>
    <w:rsid w:val="004373D0"/>
    <w:rsid w:val="00437A97"/>
    <w:rsid w:val="004417A1"/>
    <w:rsid w:val="0044388B"/>
    <w:rsid w:val="00444419"/>
    <w:rsid w:val="004445AC"/>
    <w:rsid w:val="0044502D"/>
    <w:rsid w:val="00445D34"/>
    <w:rsid w:val="00446475"/>
    <w:rsid w:val="0045293F"/>
    <w:rsid w:val="00452D08"/>
    <w:rsid w:val="00453078"/>
    <w:rsid w:val="00453C34"/>
    <w:rsid w:val="00453D41"/>
    <w:rsid w:val="0045440F"/>
    <w:rsid w:val="004559A2"/>
    <w:rsid w:val="00455C98"/>
    <w:rsid w:val="00456B21"/>
    <w:rsid w:val="004602CC"/>
    <w:rsid w:val="00462464"/>
    <w:rsid w:val="0046373B"/>
    <w:rsid w:val="004643AE"/>
    <w:rsid w:val="0046504A"/>
    <w:rsid w:val="00466090"/>
    <w:rsid w:val="00467661"/>
    <w:rsid w:val="00471C58"/>
    <w:rsid w:val="004739A3"/>
    <w:rsid w:val="00474697"/>
    <w:rsid w:val="004753A5"/>
    <w:rsid w:val="00475F4F"/>
    <w:rsid w:val="00477427"/>
    <w:rsid w:val="00481FAF"/>
    <w:rsid w:val="00484D03"/>
    <w:rsid w:val="00490267"/>
    <w:rsid w:val="00490A8D"/>
    <w:rsid w:val="00490D1D"/>
    <w:rsid w:val="00495762"/>
    <w:rsid w:val="00496C6E"/>
    <w:rsid w:val="004A2EDD"/>
    <w:rsid w:val="004A3CFF"/>
    <w:rsid w:val="004A401D"/>
    <w:rsid w:val="004A44EB"/>
    <w:rsid w:val="004A4E60"/>
    <w:rsid w:val="004A5F83"/>
    <w:rsid w:val="004A6DE7"/>
    <w:rsid w:val="004A7210"/>
    <w:rsid w:val="004A7B93"/>
    <w:rsid w:val="004B05C5"/>
    <w:rsid w:val="004B4C20"/>
    <w:rsid w:val="004B4F87"/>
    <w:rsid w:val="004B60E6"/>
    <w:rsid w:val="004C0EA9"/>
    <w:rsid w:val="004C3C0E"/>
    <w:rsid w:val="004C3C6C"/>
    <w:rsid w:val="004C438C"/>
    <w:rsid w:val="004C4A92"/>
    <w:rsid w:val="004C659F"/>
    <w:rsid w:val="004C7265"/>
    <w:rsid w:val="004D235E"/>
    <w:rsid w:val="004D294C"/>
    <w:rsid w:val="004D3D61"/>
    <w:rsid w:val="004D57C9"/>
    <w:rsid w:val="004D749B"/>
    <w:rsid w:val="004D7D2E"/>
    <w:rsid w:val="004E03E2"/>
    <w:rsid w:val="004E055E"/>
    <w:rsid w:val="004E1405"/>
    <w:rsid w:val="004E2049"/>
    <w:rsid w:val="004E2A15"/>
    <w:rsid w:val="004E30CF"/>
    <w:rsid w:val="004E3BFA"/>
    <w:rsid w:val="004E4765"/>
    <w:rsid w:val="004E60F3"/>
    <w:rsid w:val="004E7849"/>
    <w:rsid w:val="004F36E4"/>
    <w:rsid w:val="004F39F3"/>
    <w:rsid w:val="004F527A"/>
    <w:rsid w:val="004F7A66"/>
    <w:rsid w:val="00500E8A"/>
    <w:rsid w:val="00500F66"/>
    <w:rsid w:val="00501A3C"/>
    <w:rsid w:val="005022FF"/>
    <w:rsid w:val="005034E6"/>
    <w:rsid w:val="00503CBE"/>
    <w:rsid w:val="00510C8C"/>
    <w:rsid w:val="005113E1"/>
    <w:rsid w:val="00512951"/>
    <w:rsid w:val="0051538B"/>
    <w:rsid w:val="0051597A"/>
    <w:rsid w:val="00516968"/>
    <w:rsid w:val="0051776D"/>
    <w:rsid w:val="005239E5"/>
    <w:rsid w:val="00524A7D"/>
    <w:rsid w:val="0052562A"/>
    <w:rsid w:val="00533299"/>
    <w:rsid w:val="0053488C"/>
    <w:rsid w:val="0054211F"/>
    <w:rsid w:val="005421C2"/>
    <w:rsid w:val="00543204"/>
    <w:rsid w:val="00544191"/>
    <w:rsid w:val="00545759"/>
    <w:rsid w:val="00545AEB"/>
    <w:rsid w:val="00545AF4"/>
    <w:rsid w:val="00547E86"/>
    <w:rsid w:val="005510F8"/>
    <w:rsid w:val="00552B6F"/>
    <w:rsid w:val="0055354E"/>
    <w:rsid w:val="00555644"/>
    <w:rsid w:val="00557097"/>
    <w:rsid w:val="005602B5"/>
    <w:rsid w:val="005620B8"/>
    <w:rsid w:val="005625F4"/>
    <w:rsid w:val="0056502F"/>
    <w:rsid w:val="00565124"/>
    <w:rsid w:val="00566168"/>
    <w:rsid w:val="00566ADC"/>
    <w:rsid w:val="00567545"/>
    <w:rsid w:val="00571989"/>
    <w:rsid w:val="00574BE0"/>
    <w:rsid w:val="005835D7"/>
    <w:rsid w:val="005841DE"/>
    <w:rsid w:val="00584572"/>
    <w:rsid w:val="00584953"/>
    <w:rsid w:val="00584D1F"/>
    <w:rsid w:val="00586A53"/>
    <w:rsid w:val="00586CDC"/>
    <w:rsid w:val="005876F1"/>
    <w:rsid w:val="00587EA2"/>
    <w:rsid w:val="005915F7"/>
    <w:rsid w:val="00591CEF"/>
    <w:rsid w:val="00592AF0"/>
    <w:rsid w:val="00593DB2"/>
    <w:rsid w:val="005A1264"/>
    <w:rsid w:val="005A326E"/>
    <w:rsid w:val="005A3608"/>
    <w:rsid w:val="005A3E78"/>
    <w:rsid w:val="005A6F6C"/>
    <w:rsid w:val="005A793F"/>
    <w:rsid w:val="005B3461"/>
    <w:rsid w:val="005B36D5"/>
    <w:rsid w:val="005B4E5D"/>
    <w:rsid w:val="005C0579"/>
    <w:rsid w:val="005C0D8D"/>
    <w:rsid w:val="005C1759"/>
    <w:rsid w:val="005C3020"/>
    <w:rsid w:val="005C43B1"/>
    <w:rsid w:val="005C49C2"/>
    <w:rsid w:val="005C5613"/>
    <w:rsid w:val="005C60D5"/>
    <w:rsid w:val="005C63BF"/>
    <w:rsid w:val="005C6E03"/>
    <w:rsid w:val="005D255B"/>
    <w:rsid w:val="005D28DB"/>
    <w:rsid w:val="005D34FF"/>
    <w:rsid w:val="005D4589"/>
    <w:rsid w:val="005D7C12"/>
    <w:rsid w:val="005E30A9"/>
    <w:rsid w:val="005E3524"/>
    <w:rsid w:val="005E5124"/>
    <w:rsid w:val="005F0690"/>
    <w:rsid w:val="005F0A3A"/>
    <w:rsid w:val="005F2640"/>
    <w:rsid w:val="005F2E8D"/>
    <w:rsid w:val="005F3125"/>
    <w:rsid w:val="005F38CC"/>
    <w:rsid w:val="005F4C53"/>
    <w:rsid w:val="005F63C2"/>
    <w:rsid w:val="005F71F6"/>
    <w:rsid w:val="005F7529"/>
    <w:rsid w:val="005F7A24"/>
    <w:rsid w:val="00601204"/>
    <w:rsid w:val="006016C5"/>
    <w:rsid w:val="006021D5"/>
    <w:rsid w:val="00605C76"/>
    <w:rsid w:val="00606D5B"/>
    <w:rsid w:val="006107D5"/>
    <w:rsid w:val="00610D1D"/>
    <w:rsid w:val="00611191"/>
    <w:rsid w:val="006114C2"/>
    <w:rsid w:val="006118E7"/>
    <w:rsid w:val="00612943"/>
    <w:rsid w:val="0061338C"/>
    <w:rsid w:val="00613C1C"/>
    <w:rsid w:val="00614DF1"/>
    <w:rsid w:val="00614F4D"/>
    <w:rsid w:val="0061616F"/>
    <w:rsid w:val="0061778D"/>
    <w:rsid w:val="006205AB"/>
    <w:rsid w:val="00620B41"/>
    <w:rsid w:val="00620C55"/>
    <w:rsid w:val="0062153B"/>
    <w:rsid w:val="00622418"/>
    <w:rsid w:val="00624D27"/>
    <w:rsid w:val="006259FB"/>
    <w:rsid w:val="0062626D"/>
    <w:rsid w:val="006276C1"/>
    <w:rsid w:val="00630F40"/>
    <w:rsid w:val="00632D88"/>
    <w:rsid w:val="006338DB"/>
    <w:rsid w:val="00633984"/>
    <w:rsid w:val="00633987"/>
    <w:rsid w:val="00634DC5"/>
    <w:rsid w:val="00635AAD"/>
    <w:rsid w:val="00637D2B"/>
    <w:rsid w:val="00640D6E"/>
    <w:rsid w:val="006444A7"/>
    <w:rsid w:val="00644764"/>
    <w:rsid w:val="00646D06"/>
    <w:rsid w:val="00647992"/>
    <w:rsid w:val="006500D7"/>
    <w:rsid w:val="0065096D"/>
    <w:rsid w:val="006518D8"/>
    <w:rsid w:val="00652AA9"/>
    <w:rsid w:val="006530C3"/>
    <w:rsid w:val="006541CE"/>
    <w:rsid w:val="0065560C"/>
    <w:rsid w:val="00655DAB"/>
    <w:rsid w:val="006569C2"/>
    <w:rsid w:val="00656B86"/>
    <w:rsid w:val="0066182E"/>
    <w:rsid w:val="006626F1"/>
    <w:rsid w:val="006656B4"/>
    <w:rsid w:val="0067112C"/>
    <w:rsid w:val="00671A3F"/>
    <w:rsid w:val="006727D2"/>
    <w:rsid w:val="00673976"/>
    <w:rsid w:val="00674854"/>
    <w:rsid w:val="00674C79"/>
    <w:rsid w:val="006752B2"/>
    <w:rsid w:val="00675766"/>
    <w:rsid w:val="00676EE0"/>
    <w:rsid w:val="006778C9"/>
    <w:rsid w:val="00677BFE"/>
    <w:rsid w:val="00680444"/>
    <w:rsid w:val="00681C7A"/>
    <w:rsid w:val="00683B5D"/>
    <w:rsid w:val="0068508A"/>
    <w:rsid w:val="006914FE"/>
    <w:rsid w:val="00691AAB"/>
    <w:rsid w:val="00691ED6"/>
    <w:rsid w:val="00692D55"/>
    <w:rsid w:val="00693730"/>
    <w:rsid w:val="006A6661"/>
    <w:rsid w:val="006B0E80"/>
    <w:rsid w:val="006B284E"/>
    <w:rsid w:val="006B4B8F"/>
    <w:rsid w:val="006B5351"/>
    <w:rsid w:val="006C1369"/>
    <w:rsid w:val="006C1C22"/>
    <w:rsid w:val="006C2719"/>
    <w:rsid w:val="006C5958"/>
    <w:rsid w:val="006C5ABD"/>
    <w:rsid w:val="006C62CA"/>
    <w:rsid w:val="006C6384"/>
    <w:rsid w:val="006C6B21"/>
    <w:rsid w:val="006D226B"/>
    <w:rsid w:val="006D2916"/>
    <w:rsid w:val="006D44C6"/>
    <w:rsid w:val="006D6EF2"/>
    <w:rsid w:val="006D703C"/>
    <w:rsid w:val="006D70ED"/>
    <w:rsid w:val="006E0530"/>
    <w:rsid w:val="006E18F7"/>
    <w:rsid w:val="006E2145"/>
    <w:rsid w:val="006E2A69"/>
    <w:rsid w:val="006E332C"/>
    <w:rsid w:val="006E5E71"/>
    <w:rsid w:val="006E7C9C"/>
    <w:rsid w:val="006E7EE7"/>
    <w:rsid w:val="006F18C5"/>
    <w:rsid w:val="006F25AD"/>
    <w:rsid w:val="006F42B1"/>
    <w:rsid w:val="006F4313"/>
    <w:rsid w:val="006F5DB7"/>
    <w:rsid w:val="006F63FC"/>
    <w:rsid w:val="006F6759"/>
    <w:rsid w:val="006F781D"/>
    <w:rsid w:val="006F7A5A"/>
    <w:rsid w:val="0070099F"/>
    <w:rsid w:val="007017F1"/>
    <w:rsid w:val="0070435E"/>
    <w:rsid w:val="007068B1"/>
    <w:rsid w:val="0070778D"/>
    <w:rsid w:val="0071049F"/>
    <w:rsid w:val="00711D47"/>
    <w:rsid w:val="00711E7A"/>
    <w:rsid w:val="00712986"/>
    <w:rsid w:val="007145BD"/>
    <w:rsid w:val="0071746C"/>
    <w:rsid w:val="00720165"/>
    <w:rsid w:val="00720DBA"/>
    <w:rsid w:val="00721859"/>
    <w:rsid w:val="00721DB9"/>
    <w:rsid w:val="00723D89"/>
    <w:rsid w:val="00723E80"/>
    <w:rsid w:val="007247C2"/>
    <w:rsid w:val="00726096"/>
    <w:rsid w:val="00727A72"/>
    <w:rsid w:val="00731A1D"/>
    <w:rsid w:val="00731A81"/>
    <w:rsid w:val="00731CC7"/>
    <w:rsid w:val="00732263"/>
    <w:rsid w:val="00732D81"/>
    <w:rsid w:val="00735158"/>
    <w:rsid w:val="00735ACB"/>
    <w:rsid w:val="00735C6F"/>
    <w:rsid w:val="00735E31"/>
    <w:rsid w:val="0074070D"/>
    <w:rsid w:val="00741B8E"/>
    <w:rsid w:val="00742099"/>
    <w:rsid w:val="00750249"/>
    <w:rsid w:val="00750898"/>
    <w:rsid w:val="00750AD3"/>
    <w:rsid w:val="00750F8A"/>
    <w:rsid w:val="007527B7"/>
    <w:rsid w:val="00754202"/>
    <w:rsid w:val="00754A85"/>
    <w:rsid w:val="00755113"/>
    <w:rsid w:val="00762D95"/>
    <w:rsid w:val="00762DE1"/>
    <w:rsid w:val="0076328B"/>
    <w:rsid w:val="00764D4E"/>
    <w:rsid w:val="007651FC"/>
    <w:rsid w:val="00766CA4"/>
    <w:rsid w:val="007712A8"/>
    <w:rsid w:val="00772EF0"/>
    <w:rsid w:val="00772F81"/>
    <w:rsid w:val="007755BC"/>
    <w:rsid w:val="00775FCC"/>
    <w:rsid w:val="007765F1"/>
    <w:rsid w:val="0077661B"/>
    <w:rsid w:val="00781631"/>
    <w:rsid w:val="007824D6"/>
    <w:rsid w:val="00783B3D"/>
    <w:rsid w:val="00786546"/>
    <w:rsid w:val="00786EDF"/>
    <w:rsid w:val="00787203"/>
    <w:rsid w:val="00787256"/>
    <w:rsid w:val="00793CE1"/>
    <w:rsid w:val="00794C6D"/>
    <w:rsid w:val="00797A6B"/>
    <w:rsid w:val="007A141C"/>
    <w:rsid w:val="007A1513"/>
    <w:rsid w:val="007A5996"/>
    <w:rsid w:val="007A677E"/>
    <w:rsid w:val="007A7730"/>
    <w:rsid w:val="007B11D0"/>
    <w:rsid w:val="007B21DB"/>
    <w:rsid w:val="007B37DD"/>
    <w:rsid w:val="007B66CD"/>
    <w:rsid w:val="007B7317"/>
    <w:rsid w:val="007C178E"/>
    <w:rsid w:val="007C26D8"/>
    <w:rsid w:val="007C51AB"/>
    <w:rsid w:val="007C53C7"/>
    <w:rsid w:val="007C6460"/>
    <w:rsid w:val="007C72FE"/>
    <w:rsid w:val="007D0673"/>
    <w:rsid w:val="007D09BC"/>
    <w:rsid w:val="007D0D9C"/>
    <w:rsid w:val="007D5E96"/>
    <w:rsid w:val="007D6CAC"/>
    <w:rsid w:val="007D7CED"/>
    <w:rsid w:val="007E180A"/>
    <w:rsid w:val="007E245C"/>
    <w:rsid w:val="007E300A"/>
    <w:rsid w:val="007E380B"/>
    <w:rsid w:val="007E47CC"/>
    <w:rsid w:val="007E4B9B"/>
    <w:rsid w:val="007E4E78"/>
    <w:rsid w:val="007E54BF"/>
    <w:rsid w:val="007E6520"/>
    <w:rsid w:val="007F076F"/>
    <w:rsid w:val="007F0B28"/>
    <w:rsid w:val="007F421A"/>
    <w:rsid w:val="007F4406"/>
    <w:rsid w:val="007F50E8"/>
    <w:rsid w:val="007F5FBD"/>
    <w:rsid w:val="00802885"/>
    <w:rsid w:val="00805826"/>
    <w:rsid w:val="00805899"/>
    <w:rsid w:val="00807624"/>
    <w:rsid w:val="00811362"/>
    <w:rsid w:val="00811D27"/>
    <w:rsid w:val="00812344"/>
    <w:rsid w:val="00812D0C"/>
    <w:rsid w:val="00815544"/>
    <w:rsid w:val="00817CC5"/>
    <w:rsid w:val="00821C10"/>
    <w:rsid w:val="00823CF0"/>
    <w:rsid w:val="00825C44"/>
    <w:rsid w:val="00825F11"/>
    <w:rsid w:val="008270C9"/>
    <w:rsid w:val="00830584"/>
    <w:rsid w:val="008309D7"/>
    <w:rsid w:val="00831130"/>
    <w:rsid w:val="0083173B"/>
    <w:rsid w:val="00834F3B"/>
    <w:rsid w:val="00837B95"/>
    <w:rsid w:val="0084122E"/>
    <w:rsid w:val="008415D6"/>
    <w:rsid w:val="00842FE1"/>
    <w:rsid w:val="008460B4"/>
    <w:rsid w:val="008465D1"/>
    <w:rsid w:val="00846D0F"/>
    <w:rsid w:val="008471D2"/>
    <w:rsid w:val="00847BA5"/>
    <w:rsid w:val="00847D2A"/>
    <w:rsid w:val="008541EB"/>
    <w:rsid w:val="00855E0C"/>
    <w:rsid w:val="00856145"/>
    <w:rsid w:val="008579DC"/>
    <w:rsid w:val="00857F51"/>
    <w:rsid w:val="00861A48"/>
    <w:rsid w:val="00862A79"/>
    <w:rsid w:val="008646BB"/>
    <w:rsid w:val="00864790"/>
    <w:rsid w:val="00864CEC"/>
    <w:rsid w:val="00866874"/>
    <w:rsid w:val="00870F2E"/>
    <w:rsid w:val="00871C23"/>
    <w:rsid w:val="00871DDC"/>
    <w:rsid w:val="00872BD8"/>
    <w:rsid w:val="00872D3C"/>
    <w:rsid w:val="00873133"/>
    <w:rsid w:val="00875B7E"/>
    <w:rsid w:val="008762A2"/>
    <w:rsid w:val="00881587"/>
    <w:rsid w:val="0088171E"/>
    <w:rsid w:val="008828B2"/>
    <w:rsid w:val="00883763"/>
    <w:rsid w:val="00887C79"/>
    <w:rsid w:val="00890F75"/>
    <w:rsid w:val="0089218E"/>
    <w:rsid w:val="0089344B"/>
    <w:rsid w:val="00894BA0"/>
    <w:rsid w:val="008A0D76"/>
    <w:rsid w:val="008A140D"/>
    <w:rsid w:val="008A1DE4"/>
    <w:rsid w:val="008A46D8"/>
    <w:rsid w:val="008A55C4"/>
    <w:rsid w:val="008B07E4"/>
    <w:rsid w:val="008B16A5"/>
    <w:rsid w:val="008B3D32"/>
    <w:rsid w:val="008B5853"/>
    <w:rsid w:val="008B61A5"/>
    <w:rsid w:val="008B7595"/>
    <w:rsid w:val="008B7B15"/>
    <w:rsid w:val="008C156E"/>
    <w:rsid w:val="008C2810"/>
    <w:rsid w:val="008C29F2"/>
    <w:rsid w:val="008C3A2E"/>
    <w:rsid w:val="008C41FB"/>
    <w:rsid w:val="008C6BBE"/>
    <w:rsid w:val="008D035E"/>
    <w:rsid w:val="008D1478"/>
    <w:rsid w:val="008D227D"/>
    <w:rsid w:val="008D2C77"/>
    <w:rsid w:val="008D3E7B"/>
    <w:rsid w:val="008D4339"/>
    <w:rsid w:val="008D58BC"/>
    <w:rsid w:val="008D5EC4"/>
    <w:rsid w:val="008D69B5"/>
    <w:rsid w:val="008D6E57"/>
    <w:rsid w:val="008D7402"/>
    <w:rsid w:val="008D76FD"/>
    <w:rsid w:val="008E0121"/>
    <w:rsid w:val="008E14D1"/>
    <w:rsid w:val="008E2706"/>
    <w:rsid w:val="008E3F22"/>
    <w:rsid w:val="008E5450"/>
    <w:rsid w:val="008E5695"/>
    <w:rsid w:val="008E679C"/>
    <w:rsid w:val="008E6C2F"/>
    <w:rsid w:val="008E75F4"/>
    <w:rsid w:val="008F0C2C"/>
    <w:rsid w:val="008F1052"/>
    <w:rsid w:val="008F2695"/>
    <w:rsid w:val="008F45B1"/>
    <w:rsid w:val="008F596F"/>
    <w:rsid w:val="00900E63"/>
    <w:rsid w:val="00901EF1"/>
    <w:rsid w:val="009040DB"/>
    <w:rsid w:val="00905A91"/>
    <w:rsid w:val="00910113"/>
    <w:rsid w:val="00910A18"/>
    <w:rsid w:val="009111B6"/>
    <w:rsid w:val="009147C0"/>
    <w:rsid w:val="00915125"/>
    <w:rsid w:val="00917B13"/>
    <w:rsid w:val="00921C2C"/>
    <w:rsid w:val="00924F8A"/>
    <w:rsid w:val="009252C3"/>
    <w:rsid w:val="00926471"/>
    <w:rsid w:val="00931697"/>
    <w:rsid w:val="00931FF2"/>
    <w:rsid w:val="009328CA"/>
    <w:rsid w:val="009350CB"/>
    <w:rsid w:val="009366CF"/>
    <w:rsid w:val="009369EB"/>
    <w:rsid w:val="009377E3"/>
    <w:rsid w:val="00940B09"/>
    <w:rsid w:val="009432D9"/>
    <w:rsid w:val="00944618"/>
    <w:rsid w:val="0095126C"/>
    <w:rsid w:val="0095567C"/>
    <w:rsid w:val="00955A43"/>
    <w:rsid w:val="00957BC0"/>
    <w:rsid w:val="00957E32"/>
    <w:rsid w:val="009602EB"/>
    <w:rsid w:val="00962B0F"/>
    <w:rsid w:val="00962F4D"/>
    <w:rsid w:val="00963C45"/>
    <w:rsid w:val="00963E32"/>
    <w:rsid w:val="0096415E"/>
    <w:rsid w:val="00964288"/>
    <w:rsid w:val="00965D93"/>
    <w:rsid w:val="00967201"/>
    <w:rsid w:val="00973309"/>
    <w:rsid w:val="0097352F"/>
    <w:rsid w:val="00975C51"/>
    <w:rsid w:val="00976977"/>
    <w:rsid w:val="00976AEB"/>
    <w:rsid w:val="00980647"/>
    <w:rsid w:val="00981D43"/>
    <w:rsid w:val="00981ED1"/>
    <w:rsid w:val="009821E4"/>
    <w:rsid w:val="009848C0"/>
    <w:rsid w:val="00986E8C"/>
    <w:rsid w:val="009935B3"/>
    <w:rsid w:val="0099784E"/>
    <w:rsid w:val="009A11DB"/>
    <w:rsid w:val="009A290A"/>
    <w:rsid w:val="009A2994"/>
    <w:rsid w:val="009A2CE0"/>
    <w:rsid w:val="009A371E"/>
    <w:rsid w:val="009A40B8"/>
    <w:rsid w:val="009A6204"/>
    <w:rsid w:val="009A63E7"/>
    <w:rsid w:val="009A6B00"/>
    <w:rsid w:val="009B005A"/>
    <w:rsid w:val="009B1821"/>
    <w:rsid w:val="009B1E29"/>
    <w:rsid w:val="009B2A43"/>
    <w:rsid w:val="009B2E5F"/>
    <w:rsid w:val="009B3D52"/>
    <w:rsid w:val="009B4D17"/>
    <w:rsid w:val="009B5ED2"/>
    <w:rsid w:val="009B62E2"/>
    <w:rsid w:val="009C0BFC"/>
    <w:rsid w:val="009C1D95"/>
    <w:rsid w:val="009C3BA6"/>
    <w:rsid w:val="009C55B7"/>
    <w:rsid w:val="009D1163"/>
    <w:rsid w:val="009D2A15"/>
    <w:rsid w:val="009D2ECE"/>
    <w:rsid w:val="009D31F6"/>
    <w:rsid w:val="009D451D"/>
    <w:rsid w:val="009D4922"/>
    <w:rsid w:val="009D5529"/>
    <w:rsid w:val="009D69C4"/>
    <w:rsid w:val="009E07A1"/>
    <w:rsid w:val="009E24CD"/>
    <w:rsid w:val="009E2504"/>
    <w:rsid w:val="009E2571"/>
    <w:rsid w:val="009E3CE8"/>
    <w:rsid w:val="009F0781"/>
    <w:rsid w:val="009F23EF"/>
    <w:rsid w:val="009F6102"/>
    <w:rsid w:val="00A02A23"/>
    <w:rsid w:val="00A02D43"/>
    <w:rsid w:val="00A049AC"/>
    <w:rsid w:val="00A111EE"/>
    <w:rsid w:val="00A124BB"/>
    <w:rsid w:val="00A17A63"/>
    <w:rsid w:val="00A20D34"/>
    <w:rsid w:val="00A21198"/>
    <w:rsid w:val="00A21532"/>
    <w:rsid w:val="00A23BC4"/>
    <w:rsid w:val="00A24FD4"/>
    <w:rsid w:val="00A2664F"/>
    <w:rsid w:val="00A26902"/>
    <w:rsid w:val="00A26DAF"/>
    <w:rsid w:val="00A31C29"/>
    <w:rsid w:val="00A31FD9"/>
    <w:rsid w:val="00A33250"/>
    <w:rsid w:val="00A33329"/>
    <w:rsid w:val="00A33ABD"/>
    <w:rsid w:val="00A33D9E"/>
    <w:rsid w:val="00A35567"/>
    <w:rsid w:val="00A358DA"/>
    <w:rsid w:val="00A36A15"/>
    <w:rsid w:val="00A36A78"/>
    <w:rsid w:val="00A37E22"/>
    <w:rsid w:val="00A40AD1"/>
    <w:rsid w:val="00A41AEF"/>
    <w:rsid w:val="00A427B5"/>
    <w:rsid w:val="00A42E61"/>
    <w:rsid w:val="00A434A6"/>
    <w:rsid w:val="00A45F16"/>
    <w:rsid w:val="00A461B4"/>
    <w:rsid w:val="00A475DA"/>
    <w:rsid w:val="00A4769A"/>
    <w:rsid w:val="00A4784A"/>
    <w:rsid w:val="00A502FE"/>
    <w:rsid w:val="00A53D42"/>
    <w:rsid w:val="00A546D9"/>
    <w:rsid w:val="00A55F4D"/>
    <w:rsid w:val="00A636DC"/>
    <w:rsid w:val="00A638DD"/>
    <w:rsid w:val="00A64CE3"/>
    <w:rsid w:val="00A64E47"/>
    <w:rsid w:val="00A70161"/>
    <w:rsid w:val="00A71EB6"/>
    <w:rsid w:val="00A73B3C"/>
    <w:rsid w:val="00A742ED"/>
    <w:rsid w:val="00A74E21"/>
    <w:rsid w:val="00A75227"/>
    <w:rsid w:val="00A769D4"/>
    <w:rsid w:val="00A77A32"/>
    <w:rsid w:val="00A8196E"/>
    <w:rsid w:val="00A8409F"/>
    <w:rsid w:val="00A8410B"/>
    <w:rsid w:val="00A84C76"/>
    <w:rsid w:val="00A87465"/>
    <w:rsid w:val="00A91B56"/>
    <w:rsid w:val="00A91F12"/>
    <w:rsid w:val="00A9230F"/>
    <w:rsid w:val="00A938A0"/>
    <w:rsid w:val="00A95229"/>
    <w:rsid w:val="00A9556E"/>
    <w:rsid w:val="00A95A83"/>
    <w:rsid w:val="00A96A3E"/>
    <w:rsid w:val="00A96EBC"/>
    <w:rsid w:val="00A97087"/>
    <w:rsid w:val="00A97DA8"/>
    <w:rsid w:val="00A97F12"/>
    <w:rsid w:val="00AA26C6"/>
    <w:rsid w:val="00AA284A"/>
    <w:rsid w:val="00AA2919"/>
    <w:rsid w:val="00AA2DDE"/>
    <w:rsid w:val="00AA3509"/>
    <w:rsid w:val="00AA53CF"/>
    <w:rsid w:val="00AA67DC"/>
    <w:rsid w:val="00AA7267"/>
    <w:rsid w:val="00AA7C48"/>
    <w:rsid w:val="00AB02B4"/>
    <w:rsid w:val="00AB0782"/>
    <w:rsid w:val="00AB097F"/>
    <w:rsid w:val="00AB15B4"/>
    <w:rsid w:val="00AB2693"/>
    <w:rsid w:val="00AB434F"/>
    <w:rsid w:val="00AB62D0"/>
    <w:rsid w:val="00AB7923"/>
    <w:rsid w:val="00AC18C0"/>
    <w:rsid w:val="00AC1E68"/>
    <w:rsid w:val="00AC5D09"/>
    <w:rsid w:val="00AD034B"/>
    <w:rsid w:val="00AD0528"/>
    <w:rsid w:val="00AD5A0C"/>
    <w:rsid w:val="00AD5D14"/>
    <w:rsid w:val="00AD5D83"/>
    <w:rsid w:val="00AD6841"/>
    <w:rsid w:val="00AE0C74"/>
    <w:rsid w:val="00AE104A"/>
    <w:rsid w:val="00AE2560"/>
    <w:rsid w:val="00AE2EA4"/>
    <w:rsid w:val="00AE6C3F"/>
    <w:rsid w:val="00AE78D7"/>
    <w:rsid w:val="00AF1E14"/>
    <w:rsid w:val="00AF3647"/>
    <w:rsid w:val="00AF4E0D"/>
    <w:rsid w:val="00AF57E6"/>
    <w:rsid w:val="00AF66BD"/>
    <w:rsid w:val="00AF711C"/>
    <w:rsid w:val="00B0102E"/>
    <w:rsid w:val="00B0238E"/>
    <w:rsid w:val="00B03A1D"/>
    <w:rsid w:val="00B03E29"/>
    <w:rsid w:val="00B045D1"/>
    <w:rsid w:val="00B046D4"/>
    <w:rsid w:val="00B04ABE"/>
    <w:rsid w:val="00B06ABE"/>
    <w:rsid w:val="00B06DFA"/>
    <w:rsid w:val="00B07628"/>
    <w:rsid w:val="00B108D4"/>
    <w:rsid w:val="00B11438"/>
    <w:rsid w:val="00B1158B"/>
    <w:rsid w:val="00B11C00"/>
    <w:rsid w:val="00B13951"/>
    <w:rsid w:val="00B14049"/>
    <w:rsid w:val="00B1451F"/>
    <w:rsid w:val="00B168D4"/>
    <w:rsid w:val="00B20891"/>
    <w:rsid w:val="00B2098A"/>
    <w:rsid w:val="00B234FC"/>
    <w:rsid w:val="00B25747"/>
    <w:rsid w:val="00B31BFC"/>
    <w:rsid w:val="00B33E8E"/>
    <w:rsid w:val="00B34752"/>
    <w:rsid w:val="00B35273"/>
    <w:rsid w:val="00B35660"/>
    <w:rsid w:val="00B409E7"/>
    <w:rsid w:val="00B40A82"/>
    <w:rsid w:val="00B42032"/>
    <w:rsid w:val="00B447CA"/>
    <w:rsid w:val="00B45E32"/>
    <w:rsid w:val="00B46062"/>
    <w:rsid w:val="00B4634D"/>
    <w:rsid w:val="00B469E4"/>
    <w:rsid w:val="00B472BF"/>
    <w:rsid w:val="00B47398"/>
    <w:rsid w:val="00B47F0A"/>
    <w:rsid w:val="00B53BDD"/>
    <w:rsid w:val="00B540BA"/>
    <w:rsid w:val="00B54297"/>
    <w:rsid w:val="00B55B53"/>
    <w:rsid w:val="00B5680D"/>
    <w:rsid w:val="00B60702"/>
    <w:rsid w:val="00B61C49"/>
    <w:rsid w:val="00B62E1B"/>
    <w:rsid w:val="00B63325"/>
    <w:rsid w:val="00B64D42"/>
    <w:rsid w:val="00B70243"/>
    <w:rsid w:val="00B702C7"/>
    <w:rsid w:val="00B7096F"/>
    <w:rsid w:val="00B715D6"/>
    <w:rsid w:val="00B716DF"/>
    <w:rsid w:val="00B765EB"/>
    <w:rsid w:val="00B768FC"/>
    <w:rsid w:val="00B7768C"/>
    <w:rsid w:val="00B81C78"/>
    <w:rsid w:val="00B834C3"/>
    <w:rsid w:val="00B8409C"/>
    <w:rsid w:val="00B84C8A"/>
    <w:rsid w:val="00B851AA"/>
    <w:rsid w:val="00B8520E"/>
    <w:rsid w:val="00B868AB"/>
    <w:rsid w:val="00B86E32"/>
    <w:rsid w:val="00B873BF"/>
    <w:rsid w:val="00B87FF3"/>
    <w:rsid w:val="00B90493"/>
    <w:rsid w:val="00B908E5"/>
    <w:rsid w:val="00B913FE"/>
    <w:rsid w:val="00B91BE2"/>
    <w:rsid w:val="00B91D4F"/>
    <w:rsid w:val="00B927A8"/>
    <w:rsid w:val="00B949EA"/>
    <w:rsid w:val="00B94DAB"/>
    <w:rsid w:val="00B9534E"/>
    <w:rsid w:val="00B953CB"/>
    <w:rsid w:val="00B9674A"/>
    <w:rsid w:val="00BA421C"/>
    <w:rsid w:val="00BA462E"/>
    <w:rsid w:val="00BA4860"/>
    <w:rsid w:val="00BA6D1B"/>
    <w:rsid w:val="00BA74F2"/>
    <w:rsid w:val="00BB00ED"/>
    <w:rsid w:val="00BB16BE"/>
    <w:rsid w:val="00BB26C7"/>
    <w:rsid w:val="00BB2C85"/>
    <w:rsid w:val="00BB3323"/>
    <w:rsid w:val="00BB39ED"/>
    <w:rsid w:val="00BB4AA9"/>
    <w:rsid w:val="00BB5492"/>
    <w:rsid w:val="00BC28A9"/>
    <w:rsid w:val="00BC431C"/>
    <w:rsid w:val="00BC5E12"/>
    <w:rsid w:val="00BC6C80"/>
    <w:rsid w:val="00BD0BA8"/>
    <w:rsid w:val="00BD27AE"/>
    <w:rsid w:val="00BD44C5"/>
    <w:rsid w:val="00BD4D89"/>
    <w:rsid w:val="00BD70E8"/>
    <w:rsid w:val="00BE26C8"/>
    <w:rsid w:val="00BE4BC1"/>
    <w:rsid w:val="00BE52EE"/>
    <w:rsid w:val="00BE6345"/>
    <w:rsid w:val="00BE7235"/>
    <w:rsid w:val="00BF20F0"/>
    <w:rsid w:val="00BF30E2"/>
    <w:rsid w:val="00BF4549"/>
    <w:rsid w:val="00BF585E"/>
    <w:rsid w:val="00BF6DCF"/>
    <w:rsid w:val="00BF75B1"/>
    <w:rsid w:val="00C0082B"/>
    <w:rsid w:val="00C01D80"/>
    <w:rsid w:val="00C028D1"/>
    <w:rsid w:val="00C02A0E"/>
    <w:rsid w:val="00C02C48"/>
    <w:rsid w:val="00C02D3D"/>
    <w:rsid w:val="00C06EFD"/>
    <w:rsid w:val="00C07607"/>
    <w:rsid w:val="00C07DE1"/>
    <w:rsid w:val="00C105D4"/>
    <w:rsid w:val="00C1191C"/>
    <w:rsid w:val="00C11DA4"/>
    <w:rsid w:val="00C1340E"/>
    <w:rsid w:val="00C13480"/>
    <w:rsid w:val="00C144D2"/>
    <w:rsid w:val="00C14783"/>
    <w:rsid w:val="00C15527"/>
    <w:rsid w:val="00C15681"/>
    <w:rsid w:val="00C17BE7"/>
    <w:rsid w:val="00C2038A"/>
    <w:rsid w:val="00C227B0"/>
    <w:rsid w:val="00C24FBF"/>
    <w:rsid w:val="00C25DA0"/>
    <w:rsid w:val="00C26800"/>
    <w:rsid w:val="00C273D3"/>
    <w:rsid w:val="00C273F8"/>
    <w:rsid w:val="00C332C3"/>
    <w:rsid w:val="00C33DB7"/>
    <w:rsid w:val="00C349ED"/>
    <w:rsid w:val="00C35216"/>
    <w:rsid w:val="00C35727"/>
    <w:rsid w:val="00C364F7"/>
    <w:rsid w:val="00C4171F"/>
    <w:rsid w:val="00C41F7A"/>
    <w:rsid w:val="00C462BA"/>
    <w:rsid w:val="00C46E61"/>
    <w:rsid w:val="00C5075F"/>
    <w:rsid w:val="00C5167C"/>
    <w:rsid w:val="00C52028"/>
    <w:rsid w:val="00C526C0"/>
    <w:rsid w:val="00C53ADF"/>
    <w:rsid w:val="00C53E20"/>
    <w:rsid w:val="00C54B57"/>
    <w:rsid w:val="00C54E6A"/>
    <w:rsid w:val="00C55236"/>
    <w:rsid w:val="00C55EA4"/>
    <w:rsid w:val="00C570FA"/>
    <w:rsid w:val="00C60666"/>
    <w:rsid w:val="00C60D67"/>
    <w:rsid w:val="00C61112"/>
    <w:rsid w:val="00C61D91"/>
    <w:rsid w:val="00C623AF"/>
    <w:rsid w:val="00C624DB"/>
    <w:rsid w:val="00C62EDD"/>
    <w:rsid w:val="00C635C8"/>
    <w:rsid w:val="00C65CDF"/>
    <w:rsid w:val="00C6681F"/>
    <w:rsid w:val="00C70A7D"/>
    <w:rsid w:val="00C70AB0"/>
    <w:rsid w:val="00C717A1"/>
    <w:rsid w:val="00C73DF2"/>
    <w:rsid w:val="00C76533"/>
    <w:rsid w:val="00C804DC"/>
    <w:rsid w:val="00C82FAE"/>
    <w:rsid w:val="00C83E2C"/>
    <w:rsid w:val="00C86675"/>
    <w:rsid w:val="00C86A81"/>
    <w:rsid w:val="00C90447"/>
    <w:rsid w:val="00C9259E"/>
    <w:rsid w:val="00C951D2"/>
    <w:rsid w:val="00C96084"/>
    <w:rsid w:val="00C96BA0"/>
    <w:rsid w:val="00C96DB5"/>
    <w:rsid w:val="00CA03AC"/>
    <w:rsid w:val="00CA0A2B"/>
    <w:rsid w:val="00CA147A"/>
    <w:rsid w:val="00CA151F"/>
    <w:rsid w:val="00CA255C"/>
    <w:rsid w:val="00CA271E"/>
    <w:rsid w:val="00CA3A93"/>
    <w:rsid w:val="00CA5B7F"/>
    <w:rsid w:val="00CA7175"/>
    <w:rsid w:val="00CA7F46"/>
    <w:rsid w:val="00CB1EE0"/>
    <w:rsid w:val="00CB227F"/>
    <w:rsid w:val="00CB283D"/>
    <w:rsid w:val="00CB28B2"/>
    <w:rsid w:val="00CB3663"/>
    <w:rsid w:val="00CB5785"/>
    <w:rsid w:val="00CB5EC0"/>
    <w:rsid w:val="00CB73A1"/>
    <w:rsid w:val="00CC1509"/>
    <w:rsid w:val="00CC2492"/>
    <w:rsid w:val="00CC46B0"/>
    <w:rsid w:val="00CC4BEF"/>
    <w:rsid w:val="00CC669F"/>
    <w:rsid w:val="00CC7F55"/>
    <w:rsid w:val="00CD0477"/>
    <w:rsid w:val="00CD1323"/>
    <w:rsid w:val="00CD173A"/>
    <w:rsid w:val="00CD1944"/>
    <w:rsid w:val="00CD35D7"/>
    <w:rsid w:val="00CD3B3D"/>
    <w:rsid w:val="00CD42B4"/>
    <w:rsid w:val="00CD430B"/>
    <w:rsid w:val="00CD4693"/>
    <w:rsid w:val="00CD5170"/>
    <w:rsid w:val="00CD5B83"/>
    <w:rsid w:val="00CD5E07"/>
    <w:rsid w:val="00CD6BF4"/>
    <w:rsid w:val="00CD79FD"/>
    <w:rsid w:val="00CD7CA8"/>
    <w:rsid w:val="00CE1594"/>
    <w:rsid w:val="00CE267F"/>
    <w:rsid w:val="00CE463E"/>
    <w:rsid w:val="00CE6299"/>
    <w:rsid w:val="00CE72BE"/>
    <w:rsid w:val="00CE76C3"/>
    <w:rsid w:val="00CF3C51"/>
    <w:rsid w:val="00CF41B3"/>
    <w:rsid w:val="00CF55F9"/>
    <w:rsid w:val="00CF7745"/>
    <w:rsid w:val="00D00082"/>
    <w:rsid w:val="00D00F87"/>
    <w:rsid w:val="00D027D1"/>
    <w:rsid w:val="00D02F61"/>
    <w:rsid w:val="00D03EA2"/>
    <w:rsid w:val="00D06525"/>
    <w:rsid w:val="00D074F9"/>
    <w:rsid w:val="00D07B5C"/>
    <w:rsid w:val="00D12318"/>
    <w:rsid w:val="00D12F34"/>
    <w:rsid w:val="00D131C0"/>
    <w:rsid w:val="00D1402F"/>
    <w:rsid w:val="00D145E9"/>
    <w:rsid w:val="00D17D75"/>
    <w:rsid w:val="00D200FA"/>
    <w:rsid w:val="00D21284"/>
    <w:rsid w:val="00D242D4"/>
    <w:rsid w:val="00D276AC"/>
    <w:rsid w:val="00D31A33"/>
    <w:rsid w:val="00D31CFC"/>
    <w:rsid w:val="00D3398E"/>
    <w:rsid w:val="00D3597E"/>
    <w:rsid w:val="00D36906"/>
    <w:rsid w:val="00D36E16"/>
    <w:rsid w:val="00D37044"/>
    <w:rsid w:val="00D41F45"/>
    <w:rsid w:val="00D44A06"/>
    <w:rsid w:val="00D4682D"/>
    <w:rsid w:val="00D4790B"/>
    <w:rsid w:val="00D518BE"/>
    <w:rsid w:val="00D51BD0"/>
    <w:rsid w:val="00D53985"/>
    <w:rsid w:val="00D53E91"/>
    <w:rsid w:val="00D54D2A"/>
    <w:rsid w:val="00D55206"/>
    <w:rsid w:val="00D556E2"/>
    <w:rsid w:val="00D568A5"/>
    <w:rsid w:val="00D5766E"/>
    <w:rsid w:val="00D60582"/>
    <w:rsid w:val="00D612E5"/>
    <w:rsid w:val="00D62E6B"/>
    <w:rsid w:val="00D649D2"/>
    <w:rsid w:val="00D711A4"/>
    <w:rsid w:val="00D7172E"/>
    <w:rsid w:val="00D724A8"/>
    <w:rsid w:val="00D7292A"/>
    <w:rsid w:val="00D73C12"/>
    <w:rsid w:val="00D744DD"/>
    <w:rsid w:val="00D7565B"/>
    <w:rsid w:val="00D77BB5"/>
    <w:rsid w:val="00D80119"/>
    <w:rsid w:val="00D804CD"/>
    <w:rsid w:val="00D826B2"/>
    <w:rsid w:val="00D82CEB"/>
    <w:rsid w:val="00D841C9"/>
    <w:rsid w:val="00D91824"/>
    <w:rsid w:val="00D91994"/>
    <w:rsid w:val="00D942DD"/>
    <w:rsid w:val="00D94551"/>
    <w:rsid w:val="00D94DFE"/>
    <w:rsid w:val="00D961C0"/>
    <w:rsid w:val="00DA20D7"/>
    <w:rsid w:val="00DA264F"/>
    <w:rsid w:val="00DA3108"/>
    <w:rsid w:val="00DA5940"/>
    <w:rsid w:val="00DA60C3"/>
    <w:rsid w:val="00DA6DDA"/>
    <w:rsid w:val="00DB2C5B"/>
    <w:rsid w:val="00DB3902"/>
    <w:rsid w:val="00DB4ADA"/>
    <w:rsid w:val="00DB5088"/>
    <w:rsid w:val="00DB66C0"/>
    <w:rsid w:val="00DC2A9A"/>
    <w:rsid w:val="00DC47D1"/>
    <w:rsid w:val="00DD2C35"/>
    <w:rsid w:val="00DD3D08"/>
    <w:rsid w:val="00DD4D08"/>
    <w:rsid w:val="00DD4D8E"/>
    <w:rsid w:val="00DE29CC"/>
    <w:rsid w:val="00DE3700"/>
    <w:rsid w:val="00DF0109"/>
    <w:rsid w:val="00DF03E6"/>
    <w:rsid w:val="00DF2300"/>
    <w:rsid w:val="00DF3326"/>
    <w:rsid w:val="00DF3466"/>
    <w:rsid w:val="00DF3AF6"/>
    <w:rsid w:val="00DF3DA4"/>
    <w:rsid w:val="00DF48D4"/>
    <w:rsid w:val="00DF5D34"/>
    <w:rsid w:val="00DF5D6B"/>
    <w:rsid w:val="00DF6E60"/>
    <w:rsid w:val="00E00344"/>
    <w:rsid w:val="00E01A48"/>
    <w:rsid w:val="00E01C2F"/>
    <w:rsid w:val="00E041D6"/>
    <w:rsid w:val="00E056D9"/>
    <w:rsid w:val="00E064C9"/>
    <w:rsid w:val="00E071EB"/>
    <w:rsid w:val="00E12326"/>
    <w:rsid w:val="00E12727"/>
    <w:rsid w:val="00E13890"/>
    <w:rsid w:val="00E16199"/>
    <w:rsid w:val="00E17966"/>
    <w:rsid w:val="00E20503"/>
    <w:rsid w:val="00E20909"/>
    <w:rsid w:val="00E21A46"/>
    <w:rsid w:val="00E2209B"/>
    <w:rsid w:val="00E23F3B"/>
    <w:rsid w:val="00E24094"/>
    <w:rsid w:val="00E25F9E"/>
    <w:rsid w:val="00E301F8"/>
    <w:rsid w:val="00E302C3"/>
    <w:rsid w:val="00E30922"/>
    <w:rsid w:val="00E31822"/>
    <w:rsid w:val="00E32C68"/>
    <w:rsid w:val="00E3322D"/>
    <w:rsid w:val="00E33F5C"/>
    <w:rsid w:val="00E34938"/>
    <w:rsid w:val="00E35CE1"/>
    <w:rsid w:val="00E37298"/>
    <w:rsid w:val="00E37BE7"/>
    <w:rsid w:val="00E37E50"/>
    <w:rsid w:val="00E41BBF"/>
    <w:rsid w:val="00E430FC"/>
    <w:rsid w:val="00E445CA"/>
    <w:rsid w:val="00E477EF"/>
    <w:rsid w:val="00E47F9C"/>
    <w:rsid w:val="00E508C9"/>
    <w:rsid w:val="00E5147C"/>
    <w:rsid w:val="00E51DEB"/>
    <w:rsid w:val="00E5419F"/>
    <w:rsid w:val="00E55CA6"/>
    <w:rsid w:val="00E60460"/>
    <w:rsid w:val="00E61EDC"/>
    <w:rsid w:val="00E62112"/>
    <w:rsid w:val="00E64006"/>
    <w:rsid w:val="00E66B47"/>
    <w:rsid w:val="00E70915"/>
    <w:rsid w:val="00E70D39"/>
    <w:rsid w:val="00E711EB"/>
    <w:rsid w:val="00E7120D"/>
    <w:rsid w:val="00E73875"/>
    <w:rsid w:val="00E73B2F"/>
    <w:rsid w:val="00E74607"/>
    <w:rsid w:val="00E76541"/>
    <w:rsid w:val="00E8003F"/>
    <w:rsid w:val="00E8182E"/>
    <w:rsid w:val="00E82B19"/>
    <w:rsid w:val="00E84D45"/>
    <w:rsid w:val="00E8503E"/>
    <w:rsid w:val="00E87B4F"/>
    <w:rsid w:val="00E916B6"/>
    <w:rsid w:val="00E91826"/>
    <w:rsid w:val="00E94412"/>
    <w:rsid w:val="00E947F2"/>
    <w:rsid w:val="00E9689E"/>
    <w:rsid w:val="00EA0AF0"/>
    <w:rsid w:val="00EA12B2"/>
    <w:rsid w:val="00EA1366"/>
    <w:rsid w:val="00EA1458"/>
    <w:rsid w:val="00EA1A30"/>
    <w:rsid w:val="00EA3286"/>
    <w:rsid w:val="00EA58A3"/>
    <w:rsid w:val="00EA7749"/>
    <w:rsid w:val="00EB0AFD"/>
    <w:rsid w:val="00EB216A"/>
    <w:rsid w:val="00EB3C50"/>
    <w:rsid w:val="00EB3F25"/>
    <w:rsid w:val="00EB4116"/>
    <w:rsid w:val="00EB44AE"/>
    <w:rsid w:val="00EB6DB4"/>
    <w:rsid w:val="00EB7272"/>
    <w:rsid w:val="00EC23C8"/>
    <w:rsid w:val="00EC2C5A"/>
    <w:rsid w:val="00EC3768"/>
    <w:rsid w:val="00EC68C1"/>
    <w:rsid w:val="00EC77F3"/>
    <w:rsid w:val="00EC7BA3"/>
    <w:rsid w:val="00ED0422"/>
    <w:rsid w:val="00ED05EF"/>
    <w:rsid w:val="00ED2DE5"/>
    <w:rsid w:val="00ED37AA"/>
    <w:rsid w:val="00EE49F9"/>
    <w:rsid w:val="00EE5D04"/>
    <w:rsid w:val="00EF1B6F"/>
    <w:rsid w:val="00EF35E4"/>
    <w:rsid w:val="00EF3694"/>
    <w:rsid w:val="00EF3B3D"/>
    <w:rsid w:val="00EF512C"/>
    <w:rsid w:val="00EF5F11"/>
    <w:rsid w:val="00EF62E2"/>
    <w:rsid w:val="00F0225D"/>
    <w:rsid w:val="00F023BD"/>
    <w:rsid w:val="00F02E30"/>
    <w:rsid w:val="00F040C0"/>
    <w:rsid w:val="00F05E74"/>
    <w:rsid w:val="00F05FF9"/>
    <w:rsid w:val="00F07B32"/>
    <w:rsid w:val="00F14B0F"/>
    <w:rsid w:val="00F1510A"/>
    <w:rsid w:val="00F15BC2"/>
    <w:rsid w:val="00F162AA"/>
    <w:rsid w:val="00F16631"/>
    <w:rsid w:val="00F22258"/>
    <w:rsid w:val="00F22BB4"/>
    <w:rsid w:val="00F23567"/>
    <w:rsid w:val="00F23C48"/>
    <w:rsid w:val="00F259EA"/>
    <w:rsid w:val="00F26B3E"/>
    <w:rsid w:val="00F26E8E"/>
    <w:rsid w:val="00F26F02"/>
    <w:rsid w:val="00F27410"/>
    <w:rsid w:val="00F27528"/>
    <w:rsid w:val="00F27C72"/>
    <w:rsid w:val="00F30331"/>
    <w:rsid w:val="00F30F72"/>
    <w:rsid w:val="00F30FC5"/>
    <w:rsid w:val="00F31CCD"/>
    <w:rsid w:val="00F31F09"/>
    <w:rsid w:val="00F32A85"/>
    <w:rsid w:val="00F34697"/>
    <w:rsid w:val="00F40198"/>
    <w:rsid w:val="00F43265"/>
    <w:rsid w:val="00F460C3"/>
    <w:rsid w:val="00F47408"/>
    <w:rsid w:val="00F51850"/>
    <w:rsid w:val="00F52252"/>
    <w:rsid w:val="00F53160"/>
    <w:rsid w:val="00F536F5"/>
    <w:rsid w:val="00F53F20"/>
    <w:rsid w:val="00F5605E"/>
    <w:rsid w:val="00F56978"/>
    <w:rsid w:val="00F6036B"/>
    <w:rsid w:val="00F607C2"/>
    <w:rsid w:val="00F648E3"/>
    <w:rsid w:val="00F70987"/>
    <w:rsid w:val="00F712E9"/>
    <w:rsid w:val="00F740C3"/>
    <w:rsid w:val="00F748A6"/>
    <w:rsid w:val="00F758BA"/>
    <w:rsid w:val="00F7791E"/>
    <w:rsid w:val="00F80423"/>
    <w:rsid w:val="00F811BD"/>
    <w:rsid w:val="00F822A9"/>
    <w:rsid w:val="00F8242B"/>
    <w:rsid w:val="00F825DB"/>
    <w:rsid w:val="00F82D7E"/>
    <w:rsid w:val="00F8339D"/>
    <w:rsid w:val="00F86641"/>
    <w:rsid w:val="00F8722E"/>
    <w:rsid w:val="00F87A14"/>
    <w:rsid w:val="00F87AFA"/>
    <w:rsid w:val="00F91540"/>
    <w:rsid w:val="00F933B7"/>
    <w:rsid w:val="00F954EC"/>
    <w:rsid w:val="00FA07B7"/>
    <w:rsid w:val="00FA113E"/>
    <w:rsid w:val="00FA22B5"/>
    <w:rsid w:val="00FA239B"/>
    <w:rsid w:val="00FA27EA"/>
    <w:rsid w:val="00FA2C97"/>
    <w:rsid w:val="00FA47E3"/>
    <w:rsid w:val="00FA539B"/>
    <w:rsid w:val="00FA71A2"/>
    <w:rsid w:val="00FB13E4"/>
    <w:rsid w:val="00FB1B8D"/>
    <w:rsid w:val="00FB27BF"/>
    <w:rsid w:val="00FB3406"/>
    <w:rsid w:val="00FB415B"/>
    <w:rsid w:val="00FB4278"/>
    <w:rsid w:val="00FB46B5"/>
    <w:rsid w:val="00FB4BFC"/>
    <w:rsid w:val="00FB4D32"/>
    <w:rsid w:val="00FB661D"/>
    <w:rsid w:val="00FB6E48"/>
    <w:rsid w:val="00FB6FF1"/>
    <w:rsid w:val="00FB76B7"/>
    <w:rsid w:val="00FC0060"/>
    <w:rsid w:val="00FC1104"/>
    <w:rsid w:val="00FC2C82"/>
    <w:rsid w:val="00FC3615"/>
    <w:rsid w:val="00FC4172"/>
    <w:rsid w:val="00FC458C"/>
    <w:rsid w:val="00FC6DBD"/>
    <w:rsid w:val="00FD1180"/>
    <w:rsid w:val="00FD1F4D"/>
    <w:rsid w:val="00FD4241"/>
    <w:rsid w:val="00FD62A3"/>
    <w:rsid w:val="00FD7ACA"/>
    <w:rsid w:val="00FE0D4B"/>
    <w:rsid w:val="00FE3220"/>
    <w:rsid w:val="00FE4F7C"/>
    <w:rsid w:val="00FE51BD"/>
    <w:rsid w:val="00FE5441"/>
    <w:rsid w:val="00FE6C67"/>
    <w:rsid w:val="00FE7740"/>
    <w:rsid w:val="00FE7BD4"/>
    <w:rsid w:val="00FF15A5"/>
    <w:rsid w:val="00FF3136"/>
    <w:rsid w:val="00FF4826"/>
    <w:rsid w:val="00FF58CC"/>
    <w:rsid w:val="00FF5A8F"/>
    <w:rsid w:val="00FF6F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C4AA3"/>
  <w15:chartTrackingRefBased/>
  <w15:docId w15:val="{8EF3B8DF-9C03-4F03-AC6E-6BC966B7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F45"/>
    <w:pPr>
      <w:spacing w:after="0" w:line="240" w:lineRule="auto"/>
    </w:pPr>
    <w:rPr>
      <w:rFonts w:ascii="Arial" w:hAnsi="Arial"/>
      <w:sz w:val="20"/>
      <w:szCs w:val="20"/>
    </w:rPr>
  </w:style>
  <w:style w:type="paragraph" w:styleId="Ttulo1">
    <w:name w:val="heading 1"/>
    <w:basedOn w:val="Normal"/>
    <w:next w:val="Normal"/>
    <w:link w:val="Ttulo1Car"/>
    <w:uiPriority w:val="9"/>
    <w:qFormat/>
    <w:rsid w:val="002E2FC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E300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41F45"/>
    <w:pPr>
      <w:tabs>
        <w:tab w:val="center" w:pos="4252"/>
        <w:tab w:val="right" w:pos="8504"/>
      </w:tabs>
    </w:pPr>
  </w:style>
  <w:style w:type="character" w:customStyle="1" w:styleId="EncabezadoCar">
    <w:name w:val="Encabezado Car"/>
    <w:basedOn w:val="Fuentedeprrafopredeter"/>
    <w:link w:val="Encabezado"/>
    <w:rsid w:val="00D41F45"/>
    <w:rPr>
      <w:rFonts w:ascii="Arial" w:hAnsi="Arial"/>
      <w:sz w:val="20"/>
      <w:szCs w:val="20"/>
    </w:rPr>
  </w:style>
  <w:style w:type="paragraph" w:styleId="Piedepgina">
    <w:name w:val="footer"/>
    <w:basedOn w:val="Normal"/>
    <w:link w:val="PiedepginaCar"/>
    <w:uiPriority w:val="99"/>
    <w:rsid w:val="00D41F45"/>
    <w:pPr>
      <w:tabs>
        <w:tab w:val="center" w:pos="4252"/>
        <w:tab w:val="right" w:pos="8504"/>
      </w:tabs>
    </w:pPr>
  </w:style>
  <w:style w:type="character" w:customStyle="1" w:styleId="PiedepginaCar">
    <w:name w:val="Pie de página Car"/>
    <w:basedOn w:val="Fuentedeprrafopredeter"/>
    <w:link w:val="Piedepgina"/>
    <w:uiPriority w:val="99"/>
    <w:rsid w:val="00D41F45"/>
    <w:rPr>
      <w:rFonts w:ascii="Arial" w:hAnsi="Arial"/>
      <w:sz w:val="20"/>
      <w:szCs w:val="20"/>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ootnote Reference,ftre"/>
    <w:link w:val="4GChar"/>
    <w:uiPriority w:val="99"/>
    <w:qFormat/>
    <w:rsid w:val="00D41F45"/>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qFormat/>
    <w:rsid w:val="00D41F45"/>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41F45"/>
    <w:rPr>
      <w:rFonts w:ascii="Arial" w:hAnsi="Arial"/>
      <w:sz w:val="20"/>
      <w:szCs w:val="20"/>
    </w:rPr>
  </w:style>
  <w:style w:type="table" w:styleId="Tablaconcuadrcula">
    <w:name w:val="Table Grid"/>
    <w:basedOn w:val="Tablanormal"/>
    <w:uiPriority w:val="39"/>
    <w:rsid w:val="00D41F4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Párrafo de lista1,Footnote,List Paragraph2,List Paragraph1,Colorful List - Accent 11,Lista vistosa - Énfasis 11,Parrafo 1,Lista multicolor - Énfasis 11,Cuadrícula media 1 - Énfasis 21,Cita texto,List Paragraph-Thesis"/>
    <w:basedOn w:val="Normal"/>
    <w:link w:val="PrrafodelistaCar"/>
    <w:uiPriority w:val="34"/>
    <w:qFormat/>
    <w:rsid w:val="00D41F45"/>
    <w:pPr>
      <w:ind w:left="708"/>
    </w:pPr>
  </w:style>
  <w:style w:type="paragraph" w:customStyle="1" w:styleId="NUMERADO">
    <w:name w:val="NUMERADO"/>
    <w:basedOn w:val="Normal"/>
    <w:autoRedefine/>
    <w:qFormat/>
    <w:rsid w:val="00870F2E"/>
    <w:pPr>
      <w:numPr>
        <w:numId w:val="2"/>
      </w:numPr>
      <w:spacing w:before="240" w:after="240" w:line="360" w:lineRule="auto"/>
      <w:ind w:left="0" w:firstLine="0"/>
      <w:jc w:val="both"/>
    </w:pPr>
    <w:rPr>
      <w:rFonts w:ascii="Univers" w:eastAsia="Times New Roman" w:hAnsi="Univers" w:cs="Arial"/>
      <w:sz w:val="28"/>
      <w:szCs w:val="28"/>
      <w:lang w:eastAsia="es-MX"/>
    </w:rPr>
  </w:style>
  <w:style w:type="character" w:customStyle="1" w:styleId="apple-converted-space">
    <w:name w:val="apple-converted-space"/>
    <w:basedOn w:val="Fuentedeprrafopredeter"/>
    <w:rsid w:val="004C7265"/>
  </w:style>
  <w:style w:type="paragraph" w:styleId="Textodeglobo">
    <w:name w:val="Balloon Text"/>
    <w:basedOn w:val="Normal"/>
    <w:link w:val="TextodegloboCar"/>
    <w:uiPriority w:val="99"/>
    <w:semiHidden/>
    <w:unhideWhenUsed/>
    <w:rsid w:val="00FA113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113E"/>
    <w:rPr>
      <w:rFonts w:ascii="Segoe UI" w:hAnsi="Segoe UI" w:cs="Segoe UI"/>
      <w:sz w:val="18"/>
      <w:szCs w:val="18"/>
    </w:rPr>
  </w:style>
  <w:style w:type="table" w:customStyle="1" w:styleId="Tablaconcuadrcula3">
    <w:name w:val="Tabla con cuadrícula3"/>
    <w:basedOn w:val="Tablanormal"/>
    <w:next w:val="Tablaconcuadrcula"/>
    <w:uiPriority w:val="39"/>
    <w:rsid w:val="00864790"/>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E2FC4"/>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2E2FC4"/>
    <w:pPr>
      <w:spacing w:line="259" w:lineRule="auto"/>
      <w:outlineLvl w:val="9"/>
    </w:pPr>
    <w:rPr>
      <w:lang w:eastAsia="es-MX"/>
    </w:rPr>
  </w:style>
  <w:style w:type="character" w:customStyle="1" w:styleId="Ttulo2Car">
    <w:name w:val="Título 2 Car"/>
    <w:basedOn w:val="Fuentedeprrafopredeter"/>
    <w:link w:val="Ttulo2"/>
    <w:uiPriority w:val="9"/>
    <w:rsid w:val="007E300A"/>
    <w:rPr>
      <w:rFonts w:asciiTheme="majorHAnsi" w:eastAsiaTheme="majorEastAsia" w:hAnsiTheme="majorHAnsi" w:cstheme="majorBidi"/>
      <w:color w:val="2E74B5" w:themeColor="accent1" w:themeShade="BF"/>
      <w:sz w:val="26"/>
      <w:szCs w:val="26"/>
    </w:rPr>
  </w:style>
  <w:style w:type="paragraph" w:styleId="TDC1">
    <w:name w:val="toc 1"/>
    <w:basedOn w:val="Normal"/>
    <w:next w:val="Normal"/>
    <w:autoRedefine/>
    <w:uiPriority w:val="39"/>
    <w:unhideWhenUsed/>
    <w:rsid w:val="00606D5B"/>
    <w:pPr>
      <w:tabs>
        <w:tab w:val="right" w:leader="dot" w:pos="7694"/>
      </w:tabs>
    </w:pPr>
    <w:rPr>
      <w:sz w:val="18"/>
      <w:szCs w:val="18"/>
    </w:rPr>
  </w:style>
  <w:style w:type="paragraph" w:styleId="TDC2">
    <w:name w:val="toc 2"/>
    <w:basedOn w:val="Normal"/>
    <w:next w:val="Normal"/>
    <w:autoRedefine/>
    <w:uiPriority w:val="39"/>
    <w:unhideWhenUsed/>
    <w:rsid w:val="007E300A"/>
    <w:pPr>
      <w:spacing w:after="100"/>
      <w:ind w:left="200"/>
    </w:pPr>
  </w:style>
  <w:style w:type="character" w:styleId="Hipervnculo">
    <w:name w:val="Hyperlink"/>
    <w:basedOn w:val="Fuentedeprrafopredeter"/>
    <w:uiPriority w:val="99"/>
    <w:unhideWhenUsed/>
    <w:rsid w:val="007E300A"/>
    <w:rPr>
      <w:color w:val="0563C1" w:themeColor="hyperlink"/>
      <w:u w:val="single"/>
    </w:rPr>
  </w:style>
  <w:style w:type="paragraph" w:customStyle="1" w:styleId="numerados">
    <w:name w:val="numerados"/>
    <w:basedOn w:val="Normal"/>
    <w:qFormat/>
    <w:rsid w:val="00965D93"/>
    <w:pPr>
      <w:numPr>
        <w:numId w:val="4"/>
      </w:numPr>
      <w:spacing w:after="240" w:line="360" w:lineRule="auto"/>
      <w:ind w:left="0" w:firstLine="0"/>
      <w:jc w:val="both"/>
    </w:pPr>
    <w:rPr>
      <w:rFonts w:ascii="Univers" w:eastAsia="Times New Roman" w:hAnsi="Univers" w:cs="Times New Roman"/>
      <w:sz w:val="28"/>
      <w:szCs w:val="28"/>
    </w:rPr>
  </w:style>
  <w:style w:type="table" w:customStyle="1" w:styleId="Tablaconcuadrcula1">
    <w:name w:val="Tabla con cuadrícula1"/>
    <w:basedOn w:val="Tablanormal"/>
    <w:next w:val="Tablaconcuadrcula"/>
    <w:uiPriority w:val="39"/>
    <w:rsid w:val="00097C5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5F4C5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ar1,Normal (Web) Car Car,Normal (Web) Car1 Car Car,Normal (Web) Car Car Car Car Car Car Car Car Car Car Car,Normal (Web) Car Car Car Car Car Car, Car Car Car, Car Car Car Car Car,Car,Car Car,Normal (Web) Car Car Car Car Car,C"/>
    <w:basedOn w:val="Normal"/>
    <w:link w:val="NormalWebCar"/>
    <w:uiPriority w:val="99"/>
    <w:unhideWhenUsed/>
    <w:qFormat/>
    <w:rsid w:val="00F8339D"/>
    <w:pPr>
      <w:spacing w:before="100" w:beforeAutospacing="1" w:after="100" w:afterAutospacing="1"/>
    </w:pPr>
    <w:rPr>
      <w:rFonts w:ascii="Times New Roman" w:eastAsia="Times New Roman" w:hAnsi="Times New Roman" w:cs="Times New Roman"/>
      <w:sz w:val="24"/>
      <w:szCs w:val="24"/>
      <w:lang w:eastAsia="es-MX"/>
    </w:rPr>
  </w:style>
  <w:style w:type="table" w:customStyle="1" w:styleId="Tablaconcuadrcula32">
    <w:name w:val="Tabla con cuadrícula32"/>
    <w:basedOn w:val="Tablanormal"/>
    <w:next w:val="Tablaconcuadrcula"/>
    <w:uiPriority w:val="39"/>
    <w:rsid w:val="00B702C7"/>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aliases w:val="Normal (Web) Car1 Car,Normal (Web) Car Car Car,Normal (Web) Car1 Car Car Car,Normal (Web) Car Car Car Car Car Car Car Car Car Car Car Car,Normal (Web) Car Car Car Car Car Car Car, Car Car Car Car, Car Car Car Car Car Car,Car Car1,C Car"/>
    <w:link w:val="NormalWeb"/>
    <w:uiPriority w:val="99"/>
    <w:rsid w:val="001D582D"/>
    <w:rPr>
      <w:rFonts w:ascii="Times New Roman" w:eastAsia="Times New Roman" w:hAnsi="Times New Roman" w:cs="Times New Roman"/>
      <w:sz w:val="24"/>
      <w:szCs w:val="24"/>
      <w:lang w:eastAsia="es-MX"/>
    </w:rPr>
  </w:style>
  <w:style w:type="paragraph" w:customStyle="1" w:styleId="Normalsentencia">
    <w:name w:val="Normal sentencia"/>
    <w:basedOn w:val="Normal"/>
    <w:link w:val="NormalsentenciaCar"/>
    <w:qFormat/>
    <w:rsid w:val="000D257D"/>
    <w:pPr>
      <w:spacing w:before="360" w:after="240" w:line="360" w:lineRule="auto"/>
      <w:ind w:firstLine="709"/>
      <w:jc w:val="both"/>
    </w:pPr>
    <w:rPr>
      <w:rFonts w:ascii="Univers" w:eastAsia="Times New Roman" w:hAnsi="Univers" w:cs="Arial"/>
      <w:sz w:val="28"/>
      <w:szCs w:val="22"/>
      <w:lang w:val="es-ES" w:eastAsia="es-ES"/>
    </w:rPr>
  </w:style>
  <w:style w:type="character" w:customStyle="1" w:styleId="NormalsentenciaCar">
    <w:name w:val="Normal sentencia Car"/>
    <w:basedOn w:val="Fuentedeprrafopredeter"/>
    <w:link w:val="Normalsentencia"/>
    <w:rsid w:val="000D257D"/>
    <w:rPr>
      <w:rFonts w:ascii="Univers" w:eastAsia="Times New Roman" w:hAnsi="Univers" w:cs="Arial"/>
      <w:sz w:val="2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31FD9"/>
    <w:pPr>
      <w:jc w:val="both"/>
    </w:pPr>
    <w:rPr>
      <w:rFonts w:asciiTheme="minorHAnsi" w:hAnsiTheme="minorHAnsi"/>
      <w:sz w:val="22"/>
      <w:szCs w:val="22"/>
      <w:vertAlign w:val="superscript"/>
    </w:rPr>
  </w:style>
  <w:style w:type="character" w:styleId="Refdecomentario">
    <w:name w:val="annotation reference"/>
    <w:basedOn w:val="Fuentedeprrafopredeter"/>
    <w:uiPriority w:val="99"/>
    <w:semiHidden/>
    <w:unhideWhenUsed/>
    <w:rsid w:val="00087DE1"/>
    <w:rPr>
      <w:sz w:val="16"/>
      <w:szCs w:val="16"/>
    </w:rPr>
  </w:style>
  <w:style w:type="paragraph" w:styleId="Textocomentario">
    <w:name w:val="annotation text"/>
    <w:basedOn w:val="Normal"/>
    <w:link w:val="TextocomentarioCar"/>
    <w:uiPriority w:val="99"/>
    <w:semiHidden/>
    <w:unhideWhenUsed/>
    <w:rsid w:val="00087DE1"/>
  </w:style>
  <w:style w:type="character" w:customStyle="1" w:styleId="TextocomentarioCar">
    <w:name w:val="Texto comentario Car"/>
    <w:basedOn w:val="Fuentedeprrafopredeter"/>
    <w:link w:val="Textocomentario"/>
    <w:uiPriority w:val="99"/>
    <w:semiHidden/>
    <w:rsid w:val="00087DE1"/>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087DE1"/>
    <w:rPr>
      <w:b/>
      <w:bCs/>
    </w:rPr>
  </w:style>
  <w:style w:type="character" w:customStyle="1" w:styleId="AsuntodelcomentarioCar">
    <w:name w:val="Asunto del comentario Car"/>
    <w:basedOn w:val="TextocomentarioCar"/>
    <w:link w:val="Asuntodelcomentario"/>
    <w:uiPriority w:val="99"/>
    <w:semiHidden/>
    <w:rsid w:val="00087DE1"/>
    <w:rPr>
      <w:rFonts w:ascii="Arial" w:hAnsi="Arial"/>
      <w:b/>
      <w:bCs/>
      <w:sz w:val="20"/>
      <w:szCs w:val="20"/>
    </w:rPr>
  </w:style>
  <w:style w:type="character" w:customStyle="1" w:styleId="PrrafodelistaCar">
    <w:name w:val="Párrafo de lista Car"/>
    <w:aliases w:val="CNBV Parrafo1 Car,Párrafo de lista1 Car,Footnote Car,List Paragraph2 Car,List Paragraph1 Car,Colorful List - Accent 11 Car,Lista vistosa - Énfasis 11 Car,Parrafo 1 Car,Lista multicolor - Énfasis 11 Car,Cita texto Car"/>
    <w:link w:val="Prrafodelista"/>
    <w:uiPriority w:val="34"/>
    <w:qFormat/>
    <w:rsid w:val="00477427"/>
    <w:rPr>
      <w:rFonts w:ascii="Arial" w:hAnsi="Arial"/>
      <w:sz w:val="20"/>
      <w:szCs w:val="20"/>
    </w:rPr>
  </w:style>
  <w:style w:type="character" w:styleId="Textoennegrita">
    <w:name w:val="Strong"/>
    <w:basedOn w:val="Fuentedeprrafopredeter"/>
    <w:uiPriority w:val="22"/>
    <w:qFormat/>
    <w:rsid w:val="00D37044"/>
    <w:rPr>
      <w:b/>
      <w:bCs/>
    </w:rPr>
  </w:style>
  <w:style w:type="paragraph" w:styleId="Textonotaalfinal">
    <w:name w:val="endnote text"/>
    <w:basedOn w:val="Normal"/>
    <w:link w:val="TextonotaalfinalCar"/>
    <w:uiPriority w:val="99"/>
    <w:semiHidden/>
    <w:unhideWhenUsed/>
    <w:rsid w:val="0018035E"/>
  </w:style>
  <w:style w:type="character" w:customStyle="1" w:styleId="TextonotaalfinalCar">
    <w:name w:val="Texto nota al final Car"/>
    <w:basedOn w:val="Fuentedeprrafopredeter"/>
    <w:link w:val="Textonotaalfinal"/>
    <w:uiPriority w:val="99"/>
    <w:semiHidden/>
    <w:rsid w:val="0018035E"/>
    <w:rPr>
      <w:rFonts w:ascii="Arial" w:hAnsi="Arial"/>
      <w:sz w:val="20"/>
      <w:szCs w:val="20"/>
    </w:rPr>
  </w:style>
  <w:style w:type="character" w:styleId="Refdenotaalfinal">
    <w:name w:val="endnote reference"/>
    <w:basedOn w:val="Fuentedeprrafopredeter"/>
    <w:uiPriority w:val="99"/>
    <w:semiHidden/>
    <w:unhideWhenUsed/>
    <w:rsid w:val="0018035E"/>
    <w:rPr>
      <w:vertAlign w:val="superscript"/>
    </w:rPr>
  </w:style>
  <w:style w:type="character" w:styleId="Mencinsinresolver">
    <w:name w:val="Unresolved Mention"/>
    <w:basedOn w:val="Fuentedeprrafopredeter"/>
    <w:uiPriority w:val="99"/>
    <w:semiHidden/>
    <w:unhideWhenUsed/>
    <w:rsid w:val="00BF75B1"/>
    <w:rPr>
      <w:color w:val="605E5C"/>
      <w:shd w:val="clear" w:color="auto" w:fill="E1DFDD"/>
    </w:rPr>
  </w:style>
  <w:style w:type="character" w:styleId="Hipervnculovisitado">
    <w:name w:val="FollowedHyperlink"/>
    <w:basedOn w:val="Fuentedeprrafopredeter"/>
    <w:uiPriority w:val="99"/>
    <w:semiHidden/>
    <w:unhideWhenUsed/>
    <w:rsid w:val="002D5925"/>
    <w:rPr>
      <w:color w:val="954F72" w:themeColor="followedHyperlink"/>
      <w:u w:val="single"/>
    </w:rPr>
  </w:style>
  <w:style w:type="paragraph" w:customStyle="1" w:styleId="Estilo">
    <w:name w:val="Estilo"/>
    <w:basedOn w:val="Sinespaciado"/>
    <w:link w:val="EstiloCar"/>
    <w:qFormat/>
    <w:rsid w:val="00811D27"/>
    <w:pPr>
      <w:jc w:val="both"/>
    </w:pPr>
    <w:rPr>
      <w:sz w:val="24"/>
      <w:szCs w:val="22"/>
    </w:rPr>
  </w:style>
  <w:style w:type="character" w:customStyle="1" w:styleId="EstiloCar">
    <w:name w:val="Estilo Car"/>
    <w:basedOn w:val="Fuentedeprrafopredeter"/>
    <w:link w:val="Estilo"/>
    <w:rsid w:val="00811D27"/>
    <w:rPr>
      <w:rFonts w:ascii="Arial" w:hAnsi="Arial"/>
      <w:sz w:val="24"/>
    </w:rPr>
  </w:style>
  <w:style w:type="paragraph" w:styleId="Sinespaciado">
    <w:name w:val="No Spacing"/>
    <w:uiPriority w:val="1"/>
    <w:qFormat/>
    <w:rsid w:val="00811D27"/>
    <w:pPr>
      <w:spacing w:after="0" w:line="240" w:lineRule="auto"/>
    </w:pPr>
    <w:rPr>
      <w:rFonts w:ascii="Arial" w:hAnsi="Arial"/>
      <w:sz w:val="20"/>
      <w:szCs w:val="20"/>
    </w:rPr>
  </w:style>
  <w:style w:type="character" w:customStyle="1" w:styleId="red">
    <w:name w:val="red"/>
    <w:basedOn w:val="Fuentedeprrafopredeter"/>
    <w:rsid w:val="002347E4"/>
  </w:style>
  <w:style w:type="paragraph" w:customStyle="1" w:styleId="corte4fondo">
    <w:name w:val="corte4 fondo"/>
    <w:basedOn w:val="Normal"/>
    <w:link w:val="corte4fondoCar1"/>
    <w:qFormat/>
    <w:rsid w:val="00AA67DC"/>
    <w:pPr>
      <w:spacing w:line="360" w:lineRule="auto"/>
      <w:ind w:firstLine="709"/>
      <w:jc w:val="both"/>
    </w:pPr>
    <w:rPr>
      <w:rFonts w:eastAsia="Times New Roman" w:cs="Times New Roman"/>
      <w:sz w:val="30"/>
      <w:lang w:val="es-ES_tradnl" w:eastAsia="es-MX"/>
    </w:rPr>
  </w:style>
  <w:style w:type="character" w:customStyle="1" w:styleId="corte4fondoCar1">
    <w:name w:val="corte4 fondo Car1"/>
    <w:link w:val="corte4fondo"/>
    <w:rsid w:val="00AA67DC"/>
    <w:rPr>
      <w:rFonts w:ascii="Arial" w:eastAsia="Times New Roman" w:hAnsi="Arial" w:cs="Times New Roman"/>
      <w:sz w:val="30"/>
      <w:szCs w:val="20"/>
      <w:lang w:val="es-ES_tradnl" w:eastAsia="es-MX"/>
    </w:rPr>
  </w:style>
  <w:style w:type="paragraph" w:styleId="TDC3">
    <w:name w:val="toc 3"/>
    <w:basedOn w:val="Normal"/>
    <w:next w:val="Normal"/>
    <w:autoRedefine/>
    <w:uiPriority w:val="39"/>
    <w:unhideWhenUsed/>
    <w:rsid w:val="00F30331"/>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79332">
      <w:bodyDiv w:val="1"/>
      <w:marLeft w:val="0"/>
      <w:marRight w:val="0"/>
      <w:marTop w:val="0"/>
      <w:marBottom w:val="0"/>
      <w:divBdr>
        <w:top w:val="none" w:sz="0" w:space="0" w:color="auto"/>
        <w:left w:val="none" w:sz="0" w:space="0" w:color="auto"/>
        <w:bottom w:val="none" w:sz="0" w:space="0" w:color="auto"/>
        <w:right w:val="none" w:sz="0" w:space="0" w:color="auto"/>
      </w:divBdr>
    </w:div>
    <w:div w:id="50229296">
      <w:bodyDiv w:val="1"/>
      <w:marLeft w:val="0"/>
      <w:marRight w:val="0"/>
      <w:marTop w:val="0"/>
      <w:marBottom w:val="0"/>
      <w:divBdr>
        <w:top w:val="none" w:sz="0" w:space="0" w:color="auto"/>
        <w:left w:val="none" w:sz="0" w:space="0" w:color="auto"/>
        <w:bottom w:val="none" w:sz="0" w:space="0" w:color="auto"/>
        <w:right w:val="none" w:sz="0" w:space="0" w:color="auto"/>
      </w:divBdr>
    </w:div>
    <w:div w:id="57872551">
      <w:bodyDiv w:val="1"/>
      <w:marLeft w:val="0"/>
      <w:marRight w:val="0"/>
      <w:marTop w:val="0"/>
      <w:marBottom w:val="0"/>
      <w:divBdr>
        <w:top w:val="none" w:sz="0" w:space="0" w:color="auto"/>
        <w:left w:val="none" w:sz="0" w:space="0" w:color="auto"/>
        <w:bottom w:val="none" w:sz="0" w:space="0" w:color="auto"/>
        <w:right w:val="none" w:sz="0" w:space="0" w:color="auto"/>
      </w:divBdr>
    </w:div>
    <w:div w:id="128596118">
      <w:bodyDiv w:val="1"/>
      <w:marLeft w:val="0"/>
      <w:marRight w:val="0"/>
      <w:marTop w:val="0"/>
      <w:marBottom w:val="0"/>
      <w:divBdr>
        <w:top w:val="none" w:sz="0" w:space="0" w:color="auto"/>
        <w:left w:val="none" w:sz="0" w:space="0" w:color="auto"/>
        <w:bottom w:val="none" w:sz="0" w:space="0" w:color="auto"/>
        <w:right w:val="none" w:sz="0" w:space="0" w:color="auto"/>
      </w:divBdr>
    </w:div>
    <w:div w:id="292173420">
      <w:bodyDiv w:val="1"/>
      <w:marLeft w:val="0"/>
      <w:marRight w:val="0"/>
      <w:marTop w:val="0"/>
      <w:marBottom w:val="0"/>
      <w:divBdr>
        <w:top w:val="none" w:sz="0" w:space="0" w:color="auto"/>
        <w:left w:val="none" w:sz="0" w:space="0" w:color="auto"/>
        <w:bottom w:val="none" w:sz="0" w:space="0" w:color="auto"/>
        <w:right w:val="none" w:sz="0" w:space="0" w:color="auto"/>
      </w:divBdr>
    </w:div>
    <w:div w:id="354814719">
      <w:bodyDiv w:val="1"/>
      <w:marLeft w:val="0"/>
      <w:marRight w:val="0"/>
      <w:marTop w:val="0"/>
      <w:marBottom w:val="0"/>
      <w:divBdr>
        <w:top w:val="none" w:sz="0" w:space="0" w:color="auto"/>
        <w:left w:val="none" w:sz="0" w:space="0" w:color="auto"/>
        <w:bottom w:val="none" w:sz="0" w:space="0" w:color="auto"/>
        <w:right w:val="none" w:sz="0" w:space="0" w:color="auto"/>
      </w:divBdr>
    </w:div>
    <w:div w:id="500896441">
      <w:bodyDiv w:val="1"/>
      <w:marLeft w:val="0"/>
      <w:marRight w:val="0"/>
      <w:marTop w:val="0"/>
      <w:marBottom w:val="0"/>
      <w:divBdr>
        <w:top w:val="none" w:sz="0" w:space="0" w:color="auto"/>
        <w:left w:val="none" w:sz="0" w:space="0" w:color="auto"/>
        <w:bottom w:val="none" w:sz="0" w:space="0" w:color="auto"/>
        <w:right w:val="none" w:sz="0" w:space="0" w:color="auto"/>
      </w:divBdr>
    </w:div>
    <w:div w:id="523129562">
      <w:bodyDiv w:val="1"/>
      <w:marLeft w:val="0"/>
      <w:marRight w:val="0"/>
      <w:marTop w:val="0"/>
      <w:marBottom w:val="0"/>
      <w:divBdr>
        <w:top w:val="none" w:sz="0" w:space="0" w:color="auto"/>
        <w:left w:val="none" w:sz="0" w:space="0" w:color="auto"/>
        <w:bottom w:val="none" w:sz="0" w:space="0" w:color="auto"/>
        <w:right w:val="none" w:sz="0" w:space="0" w:color="auto"/>
      </w:divBdr>
    </w:div>
    <w:div w:id="553270801">
      <w:bodyDiv w:val="1"/>
      <w:marLeft w:val="0"/>
      <w:marRight w:val="0"/>
      <w:marTop w:val="0"/>
      <w:marBottom w:val="0"/>
      <w:divBdr>
        <w:top w:val="none" w:sz="0" w:space="0" w:color="auto"/>
        <w:left w:val="none" w:sz="0" w:space="0" w:color="auto"/>
        <w:bottom w:val="none" w:sz="0" w:space="0" w:color="auto"/>
        <w:right w:val="none" w:sz="0" w:space="0" w:color="auto"/>
      </w:divBdr>
    </w:div>
    <w:div w:id="553859349">
      <w:bodyDiv w:val="1"/>
      <w:marLeft w:val="0"/>
      <w:marRight w:val="0"/>
      <w:marTop w:val="0"/>
      <w:marBottom w:val="0"/>
      <w:divBdr>
        <w:top w:val="none" w:sz="0" w:space="0" w:color="auto"/>
        <w:left w:val="none" w:sz="0" w:space="0" w:color="auto"/>
        <w:bottom w:val="none" w:sz="0" w:space="0" w:color="auto"/>
        <w:right w:val="none" w:sz="0" w:space="0" w:color="auto"/>
      </w:divBdr>
      <w:divsChild>
        <w:div w:id="1143888216">
          <w:marLeft w:val="0"/>
          <w:marRight w:val="0"/>
          <w:marTop w:val="0"/>
          <w:marBottom w:val="101"/>
          <w:divBdr>
            <w:top w:val="none" w:sz="0" w:space="0" w:color="auto"/>
            <w:left w:val="none" w:sz="0" w:space="0" w:color="auto"/>
            <w:bottom w:val="none" w:sz="0" w:space="0" w:color="auto"/>
            <w:right w:val="none" w:sz="0" w:space="0" w:color="auto"/>
          </w:divBdr>
        </w:div>
        <w:div w:id="840585419">
          <w:marLeft w:val="0"/>
          <w:marRight w:val="0"/>
          <w:marTop w:val="0"/>
          <w:marBottom w:val="101"/>
          <w:divBdr>
            <w:top w:val="none" w:sz="0" w:space="0" w:color="auto"/>
            <w:left w:val="none" w:sz="0" w:space="0" w:color="auto"/>
            <w:bottom w:val="none" w:sz="0" w:space="0" w:color="auto"/>
            <w:right w:val="none" w:sz="0" w:space="0" w:color="auto"/>
          </w:divBdr>
        </w:div>
        <w:div w:id="306863807">
          <w:marLeft w:val="0"/>
          <w:marRight w:val="0"/>
          <w:marTop w:val="0"/>
          <w:marBottom w:val="101"/>
          <w:divBdr>
            <w:top w:val="none" w:sz="0" w:space="0" w:color="auto"/>
            <w:left w:val="none" w:sz="0" w:space="0" w:color="auto"/>
            <w:bottom w:val="none" w:sz="0" w:space="0" w:color="auto"/>
            <w:right w:val="none" w:sz="0" w:space="0" w:color="auto"/>
          </w:divBdr>
        </w:div>
        <w:div w:id="1759599250">
          <w:marLeft w:val="0"/>
          <w:marRight w:val="0"/>
          <w:marTop w:val="0"/>
          <w:marBottom w:val="101"/>
          <w:divBdr>
            <w:top w:val="none" w:sz="0" w:space="0" w:color="auto"/>
            <w:left w:val="none" w:sz="0" w:space="0" w:color="auto"/>
            <w:bottom w:val="none" w:sz="0" w:space="0" w:color="auto"/>
            <w:right w:val="none" w:sz="0" w:space="0" w:color="auto"/>
          </w:divBdr>
        </w:div>
        <w:div w:id="768353738">
          <w:marLeft w:val="0"/>
          <w:marRight w:val="0"/>
          <w:marTop w:val="0"/>
          <w:marBottom w:val="101"/>
          <w:divBdr>
            <w:top w:val="none" w:sz="0" w:space="0" w:color="auto"/>
            <w:left w:val="none" w:sz="0" w:space="0" w:color="auto"/>
            <w:bottom w:val="none" w:sz="0" w:space="0" w:color="auto"/>
            <w:right w:val="none" w:sz="0" w:space="0" w:color="auto"/>
          </w:divBdr>
        </w:div>
        <w:div w:id="1053773611">
          <w:marLeft w:val="0"/>
          <w:marRight w:val="0"/>
          <w:marTop w:val="0"/>
          <w:marBottom w:val="101"/>
          <w:divBdr>
            <w:top w:val="none" w:sz="0" w:space="0" w:color="auto"/>
            <w:left w:val="none" w:sz="0" w:space="0" w:color="auto"/>
            <w:bottom w:val="none" w:sz="0" w:space="0" w:color="auto"/>
            <w:right w:val="none" w:sz="0" w:space="0" w:color="auto"/>
          </w:divBdr>
        </w:div>
        <w:div w:id="1031297280">
          <w:marLeft w:val="0"/>
          <w:marRight w:val="0"/>
          <w:marTop w:val="0"/>
          <w:marBottom w:val="101"/>
          <w:divBdr>
            <w:top w:val="none" w:sz="0" w:space="0" w:color="auto"/>
            <w:left w:val="none" w:sz="0" w:space="0" w:color="auto"/>
            <w:bottom w:val="none" w:sz="0" w:space="0" w:color="auto"/>
            <w:right w:val="none" w:sz="0" w:space="0" w:color="auto"/>
          </w:divBdr>
        </w:div>
        <w:div w:id="2078354871">
          <w:marLeft w:val="0"/>
          <w:marRight w:val="0"/>
          <w:marTop w:val="0"/>
          <w:marBottom w:val="101"/>
          <w:divBdr>
            <w:top w:val="none" w:sz="0" w:space="0" w:color="auto"/>
            <w:left w:val="none" w:sz="0" w:space="0" w:color="auto"/>
            <w:bottom w:val="none" w:sz="0" w:space="0" w:color="auto"/>
            <w:right w:val="none" w:sz="0" w:space="0" w:color="auto"/>
          </w:divBdr>
        </w:div>
        <w:div w:id="1264146099">
          <w:marLeft w:val="0"/>
          <w:marRight w:val="0"/>
          <w:marTop w:val="0"/>
          <w:marBottom w:val="101"/>
          <w:divBdr>
            <w:top w:val="none" w:sz="0" w:space="0" w:color="auto"/>
            <w:left w:val="none" w:sz="0" w:space="0" w:color="auto"/>
            <w:bottom w:val="none" w:sz="0" w:space="0" w:color="auto"/>
            <w:right w:val="none" w:sz="0" w:space="0" w:color="auto"/>
          </w:divBdr>
        </w:div>
      </w:divsChild>
    </w:div>
    <w:div w:id="562374822">
      <w:bodyDiv w:val="1"/>
      <w:marLeft w:val="0"/>
      <w:marRight w:val="0"/>
      <w:marTop w:val="0"/>
      <w:marBottom w:val="0"/>
      <w:divBdr>
        <w:top w:val="none" w:sz="0" w:space="0" w:color="auto"/>
        <w:left w:val="none" w:sz="0" w:space="0" w:color="auto"/>
        <w:bottom w:val="none" w:sz="0" w:space="0" w:color="auto"/>
        <w:right w:val="none" w:sz="0" w:space="0" w:color="auto"/>
      </w:divBdr>
    </w:div>
    <w:div w:id="589704372">
      <w:bodyDiv w:val="1"/>
      <w:marLeft w:val="0"/>
      <w:marRight w:val="0"/>
      <w:marTop w:val="0"/>
      <w:marBottom w:val="0"/>
      <w:divBdr>
        <w:top w:val="none" w:sz="0" w:space="0" w:color="auto"/>
        <w:left w:val="none" w:sz="0" w:space="0" w:color="auto"/>
        <w:bottom w:val="none" w:sz="0" w:space="0" w:color="auto"/>
        <w:right w:val="none" w:sz="0" w:space="0" w:color="auto"/>
      </w:divBdr>
      <w:divsChild>
        <w:div w:id="1678770787">
          <w:marLeft w:val="0"/>
          <w:marRight w:val="0"/>
          <w:marTop w:val="0"/>
          <w:marBottom w:val="80"/>
          <w:divBdr>
            <w:top w:val="none" w:sz="0" w:space="0" w:color="auto"/>
            <w:left w:val="none" w:sz="0" w:space="0" w:color="auto"/>
            <w:bottom w:val="none" w:sz="0" w:space="0" w:color="auto"/>
            <w:right w:val="none" w:sz="0" w:space="0" w:color="auto"/>
          </w:divBdr>
        </w:div>
        <w:div w:id="537085308">
          <w:marLeft w:val="0"/>
          <w:marRight w:val="0"/>
          <w:marTop w:val="0"/>
          <w:marBottom w:val="101"/>
          <w:divBdr>
            <w:top w:val="none" w:sz="0" w:space="0" w:color="auto"/>
            <w:left w:val="none" w:sz="0" w:space="0" w:color="auto"/>
            <w:bottom w:val="none" w:sz="0" w:space="0" w:color="auto"/>
            <w:right w:val="none" w:sz="0" w:space="0" w:color="auto"/>
          </w:divBdr>
        </w:div>
        <w:div w:id="813105900">
          <w:marLeft w:val="0"/>
          <w:marRight w:val="0"/>
          <w:marTop w:val="0"/>
          <w:marBottom w:val="101"/>
          <w:divBdr>
            <w:top w:val="none" w:sz="0" w:space="0" w:color="auto"/>
            <w:left w:val="none" w:sz="0" w:space="0" w:color="auto"/>
            <w:bottom w:val="none" w:sz="0" w:space="0" w:color="auto"/>
            <w:right w:val="none" w:sz="0" w:space="0" w:color="auto"/>
          </w:divBdr>
        </w:div>
      </w:divsChild>
    </w:div>
    <w:div w:id="718476745">
      <w:bodyDiv w:val="1"/>
      <w:marLeft w:val="0"/>
      <w:marRight w:val="0"/>
      <w:marTop w:val="0"/>
      <w:marBottom w:val="0"/>
      <w:divBdr>
        <w:top w:val="none" w:sz="0" w:space="0" w:color="auto"/>
        <w:left w:val="none" w:sz="0" w:space="0" w:color="auto"/>
        <w:bottom w:val="none" w:sz="0" w:space="0" w:color="auto"/>
        <w:right w:val="none" w:sz="0" w:space="0" w:color="auto"/>
      </w:divBdr>
    </w:div>
    <w:div w:id="841554188">
      <w:bodyDiv w:val="1"/>
      <w:marLeft w:val="0"/>
      <w:marRight w:val="0"/>
      <w:marTop w:val="0"/>
      <w:marBottom w:val="0"/>
      <w:divBdr>
        <w:top w:val="none" w:sz="0" w:space="0" w:color="auto"/>
        <w:left w:val="none" w:sz="0" w:space="0" w:color="auto"/>
        <w:bottom w:val="none" w:sz="0" w:space="0" w:color="auto"/>
        <w:right w:val="none" w:sz="0" w:space="0" w:color="auto"/>
      </w:divBdr>
    </w:div>
    <w:div w:id="908077528">
      <w:bodyDiv w:val="1"/>
      <w:marLeft w:val="0"/>
      <w:marRight w:val="0"/>
      <w:marTop w:val="0"/>
      <w:marBottom w:val="0"/>
      <w:divBdr>
        <w:top w:val="none" w:sz="0" w:space="0" w:color="auto"/>
        <w:left w:val="none" w:sz="0" w:space="0" w:color="auto"/>
        <w:bottom w:val="none" w:sz="0" w:space="0" w:color="auto"/>
        <w:right w:val="none" w:sz="0" w:space="0" w:color="auto"/>
      </w:divBdr>
    </w:div>
    <w:div w:id="936406941">
      <w:bodyDiv w:val="1"/>
      <w:marLeft w:val="0"/>
      <w:marRight w:val="0"/>
      <w:marTop w:val="0"/>
      <w:marBottom w:val="0"/>
      <w:divBdr>
        <w:top w:val="none" w:sz="0" w:space="0" w:color="auto"/>
        <w:left w:val="none" w:sz="0" w:space="0" w:color="auto"/>
        <w:bottom w:val="none" w:sz="0" w:space="0" w:color="auto"/>
        <w:right w:val="none" w:sz="0" w:space="0" w:color="auto"/>
      </w:divBdr>
      <w:divsChild>
        <w:div w:id="1672488454">
          <w:marLeft w:val="0"/>
          <w:marRight w:val="0"/>
          <w:marTop w:val="0"/>
          <w:marBottom w:val="101"/>
          <w:divBdr>
            <w:top w:val="none" w:sz="0" w:space="0" w:color="auto"/>
            <w:left w:val="none" w:sz="0" w:space="0" w:color="auto"/>
            <w:bottom w:val="none" w:sz="0" w:space="0" w:color="auto"/>
            <w:right w:val="none" w:sz="0" w:space="0" w:color="auto"/>
          </w:divBdr>
        </w:div>
        <w:div w:id="1323849630">
          <w:marLeft w:val="0"/>
          <w:marRight w:val="0"/>
          <w:marTop w:val="0"/>
          <w:marBottom w:val="101"/>
          <w:divBdr>
            <w:top w:val="none" w:sz="0" w:space="0" w:color="auto"/>
            <w:left w:val="none" w:sz="0" w:space="0" w:color="auto"/>
            <w:bottom w:val="none" w:sz="0" w:space="0" w:color="auto"/>
            <w:right w:val="none" w:sz="0" w:space="0" w:color="auto"/>
          </w:divBdr>
        </w:div>
        <w:div w:id="1799061397">
          <w:marLeft w:val="0"/>
          <w:marRight w:val="0"/>
          <w:marTop w:val="0"/>
          <w:marBottom w:val="101"/>
          <w:divBdr>
            <w:top w:val="none" w:sz="0" w:space="0" w:color="auto"/>
            <w:left w:val="none" w:sz="0" w:space="0" w:color="auto"/>
            <w:bottom w:val="none" w:sz="0" w:space="0" w:color="auto"/>
            <w:right w:val="none" w:sz="0" w:space="0" w:color="auto"/>
          </w:divBdr>
        </w:div>
      </w:divsChild>
    </w:div>
    <w:div w:id="990400203">
      <w:bodyDiv w:val="1"/>
      <w:marLeft w:val="0"/>
      <w:marRight w:val="0"/>
      <w:marTop w:val="0"/>
      <w:marBottom w:val="0"/>
      <w:divBdr>
        <w:top w:val="none" w:sz="0" w:space="0" w:color="auto"/>
        <w:left w:val="none" w:sz="0" w:space="0" w:color="auto"/>
        <w:bottom w:val="none" w:sz="0" w:space="0" w:color="auto"/>
        <w:right w:val="none" w:sz="0" w:space="0" w:color="auto"/>
      </w:divBdr>
    </w:div>
    <w:div w:id="1049308788">
      <w:bodyDiv w:val="1"/>
      <w:marLeft w:val="0"/>
      <w:marRight w:val="0"/>
      <w:marTop w:val="0"/>
      <w:marBottom w:val="0"/>
      <w:divBdr>
        <w:top w:val="none" w:sz="0" w:space="0" w:color="auto"/>
        <w:left w:val="none" w:sz="0" w:space="0" w:color="auto"/>
        <w:bottom w:val="none" w:sz="0" w:space="0" w:color="auto"/>
        <w:right w:val="none" w:sz="0" w:space="0" w:color="auto"/>
      </w:divBdr>
    </w:div>
    <w:div w:id="1053045724">
      <w:bodyDiv w:val="1"/>
      <w:marLeft w:val="0"/>
      <w:marRight w:val="0"/>
      <w:marTop w:val="0"/>
      <w:marBottom w:val="0"/>
      <w:divBdr>
        <w:top w:val="none" w:sz="0" w:space="0" w:color="auto"/>
        <w:left w:val="none" w:sz="0" w:space="0" w:color="auto"/>
        <w:bottom w:val="none" w:sz="0" w:space="0" w:color="auto"/>
        <w:right w:val="none" w:sz="0" w:space="0" w:color="auto"/>
      </w:divBdr>
    </w:div>
    <w:div w:id="1116173526">
      <w:bodyDiv w:val="1"/>
      <w:marLeft w:val="0"/>
      <w:marRight w:val="0"/>
      <w:marTop w:val="0"/>
      <w:marBottom w:val="0"/>
      <w:divBdr>
        <w:top w:val="none" w:sz="0" w:space="0" w:color="auto"/>
        <w:left w:val="none" w:sz="0" w:space="0" w:color="auto"/>
        <w:bottom w:val="none" w:sz="0" w:space="0" w:color="auto"/>
        <w:right w:val="none" w:sz="0" w:space="0" w:color="auto"/>
      </w:divBdr>
    </w:div>
    <w:div w:id="1408383276">
      <w:bodyDiv w:val="1"/>
      <w:marLeft w:val="0"/>
      <w:marRight w:val="0"/>
      <w:marTop w:val="0"/>
      <w:marBottom w:val="0"/>
      <w:divBdr>
        <w:top w:val="none" w:sz="0" w:space="0" w:color="auto"/>
        <w:left w:val="none" w:sz="0" w:space="0" w:color="auto"/>
        <w:bottom w:val="none" w:sz="0" w:space="0" w:color="auto"/>
        <w:right w:val="none" w:sz="0" w:space="0" w:color="auto"/>
      </w:divBdr>
    </w:div>
    <w:div w:id="1715808569">
      <w:bodyDiv w:val="1"/>
      <w:marLeft w:val="0"/>
      <w:marRight w:val="0"/>
      <w:marTop w:val="0"/>
      <w:marBottom w:val="0"/>
      <w:divBdr>
        <w:top w:val="none" w:sz="0" w:space="0" w:color="auto"/>
        <w:left w:val="none" w:sz="0" w:space="0" w:color="auto"/>
        <w:bottom w:val="none" w:sz="0" w:space="0" w:color="auto"/>
        <w:right w:val="none" w:sz="0" w:space="0" w:color="auto"/>
      </w:divBdr>
    </w:div>
    <w:div w:id="1716539585">
      <w:bodyDiv w:val="1"/>
      <w:marLeft w:val="0"/>
      <w:marRight w:val="0"/>
      <w:marTop w:val="0"/>
      <w:marBottom w:val="0"/>
      <w:divBdr>
        <w:top w:val="none" w:sz="0" w:space="0" w:color="auto"/>
        <w:left w:val="none" w:sz="0" w:space="0" w:color="auto"/>
        <w:bottom w:val="none" w:sz="0" w:space="0" w:color="auto"/>
        <w:right w:val="none" w:sz="0" w:space="0" w:color="auto"/>
      </w:divBdr>
      <w:divsChild>
        <w:div w:id="324283676">
          <w:marLeft w:val="0"/>
          <w:marRight w:val="0"/>
          <w:marTop w:val="0"/>
          <w:marBottom w:val="86"/>
          <w:divBdr>
            <w:top w:val="none" w:sz="0" w:space="0" w:color="auto"/>
            <w:left w:val="none" w:sz="0" w:space="0" w:color="auto"/>
            <w:bottom w:val="none" w:sz="0" w:space="0" w:color="auto"/>
            <w:right w:val="none" w:sz="0" w:space="0" w:color="auto"/>
          </w:divBdr>
        </w:div>
        <w:div w:id="591428605">
          <w:marLeft w:val="0"/>
          <w:marRight w:val="0"/>
          <w:marTop w:val="0"/>
          <w:marBottom w:val="80"/>
          <w:divBdr>
            <w:top w:val="none" w:sz="0" w:space="0" w:color="auto"/>
            <w:left w:val="none" w:sz="0" w:space="0" w:color="auto"/>
            <w:bottom w:val="none" w:sz="0" w:space="0" w:color="auto"/>
            <w:right w:val="none" w:sz="0" w:space="0" w:color="auto"/>
          </w:divBdr>
        </w:div>
        <w:div w:id="1276863498">
          <w:marLeft w:val="0"/>
          <w:marRight w:val="0"/>
          <w:marTop w:val="0"/>
          <w:marBottom w:val="80"/>
          <w:divBdr>
            <w:top w:val="none" w:sz="0" w:space="0" w:color="auto"/>
            <w:left w:val="none" w:sz="0" w:space="0" w:color="auto"/>
            <w:bottom w:val="none" w:sz="0" w:space="0" w:color="auto"/>
            <w:right w:val="none" w:sz="0" w:space="0" w:color="auto"/>
          </w:divBdr>
        </w:div>
        <w:div w:id="1772356358">
          <w:marLeft w:val="0"/>
          <w:marRight w:val="0"/>
          <w:marTop w:val="0"/>
          <w:marBottom w:val="80"/>
          <w:divBdr>
            <w:top w:val="none" w:sz="0" w:space="0" w:color="auto"/>
            <w:left w:val="none" w:sz="0" w:space="0" w:color="auto"/>
            <w:bottom w:val="none" w:sz="0" w:space="0" w:color="auto"/>
            <w:right w:val="none" w:sz="0" w:space="0" w:color="auto"/>
          </w:divBdr>
        </w:div>
        <w:div w:id="2145586580">
          <w:marLeft w:val="0"/>
          <w:marRight w:val="0"/>
          <w:marTop w:val="0"/>
          <w:marBottom w:val="80"/>
          <w:divBdr>
            <w:top w:val="none" w:sz="0" w:space="0" w:color="auto"/>
            <w:left w:val="none" w:sz="0" w:space="0" w:color="auto"/>
            <w:bottom w:val="none" w:sz="0" w:space="0" w:color="auto"/>
            <w:right w:val="none" w:sz="0" w:space="0" w:color="auto"/>
          </w:divBdr>
        </w:div>
        <w:div w:id="39209391">
          <w:marLeft w:val="0"/>
          <w:marRight w:val="0"/>
          <w:marTop w:val="0"/>
          <w:marBottom w:val="80"/>
          <w:divBdr>
            <w:top w:val="none" w:sz="0" w:space="0" w:color="auto"/>
            <w:left w:val="none" w:sz="0" w:space="0" w:color="auto"/>
            <w:bottom w:val="none" w:sz="0" w:space="0" w:color="auto"/>
            <w:right w:val="none" w:sz="0" w:space="0" w:color="auto"/>
          </w:divBdr>
        </w:div>
        <w:div w:id="1518495645">
          <w:marLeft w:val="0"/>
          <w:marRight w:val="0"/>
          <w:marTop w:val="0"/>
          <w:marBottom w:val="80"/>
          <w:divBdr>
            <w:top w:val="none" w:sz="0" w:space="0" w:color="auto"/>
            <w:left w:val="none" w:sz="0" w:space="0" w:color="auto"/>
            <w:bottom w:val="none" w:sz="0" w:space="0" w:color="auto"/>
            <w:right w:val="none" w:sz="0" w:space="0" w:color="auto"/>
          </w:divBdr>
        </w:div>
        <w:div w:id="681518194">
          <w:marLeft w:val="0"/>
          <w:marRight w:val="0"/>
          <w:marTop w:val="0"/>
          <w:marBottom w:val="80"/>
          <w:divBdr>
            <w:top w:val="none" w:sz="0" w:space="0" w:color="auto"/>
            <w:left w:val="none" w:sz="0" w:space="0" w:color="auto"/>
            <w:bottom w:val="none" w:sz="0" w:space="0" w:color="auto"/>
            <w:right w:val="none" w:sz="0" w:space="0" w:color="auto"/>
          </w:divBdr>
        </w:div>
        <w:div w:id="758527274">
          <w:marLeft w:val="0"/>
          <w:marRight w:val="0"/>
          <w:marTop w:val="101"/>
          <w:marBottom w:val="80"/>
          <w:divBdr>
            <w:top w:val="none" w:sz="0" w:space="0" w:color="auto"/>
            <w:left w:val="none" w:sz="0" w:space="0" w:color="auto"/>
            <w:bottom w:val="none" w:sz="0" w:space="0" w:color="auto"/>
            <w:right w:val="none" w:sz="0" w:space="0" w:color="auto"/>
          </w:divBdr>
        </w:div>
        <w:div w:id="479931240">
          <w:marLeft w:val="0"/>
          <w:marRight w:val="0"/>
          <w:marTop w:val="0"/>
          <w:marBottom w:val="80"/>
          <w:divBdr>
            <w:top w:val="none" w:sz="0" w:space="0" w:color="auto"/>
            <w:left w:val="none" w:sz="0" w:space="0" w:color="auto"/>
            <w:bottom w:val="none" w:sz="0" w:space="0" w:color="auto"/>
            <w:right w:val="none" w:sz="0" w:space="0" w:color="auto"/>
          </w:divBdr>
        </w:div>
        <w:div w:id="1225606350">
          <w:marLeft w:val="0"/>
          <w:marRight w:val="0"/>
          <w:marTop w:val="0"/>
          <w:marBottom w:val="80"/>
          <w:divBdr>
            <w:top w:val="none" w:sz="0" w:space="0" w:color="auto"/>
            <w:left w:val="none" w:sz="0" w:space="0" w:color="auto"/>
            <w:bottom w:val="none" w:sz="0" w:space="0" w:color="auto"/>
            <w:right w:val="none" w:sz="0" w:space="0" w:color="auto"/>
          </w:divBdr>
        </w:div>
        <w:div w:id="972371927">
          <w:marLeft w:val="0"/>
          <w:marRight w:val="0"/>
          <w:marTop w:val="0"/>
          <w:marBottom w:val="80"/>
          <w:divBdr>
            <w:top w:val="none" w:sz="0" w:space="0" w:color="auto"/>
            <w:left w:val="none" w:sz="0" w:space="0" w:color="auto"/>
            <w:bottom w:val="none" w:sz="0" w:space="0" w:color="auto"/>
            <w:right w:val="none" w:sz="0" w:space="0" w:color="auto"/>
          </w:divBdr>
        </w:div>
        <w:div w:id="968513770">
          <w:marLeft w:val="0"/>
          <w:marRight w:val="0"/>
          <w:marTop w:val="0"/>
          <w:marBottom w:val="80"/>
          <w:divBdr>
            <w:top w:val="none" w:sz="0" w:space="0" w:color="auto"/>
            <w:left w:val="none" w:sz="0" w:space="0" w:color="auto"/>
            <w:bottom w:val="none" w:sz="0" w:space="0" w:color="auto"/>
            <w:right w:val="none" w:sz="0" w:space="0" w:color="auto"/>
          </w:divBdr>
        </w:div>
        <w:div w:id="499122878">
          <w:marLeft w:val="0"/>
          <w:marRight w:val="0"/>
          <w:marTop w:val="0"/>
          <w:marBottom w:val="80"/>
          <w:divBdr>
            <w:top w:val="none" w:sz="0" w:space="0" w:color="auto"/>
            <w:left w:val="none" w:sz="0" w:space="0" w:color="auto"/>
            <w:bottom w:val="none" w:sz="0" w:space="0" w:color="auto"/>
            <w:right w:val="none" w:sz="0" w:space="0" w:color="auto"/>
          </w:divBdr>
        </w:div>
        <w:div w:id="1212115314">
          <w:marLeft w:val="0"/>
          <w:marRight w:val="0"/>
          <w:marTop w:val="0"/>
          <w:marBottom w:val="101"/>
          <w:divBdr>
            <w:top w:val="none" w:sz="0" w:space="0" w:color="auto"/>
            <w:left w:val="none" w:sz="0" w:space="0" w:color="auto"/>
            <w:bottom w:val="none" w:sz="0" w:space="0" w:color="auto"/>
            <w:right w:val="none" w:sz="0" w:space="0" w:color="auto"/>
          </w:divBdr>
        </w:div>
        <w:div w:id="1443837176">
          <w:marLeft w:val="0"/>
          <w:marRight w:val="0"/>
          <w:marTop w:val="0"/>
          <w:marBottom w:val="101"/>
          <w:divBdr>
            <w:top w:val="none" w:sz="0" w:space="0" w:color="auto"/>
            <w:left w:val="none" w:sz="0" w:space="0" w:color="auto"/>
            <w:bottom w:val="none" w:sz="0" w:space="0" w:color="auto"/>
            <w:right w:val="none" w:sz="0" w:space="0" w:color="auto"/>
          </w:divBdr>
        </w:div>
        <w:div w:id="677855530">
          <w:marLeft w:val="0"/>
          <w:marRight w:val="0"/>
          <w:marTop w:val="0"/>
          <w:marBottom w:val="101"/>
          <w:divBdr>
            <w:top w:val="none" w:sz="0" w:space="0" w:color="auto"/>
            <w:left w:val="none" w:sz="0" w:space="0" w:color="auto"/>
            <w:bottom w:val="none" w:sz="0" w:space="0" w:color="auto"/>
            <w:right w:val="none" w:sz="0" w:space="0" w:color="auto"/>
          </w:divBdr>
        </w:div>
        <w:div w:id="184943563">
          <w:marLeft w:val="0"/>
          <w:marRight w:val="0"/>
          <w:marTop w:val="0"/>
          <w:marBottom w:val="101"/>
          <w:divBdr>
            <w:top w:val="none" w:sz="0" w:space="0" w:color="auto"/>
            <w:left w:val="none" w:sz="0" w:space="0" w:color="auto"/>
            <w:bottom w:val="none" w:sz="0" w:space="0" w:color="auto"/>
            <w:right w:val="none" w:sz="0" w:space="0" w:color="auto"/>
          </w:divBdr>
        </w:div>
        <w:div w:id="2075809339">
          <w:marLeft w:val="0"/>
          <w:marRight w:val="0"/>
          <w:marTop w:val="0"/>
          <w:marBottom w:val="101"/>
          <w:divBdr>
            <w:top w:val="none" w:sz="0" w:space="0" w:color="auto"/>
            <w:left w:val="none" w:sz="0" w:space="0" w:color="auto"/>
            <w:bottom w:val="none" w:sz="0" w:space="0" w:color="auto"/>
            <w:right w:val="none" w:sz="0" w:space="0" w:color="auto"/>
          </w:divBdr>
        </w:div>
        <w:div w:id="805046860">
          <w:marLeft w:val="0"/>
          <w:marRight w:val="0"/>
          <w:marTop w:val="0"/>
          <w:marBottom w:val="101"/>
          <w:divBdr>
            <w:top w:val="none" w:sz="0" w:space="0" w:color="auto"/>
            <w:left w:val="none" w:sz="0" w:space="0" w:color="auto"/>
            <w:bottom w:val="none" w:sz="0" w:space="0" w:color="auto"/>
            <w:right w:val="none" w:sz="0" w:space="0" w:color="auto"/>
          </w:divBdr>
        </w:div>
        <w:div w:id="180513915">
          <w:marLeft w:val="0"/>
          <w:marRight w:val="0"/>
          <w:marTop w:val="0"/>
          <w:marBottom w:val="101"/>
          <w:divBdr>
            <w:top w:val="none" w:sz="0" w:space="0" w:color="auto"/>
            <w:left w:val="none" w:sz="0" w:space="0" w:color="auto"/>
            <w:bottom w:val="none" w:sz="0" w:space="0" w:color="auto"/>
            <w:right w:val="none" w:sz="0" w:space="0" w:color="auto"/>
          </w:divBdr>
        </w:div>
        <w:div w:id="1630629916">
          <w:marLeft w:val="0"/>
          <w:marRight w:val="0"/>
          <w:marTop w:val="0"/>
          <w:marBottom w:val="101"/>
          <w:divBdr>
            <w:top w:val="none" w:sz="0" w:space="0" w:color="auto"/>
            <w:left w:val="none" w:sz="0" w:space="0" w:color="auto"/>
            <w:bottom w:val="none" w:sz="0" w:space="0" w:color="auto"/>
            <w:right w:val="none" w:sz="0" w:space="0" w:color="auto"/>
          </w:divBdr>
        </w:div>
        <w:div w:id="82802826">
          <w:marLeft w:val="0"/>
          <w:marRight w:val="0"/>
          <w:marTop w:val="0"/>
          <w:marBottom w:val="101"/>
          <w:divBdr>
            <w:top w:val="none" w:sz="0" w:space="0" w:color="auto"/>
            <w:left w:val="none" w:sz="0" w:space="0" w:color="auto"/>
            <w:bottom w:val="none" w:sz="0" w:space="0" w:color="auto"/>
            <w:right w:val="none" w:sz="0" w:space="0" w:color="auto"/>
          </w:divBdr>
        </w:div>
        <w:div w:id="1639454509">
          <w:marLeft w:val="0"/>
          <w:marRight w:val="0"/>
          <w:marTop w:val="0"/>
          <w:marBottom w:val="101"/>
          <w:divBdr>
            <w:top w:val="none" w:sz="0" w:space="0" w:color="auto"/>
            <w:left w:val="none" w:sz="0" w:space="0" w:color="auto"/>
            <w:bottom w:val="none" w:sz="0" w:space="0" w:color="auto"/>
            <w:right w:val="none" w:sz="0" w:space="0" w:color="auto"/>
          </w:divBdr>
        </w:div>
        <w:div w:id="418872260">
          <w:marLeft w:val="0"/>
          <w:marRight w:val="0"/>
          <w:marTop w:val="0"/>
          <w:marBottom w:val="101"/>
          <w:divBdr>
            <w:top w:val="none" w:sz="0" w:space="0" w:color="auto"/>
            <w:left w:val="none" w:sz="0" w:space="0" w:color="auto"/>
            <w:bottom w:val="none" w:sz="0" w:space="0" w:color="auto"/>
            <w:right w:val="none" w:sz="0" w:space="0" w:color="auto"/>
          </w:divBdr>
        </w:div>
        <w:div w:id="845905147">
          <w:marLeft w:val="0"/>
          <w:marRight w:val="0"/>
          <w:marTop w:val="0"/>
          <w:marBottom w:val="101"/>
          <w:divBdr>
            <w:top w:val="none" w:sz="0" w:space="0" w:color="auto"/>
            <w:left w:val="none" w:sz="0" w:space="0" w:color="auto"/>
            <w:bottom w:val="none" w:sz="0" w:space="0" w:color="auto"/>
            <w:right w:val="none" w:sz="0" w:space="0" w:color="auto"/>
          </w:divBdr>
        </w:div>
        <w:div w:id="1585988507">
          <w:marLeft w:val="0"/>
          <w:marRight w:val="0"/>
          <w:marTop w:val="0"/>
          <w:marBottom w:val="101"/>
          <w:divBdr>
            <w:top w:val="none" w:sz="0" w:space="0" w:color="auto"/>
            <w:left w:val="none" w:sz="0" w:space="0" w:color="auto"/>
            <w:bottom w:val="none" w:sz="0" w:space="0" w:color="auto"/>
            <w:right w:val="none" w:sz="0" w:space="0" w:color="auto"/>
          </w:divBdr>
        </w:div>
        <w:div w:id="645477502">
          <w:marLeft w:val="0"/>
          <w:marRight w:val="0"/>
          <w:marTop w:val="0"/>
          <w:marBottom w:val="101"/>
          <w:divBdr>
            <w:top w:val="none" w:sz="0" w:space="0" w:color="auto"/>
            <w:left w:val="none" w:sz="0" w:space="0" w:color="auto"/>
            <w:bottom w:val="none" w:sz="0" w:space="0" w:color="auto"/>
            <w:right w:val="none" w:sz="0" w:space="0" w:color="auto"/>
          </w:divBdr>
        </w:div>
        <w:div w:id="1268122732">
          <w:marLeft w:val="0"/>
          <w:marRight w:val="0"/>
          <w:marTop w:val="0"/>
          <w:marBottom w:val="101"/>
          <w:divBdr>
            <w:top w:val="none" w:sz="0" w:space="0" w:color="auto"/>
            <w:left w:val="none" w:sz="0" w:space="0" w:color="auto"/>
            <w:bottom w:val="none" w:sz="0" w:space="0" w:color="auto"/>
            <w:right w:val="none" w:sz="0" w:space="0" w:color="auto"/>
          </w:divBdr>
        </w:div>
        <w:div w:id="446631569">
          <w:marLeft w:val="0"/>
          <w:marRight w:val="0"/>
          <w:marTop w:val="0"/>
          <w:marBottom w:val="101"/>
          <w:divBdr>
            <w:top w:val="none" w:sz="0" w:space="0" w:color="auto"/>
            <w:left w:val="none" w:sz="0" w:space="0" w:color="auto"/>
            <w:bottom w:val="none" w:sz="0" w:space="0" w:color="auto"/>
            <w:right w:val="none" w:sz="0" w:space="0" w:color="auto"/>
          </w:divBdr>
        </w:div>
        <w:div w:id="1817989240">
          <w:marLeft w:val="0"/>
          <w:marRight w:val="0"/>
          <w:marTop w:val="0"/>
          <w:marBottom w:val="101"/>
          <w:divBdr>
            <w:top w:val="none" w:sz="0" w:space="0" w:color="auto"/>
            <w:left w:val="none" w:sz="0" w:space="0" w:color="auto"/>
            <w:bottom w:val="none" w:sz="0" w:space="0" w:color="auto"/>
            <w:right w:val="none" w:sz="0" w:space="0" w:color="auto"/>
          </w:divBdr>
        </w:div>
        <w:div w:id="466361017">
          <w:marLeft w:val="0"/>
          <w:marRight w:val="0"/>
          <w:marTop w:val="0"/>
          <w:marBottom w:val="101"/>
          <w:divBdr>
            <w:top w:val="none" w:sz="0" w:space="0" w:color="auto"/>
            <w:left w:val="none" w:sz="0" w:space="0" w:color="auto"/>
            <w:bottom w:val="none" w:sz="0" w:space="0" w:color="auto"/>
            <w:right w:val="none" w:sz="0" w:space="0" w:color="auto"/>
          </w:divBdr>
        </w:div>
        <w:div w:id="1067263404">
          <w:marLeft w:val="0"/>
          <w:marRight w:val="0"/>
          <w:marTop w:val="0"/>
          <w:marBottom w:val="101"/>
          <w:divBdr>
            <w:top w:val="none" w:sz="0" w:space="0" w:color="auto"/>
            <w:left w:val="none" w:sz="0" w:space="0" w:color="auto"/>
            <w:bottom w:val="none" w:sz="0" w:space="0" w:color="auto"/>
            <w:right w:val="none" w:sz="0" w:space="0" w:color="auto"/>
          </w:divBdr>
        </w:div>
        <w:div w:id="943734956">
          <w:marLeft w:val="0"/>
          <w:marRight w:val="0"/>
          <w:marTop w:val="0"/>
          <w:marBottom w:val="101"/>
          <w:divBdr>
            <w:top w:val="none" w:sz="0" w:space="0" w:color="auto"/>
            <w:left w:val="none" w:sz="0" w:space="0" w:color="auto"/>
            <w:bottom w:val="none" w:sz="0" w:space="0" w:color="auto"/>
            <w:right w:val="none" w:sz="0" w:space="0" w:color="auto"/>
          </w:divBdr>
        </w:div>
        <w:div w:id="813058739">
          <w:marLeft w:val="0"/>
          <w:marRight w:val="0"/>
          <w:marTop w:val="0"/>
          <w:marBottom w:val="101"/>
          <w:divBdr>
            <w:top w:val="none" w:sz="0" w:space="0" w:color="auto"/>
            <w:left w:val="none" w:sz="0" w:space="0" w:color="auto"/>
            <w:bottom w:val="none" w:sz="0" w:space="0" w:color="auto"/>
            <w:right w:val="none" w:sz="0" w:space="0" w:color="auto"/>
          </w:divBdr>
        </w:div>
      </w:divsChild>
    </w:div>
    <w:div w:id="1720934668">
      <w:bodyDiv w:val="1"/>
      <w:marLeft w:val="0"/>
      <w:marRight w:val="0"/>
      <w:marTop w:val="0"/>
      <w:marBottom w:val="0"/>
      <w:divBdr>
        <w:top w:val="none" w:sz="0" w:space="0" w:color="auto"/>
        <w:left w:val="none" w:sz="0" w:space="0" w:color="auto"/>
        <w:bottom w:val="none" w:sz="0" w:space="0" w:color="auto"/>
        <w:right w:val="none" w:sz="0" w:space="0" w:color="auto"/>
      </w:divBdr>
    </w:div>
    <w:div w:id="1740396703">
      <w:bodyDiv w:val="1"/>
      <w:marLeft w:val="0"/>
      <w:marRight w:val="0"/>
      <w:marTop w:val="0"/>
      <w:marBottom w:val="0"/>
      <w:divBdr>
        <w:top w:val="none" w:sz="0" w:space="0" w:color="auto"/>
        <w:left w:val="none" w:sz="0" w:space="0" w:color="auto"/>
        <w:bottom w:val="none" w:sz="0" w:space="0" w:color="auto"/>
        <w:right w:val="none" w:sz="0" w:space="0" w:color="auto"/>
      </w:divBdr>
    </w:div>
    <w:div w:id="1797868863">
      <w:bodyDiv w:val="1"/>
      <w:marLeft w:val="0"/>
      <w:marRight w:val="0"/>
      <w:marTop w:val="0"/>
      <w:marBottom w:val="0"/>
      <w:divBdr>
        <w:top w:val="none" w:sz="0" w:space="0" w:color="auto"/>
        <w:left w:val="none" w:sz="0" w:space="0" w:color="auto"/>
        <w:bottom w:val="none" w:sz="0" w:space="0" w:color="auto"/>
        <w:right w:val="none" w:sz="0" w:space="0" w:color="auto"/>
      </w:divBdr>
      <w:divsChild>
        <w:div w:id="444542638">
          <w:marLeft w:val="0"/>
          <w:marRight w:val="0"/>
          <w:marTop w:val="0"/>
          <w:marBottom w:val="0"/>
          <w:divBdr>
            <w:top w:val="none" w:sz="0" w:space="0" w:color="auto"/>
            <w:left w:val="none" w:sz="0" w:space="0" w:color="auto"/>
            <w:bottom w:val="none" w:sz="0" w:space="0" w:color="auto"/>
            <w:right w:val="none" w:sz="0" w:space="0" w:color="auto"/>
          </w:divBdr>
        </w:div>
      </w:divsChild>
    </w:div>
    <w:div w:id="1961960773">
      <w:bodyDiv w:val="1"/>
      <w:marLeft w:val="0"/>
      <w:marRight w:val="0"/>
      <w:marTop w:val="0"/>
      <w:marBottom w:val="0"/>
      <w:divBdr>
        <w:top w:val="none" w:sz="0" w:space="0" w:color="auto"/>
        <w:left w:val="none" w:sz="0" w:space="0" w:color="auto"/>
        <w:bottom w:val="none" w:sz="0" w:space="0" w:color="auto"/>
        <w:right w:val="none" w:sz="0" w:space="0" w:color="auto"/>
      </w:divBdr>
    </w:div>
    <w:div w:id="1969629572">
      <w:bodyDiv w:val="1"/>
      <w:marLeft w:val="0"/>
      <w:marRight w:val="0"/>
      <w:marTop w:val="0"/>
      <w:marBottom w:val="0"/>
      <w:divBdr>
        <w:top w:val="none" w:sz="0" w:space="0" w:color="auto"/>
        <w:left w:val="none" w:sz="0" w:space="0" w:color="auto"/>
        <w:bottom w:val="none" w:sz="0" w:space="0" w:color="auto"/>
        <w:right w:val="none" w:sz="0" w:space="0" w:color="auto"/>
      </w:divBdr>
    </w:div>
    <w:div w:id="2027100838">
      <w:bodyDiv w:val="1"/>
      <w:marLeft w:val="0"/>
      <w:marRight w:val="0"/>
      <w:marTop w:val="0"/>
      <w:marBottom w:val="0"/>
      <w:divBdr>
        <w:top w:val="none" w:sz="0" w:space="0" w:color="auto"/>
        <w:left w:val="none" w:sz="0" w:space="0" w:color="auto"/>
        <w:bottom w:val="none" w:sz="0" w:space="0" w:color="auto"/>
        <w:right w:val="none" w:sz="0" w:space="0" w:color="auto"/>
      </w:divBdr>
      <w:divsChild>
        <w:div w:id="437261000">
          <w:marLeft w:val="0"/>
          <w:marRight w:val="0"/>
          <w:marTop w:val="0"/>
          <w:marBottom w:val="60"/>
          <w:divBdr>
            <w:top w:val="none" w:sz="0" w:space="0" w:color="auto"/>
            <w:left w:val="none" w:sz="0" w:space="0" w:color="auto"/>
            <w:bottom w:val="none" w:sz="0" w:space="0" w:color="auto"/>
            <w:right w:val="none" w:sz="0" w:space="0" w:color="auto"/>
          </w:divBdr>
        </w:div>
        <w:div w:id="194513489">
          <w:marLeft w:val="0"/>
          <w:marRight w:val="0"/>
          <w:marTop w:val="0"/>
          <w:marBottom w:val="60"/>
          <w:divBdr>
            <w:top w:val="none" w:sz="0" w:space="0" w:color="auto"/>
            <w:left w:val="none" w:sz="0" w:space="0" w:color="auto"/>
            <w:bottom w:val="none" w:sz="0" w:space="0" w:color="auto"/>
            <w:right w:val="none" w:sz="0" w:space="0" w:color="auto"/>
          </w:divBdr>
        </w:div>
        <w:div w:id="1349213495">
          <w:marLeft w:val="1008"/>
          <w:marRight w:val="720"/>
          <w:marTop w:val="0"/>
          <w:marBottom w:val="60"/>
          <w:divBdr>
            <w:top w:val="none" w:sz="0" w:space="0" w:color="auto"/>
            <w:left w:val="none" w:sz="0" w:space="0" w:color="auto"/>
            <w:bottom w:val="none" w:sz="0" w:space="0" w:color="auto"/>
            <w:right w:val="none" w:sz="0" w:space="0" w:color="auto"/>
          </w:divBdr>
        </w:div>
        <w:div w:id="858466947">
          <w:marLeft w:val="1008"/>
          <w:marRight w:val="720"/>
          <w:marTop w:val="0"/>
          <w:marBottom w:val="60"/>
          <w:divBdr>
            <w:top w:val="none" w:sz="0" w:space="0" w:color="auto"/>
            <w:left w:val="none" w:sz="0" w:space="0" w:color="auto"/>
            <w:bottom w:val="none" w:sz="0" w:space="0" w:color="auto"/>
            <w:right w:val="none" w:sz="0" w:space="0" w:color="auto"/>
          </w:divBdr>
        </w:div>
        <w:div w:id="1814984491">
          <w:marLeft w:val="0"/>
          <w:marRight w:val="0"/>
          <w:marTop w:val="0"/>
          <w:marBottom w:val="60"/>
          <w:divBdr>
            <w:top w:val="none" w:sz="0" w:space="0" w:color="auto"/>
            <w:left w:val="none" w:sz="0" w:space="0" w:color="auto"/>
            <w:bottom w:val="none" w:sz="0" w:space="0" w:color="auto"/>
            <w:right w:val="none" w:sz="0" w:space="0" w:color="auto"/>
          </w:divBdr>
        </w:div>
        <w:div w:id="1600720461">
          <w:marLeft w:val="0"/>
          <w:marRight w:val="0"/>
          <w:marTop w:val="0"/>
          <w:marBottom w:val="60"/>
          <w:divBdr>
            <w:top w:val="none" w:sz="0" w:space="0" w:color="auto"/>
            <w:left w:val="none" w:sz="0" w:space="0" w:color="auto"/>
            <w:bottom w:val="none" w:sz="0" w:space="0" w:color="auto"/>
            <w:right w:val="none" w:sz="0" w:space="0" w:color="auto"/>
          </w:divBdr>
        </w:div>
        <w:div w:id="761995352">
          <w:marLeft w:val="0"/>
          <w:marRight w:val="0"/>
          <w:marTop w:val="0"/>
          <w:marBottom w:val="86"/>
          <w:divBdr>
            <w:top w:val="none" w:sz="0" w:space="0" w:color="auto"/>
            <w:left w:val="none" w:sz="0" w:space="0" w:color="auto"/>
            <w:bottom w:val="none" w:sz="0" w:space="0" w:color="auto"/>
            <w:right w:val="none" w:sz="0" w:space="0" w:color="auto"/>
          </w:divBdr>
        </w:div>
        <w:div w:id="1818498450">
          <w:marLeft w:val="0"/>
          <w:marRight w:val="0"/>
          <w:marTop w:val="0"/>
          <w:marBottom w:val="86"/>
          <w:divBdr>
            <w:top w:val="none" w:sz="0" w:space="0" w:color="auto"/>
            <w:left w:val="none" w:sz="0" w:space="0" w:color="auto"/>
            <w:bottom w:val="none" w:sz="0" w:space="0" w:color="auto"/>
            <w:right w:val="none" w:sz="0" w:space="0" w:color="auto"/>
          </w:divBdr>
        </w:div>
        <w:div w:id="446511572">
          <w:marLeft w:val="0"/>
          <w:marRight w:val="0"/>
          <w:marTop w:val="0"/>
          <w:marBottom w:val="86"/>
          <w:divBdr>
            <w:top w:val="none" w:sz="0" w:space="0" w:color="auto"/>
            <w:left w:val="none" w:sz="0" w:space="0" w:color="auto"/>
            <w:bottom w:val="none" w:sz="0" w:space="0" w:color="auto"/>
            <w:right w:val="none" w:sz="0" w:space="0" w:color="auto"/>
          </w:divBdr>
        </w:div>
        <w:div w:id="318579380">
          <w:marLeft w:val="0"/>
          <w:marRight w:val="0"/>
          <w:marTop w:val="0"/>
          <w:marBottom w:val="86"/>
          <w:divBdr>
            <w:top w:val="none" w:sz="0" w:space="0" w:color="auto"/>
            <w:left w:val="none" w:sz="0" w:space="0" w:color="auto"/>
            <w:bottom w:val="none" w:sz="0" w:space="0" w:color="auto"/>
            <w:right w:val="none" w:sz="0" w:space="0" w:color="auto"/>
          </w:divBdr>
        </w:div>
        <w:div w:id="1501583379">
          <w:marLeft w:val="0"/>
          <w:marRight w:val="0"/>
          <w:marTop w:val="0"/>
          <w:marBottom w:val="86"/>
          <w:divBdr>
            <w:top w:val="none" w:sz="0" w:space="0" w:color="auto"/>
            <w:left w:val="none" w:sz="0" w:space="0" w:color="auto"/>
            <w:bottom w:val="none" w:sz="0" w:space="0" w:color="auto"/>
            <w:right w:val="none" w:sz="0" w:space="0" w:color="auto"/>
          </w:divBdr>
        </w:div>
      </w:divsChild>
    </w:div>
    <w:div w:id="2045710242">
      <w:bodyDiv w:val="1"/>
      <w:marLeft w:val="0"/>
      <w:marRight w:val="0"/>
      <w:marTop w:val="0"/>
      <w:marBottom w:val="0"/>
      <w:divBdr>
        <w:top w:val="none" w:sz="0" w:space="0" w:color="auto"/>
        <w:left w:val="none" w:sz="0" w:space="0" w:color="auto"/>
        <w:bottom w:val="none" w:sz="0" w:space="0" w:color="auto"/>
        <w:right w:val="none" w:sz="0" w:space="0" w:color="auto"/>
      </w:divBdr>
    </w:div>
    <w:div w:id="212391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dof.gob.mx/nota_detalle.php?codigo=5590681&amp;fecha=27/03/2020" TargetMode="External"/><Relationship Id="rId3" Type="http://schemas.openxmlformats.org/officeDocument/2006/relationships/hyperlink" Target="http://intranet.te.gob.mx/Secretaria_general/acuerdos/superior/archivos/2020/Acuerdo_General_3_2020.pdf" TargetMode="External"/><Relationship Id="rId7" Type="http://schemas.openxmlformats.org/officeDocument/2006/relationships/hyperlink" Target="https://www.te.gob.mx/media/pdf/b014e5b0d2525ff.pdf" TargetMode="External"/><Relationship Id="rId2" Type="http://schemas.openxmlformats.org/officeDocument/2006/relationships/hyperlink" Target="http://www.dof.gob.mx/nota_detalle.php?codigo=5305915&amp;fecha=08/07/2013" TargetMode="External"/><Relationship Id="rId1" Type="http://schemas.openxmlformats.org/officeDocument/2006/relationships/hyperlink" Target="http://10.10.15.15/siscon/gateway.dll/nJurisprudenciayTesis/nVigentesTercerayCuartaEpoca/compilaci%C3%B3n.htm?f=templates$fn=document-frame.htm$3.0$q=$uq=$x=$up=1$nc=6278" TargetMode="External"/><Relationship Id="rId6" Type="http://schemas.openxmlformats.org/officeDocument/2006/relationships/hyperlink" Target="https://www.dof.gob.mx/nota_detalle.php?codigo=5589993&amp;fecha=20/03/2020" TargetMode="External"/><Relationship Id="rId5" Type="http://schemas.openxmlformats.org/officeDocument/2006/relationships/hyperlink" Target="https://www.dof.gob.mx/nota_detalle.php?codigo=5589708&amp;fecha=18/03/2020" TargetMode="External"/><Relationship Id="rId4" Type="http://schemas.openxmlformats.org/officeDocument/2006/relationships/hyperlink" Target="https://www.te.gob.mx/media/files/3f0d85732bf3c02.pdf" TargetMode="External"/><Relationship Id="rId9" Type="http://schemas.openxmlformats.org/officeDocument/2006/relationships/hyperlink" Target="https://www.dof.gob.mx/nota_detalle.php?codigo=5590745&amp;fecha=30/03/20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E4F833D66A9C441BEFFDF660CDCC106" ma:contentTypeVersion="8" ma:contentTypeDescription="Crear nuevo documento." ma:contentTypeScope="" ma:versionID="c7ad63613a925e3035ce97c41e06bed1">
  <xsd:schema xmlns:xsd="http://www.w3.org/2001/XMLSchema" xmlns:xs="http://www.w3.org/2001/XMLSchema" xmlns:p="http://schemas.microsoft.com/office/2006/metadata/properties" xmlns:ns3="9561dc8d-92e6-47b3-8a46-2e17c6a1fdeb" targetNamespace="http://schemas.microsoft.com/office/2006/metadata/properties" ma:root="true" ma:fieldsID="0379d0c4a5a31fc4cee23efd7cb273ba" ns3:_="">
    <xsd:import namespace="9561dc8d-92e6-47b3-8a46-2e17c6a1fd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1dc8d-92e6-47b3-8a46-2e17c6a1fd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B0B90-81E4-454D-B428-9E334540D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1dc8d-92e6-47b3-8a46-2e17c6a1f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70AE33-CCF8-4527-8D10-F73F99F94E37}">
  <ds:schemaRefs>
    <ds:schemaRef ds:uri="http://schemas.microsoft.com/sharepoint/v3/contenttype/forms"/>
  </ds:schemaRefs>
</ds:datastoreItem>
</file>

<file path=customXml/itemProps3.xml><?xml version="1.0" encoding="utf-8"?>
<ds:datastoreItem xmlns:ds="http://schemas.openxmlformats.org/officeDocument/2006/customXml" ds:itemID="{6BE2B2F7-94F8-49A4-B42C-B131643726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6AC335-55EF-47F6-937A-A9B12733A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9588</Words>
  <Characters>52740</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Isaías Trejo Sánchez</dc:creator>
  <cp:keywords/>
  <dc:description/>
  <cp:lastModifiedBy>Nancy Correa Alfaro</cp:lastModifiedBy>
  <cp:revision>9</cp:revision>
  <cp:lastPrinted>2020-04-16T23:48:00Z</cp:lastPrinted>
  <dcterms:created xsi:type="dcterms:W3CDTF">2020-04-17T22:26:00Z</dcterms:created>
  <dcterms:modified xsi:type="dcterms:W3CDTF">2020-04-18T02:21:00Z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0x0101004E4F833D66A9C441BEFFDF660CDCC106</vt:lpwstr>
  </property>
</Properties>
</file>