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7B2" w:rsidRPr="00991CED" w:rsidRDefault="001F67B2" w:rsidP="001F67B2">
      <w:pPr>
        <w:spacing w:before="100" w:beforeAutospacing="1" w:after="100" w:afterAutospacing="1" w:line="276" w:lineRule="auto"/>
        <w:ind w:left="3261"/>
        <w:jc w:val="both"/>
        <w:rPr>
          <w:rFonts w:cs="Arial"/>
          <w:b/>
          <w:sz w:val="24"/>
          <w:szCs w:val="24"/>
        </w:rPr>
      </w:pPr>
      <w:bookmarkStart w:id="0" w:name="_Hlk32576018"/>
      <w:r w:rsidRPr="00991CED">
        <w:rPr>
          <w:rFonts w:cs="Arial"/>
          <w:b/>
          <w:sz w:val="24"/>
          <w:szCs w:val="24"/>
        </w:rPr>
        <w:t xml:space="preserve">EXPEDIENTE: </w:t>
      </w:r>
      <w:r w:rsidRPr="00991CED">
        <w:rPr>
          <w:rFonts w:cs="Arial"/>
          <w:sz w:val="24"/>
          <w:szCs w:val="24"/>
        </w:rPr>
        <w:t>SUP-J</w:t>
      </w:r>
      <w:r w:rsidR="006F1EE7" w:rsidRPr="00991CED">
        <w:rPr>
          <w:rFonts w:cs="Arial"/>
          <w:sz w:val="24"/>
          <w:szCs w:val="24"/>
        </w:rPr>
        <w:t>R</w:t>
      </w:r>
      <w:r w:rsidRPr="00991CED">
        <w:rPr>
          <w:rFonts w:cs="Arial"/>
          <w:sz w:val="24"/>
          <w:szCs w:val="24"/>
        </w:rPr>
        <w:t>C-</w:t>
      </w:r>
      <w:r w:rsidR="00F76FE8" w:rsidRPr="00991CED">
        <w:rPr>
          <w:rFonts w:cs="Arial"/>
          <w:sz w:val="24"/>
          <w:szCs w:val="24"/>
        </w:rPr>
        <w:t>6</w:t>
      </w:r>
      <w:r w:rsidRPr="00991CED">
        <w:rPr>
          <w:rFonts w:cs="Arial"/>
          <w:sz w:val="24"/>
          <w:szCs w:val="24"/>
        </w:rPr>
        <w:t>/2020</w:t>
      </w:r>
    </w:p>
    <w:p w:rsidR="001F67B2" w:rsidRPr="00991CED" w:rsidRDefault="001F67B2" w:rsidP="001F67B2">
      <w:pPr>
        <w:spacing w:before="100" w:beforeAutospacing="1" w:after="100" w:afterAutospacing="1" w:line="276" w:lineRule="auto"/>
        <w:ind w:left="3260"/>
        <w:jc w:val="both"/>
        <w:rPr>
          <w:rFonts w:cs="Arial"/>
          <w:sz w:val="24"/>
          <w:szCs w:val="24"/>
        </w:rPr>
      </w:pPr>
      <w:r w:rsidRPr="00991CED">
        <w:rPr>
          <w:rFonts w:cs="Arial"/>
          <w:b/>
          <w:sz w:val="24"/>
          <w:szCs w:val="24"/>
        </w:rPr>
        <w:t xml:space="preserve">MAGISTRADO PONENTE: </w:t>
      </w:r>
      <w:r w:rsidRPr="00991CED">
        <w:rPr>
          <w:rFonts w:cs="Arial"/>
          <w:sz w:val="24"/>
          <w:szCs w:val="24"/>
        </w:rPr>
        <w:t>FELIPE DE LA MATA PIZAÑA</w:t>
      </w:r>
      <w:r w:rsidRPr="00991CED">
        <w:rPr>
          <w:rStyle w:val="Refdenotaalpie"/>
          <w:rFonts w:cs="Arial"/>
          <w:sz w:val="24"/>
          <w:szCs w:val="24"/>
        </w:rPr>
        <w:footnoteReference w:id="1"/>
      </w:r>
    </w:p>
    <w:p w:rsidR="001F67B2" w:rsidRPr="00991CED" w:rsidRDefault="001F67B2" w:rsidP="00AA6E15">
      <w:pPr>
        <w:spacing w:before="100" w:beforeAutospacing="1" w:after="100" w:afterAutospacing="1" w:line="336" w:lineRule="auto"/>
        <w:rPr>
          <w:rFonts w:cs="Arial"/>
          <w:sz w:val="24"/>
          <w:szCs w:val="24"/>
        </w:rPr>
      </w:pPr>
      <w:r w:rsidRPr="00991CED">
        <w:rPr>
          <w:rFonts w:cs="Arial"/>
          <w:sz w:val="24"/>
          <w:szCs w:val="24"/>
        </w:rPr>
        <w:t xml:space="preserve">Ciudad de México, </w:t>
      </w:r>
      <w:r w:rsidR="00E528DE">
        <w:rPr>
          <w:rFonts w:cs="Arial"/>
          <w:sz w:val="24"/>
          <w:szCs w:val="24"/>
        </w:rPr>
        <w:t>quince</w:t>
      </w:r>
      <w:r w:rsidRPr="00991CED">
        <w:rPr>
          <w:rFonts w:cs="Arial"/>
          <w:sz w:val="24"/>
          <w:szCs w:val="24"/>
        </w:rPr>
        <w:t xml:space="preserve"> de </w:t>
      </w:r>
      <w:r w:rsidR="00E528DE">
        <w:rPr>
          <w:rFonts w:cs="Arial"/>
          <w:sz w:val="24"/>
          <w:szCs w:val="24"/>
        </w:rPr>
        <w:t xml:space="preserve">julio </w:t>
      </w:r>
      <w:r w:rsidRPr="00991CED">
        <w:rPr>
          <w:rFonts w:cs="Arial"/>
          <w:sz w:val="24"/>
          <w:szCs w:val="24"/>
        </w:rPr>
        <w:t>de dos mil veinte.</w:t>
      </w:r>
    </w:p>
    <w:p w:rsidR="001F67B2" w:rsidRPr="00991CED" w:rsidRDefault="00667A15" w:rsidP="00AA6E15">
      <w:pPr>
        <w:spacing w:before="100" w:beforeAutospacing="1" w:after="100" w:afterAutospacing="1" w:line="336" w:lineRule="auto"/>
        <w:jc w:val="both"/>
        <w:rPr>
          <w:rFonts w:cs="Arial"/>
          <w:sz w:val="24"/>
          <w:szCs w:val="24"/>
        </w:rPr>
      </w:pPr>
      <w:r w:rsidRPr="00991CED">
        <w:rPr>
          <w:rFonts w:cs="Arial"/>
          <w:sz w:val="24"/>
        </w:rPr>
        <w:t xml:space="preserve">Sentencia </w:t>
      </w:r>
      <w:r w:rsidRPr="00E528DE">
        <w:rPr>
          <w:rFonts w:cs="Arial"/>
          <w:sz w:val="24"/>
        </w:rPr>
        <w:t>que</w:t>
      </w:r>
      <w:r w:rsidR="00A141F3" w:rsidRPr="00E528DE">
        <w:rPr>
          <w:rFonts w:cs="Arial"/>
          <w:sz w:val="24"/>
        </w:rPr>
        <w:t xml:space="preserve">, con motivo de la impugnación del </w:t>
      </w:r>
      <w:r w:rsidR="00A141F3" w:rsidRPr="00E528DE">
        <w:rPr>
          <w:rFonts w:cs="Arial"/>
          <w:sz w:val="24"/>
          <w:szCs w:val="24"/>
        </w:rPr>
        <w:t>Partido Duranguense,</w:t>
      </w:r>
      <w:r w:rsidR="00A141F3">
        <w:rPr>
          <w:rFonts w:cs="Arial"/>
          <w:sz w:val="24"/>
          <w:szCs w:val="24"/>
          <w:u w:val="single"/>
        </w:rPr>
        <w:t xml:space="preserve"> </w:t>
      </w:r>
      <w:r w:rsidRPr="00991CED">
        <w:rPr>
          <w:rFonts w:cs="Arial"/>
          <w:b/>
          <w:sz w:val="24"/>
        </w:rPr>
        <w:t>confirma</w:t>
      </w:r>
      <w:r w:rsidRPr="00991CED">
        <w:rPr>
          <w:rFonts w:cs="Arial"/>
          <w:sz w:val="24"/>
        </w:rPr>
        <w:t xml:space="preserve"> la resolución emitida por el Tribunal Electoral del Estado de Durango, </w:t>
      </w:r>
      <w:r w:rsidR="00323F5E" w:rsidRPr="00991CED">
        <w:rPr>
          <w:rFonts w:cs="Arial"/>
          <w:sz w:val="24"/>
        </w:rPr>
        <w:t>por la cual validó la</w:t>
      </w:r>
      <w:r w:rsidR="00010E4F" w:rsidRPr="00991CED">
        <w:rPr>
          <w:rFonts w:cs="Arial"/>
          <w:sz w:val="24"/>
        </w:rPr>
        <w:t xml:space="preserve"> </w:t>
      </w:r>
      <w:r w:rsidR="00323F5E" w:rsidRPr="00991CED">
        <w:rPr>
          <w:rFonts w:cs="Arial"/>
          <w:sz w:val="24"/>
        </w:rPr>
        <w:t xml:space="preserve">modificación hecha al </w:t>
      </w:r>
      <w:r w:rsidRPr="00991CED">
        <w:rPr>
          <w:rFonts w:cs="Arial"/>
          <w:sz w:val="24"/>
        </w:rPr>
        <w:t xml:space="preserve">Reglamento de Sesiones del Consejo General del Instituto Electoral y de Participación Ciudadana </w:t>
      </w:r>
      <w:r w:rsidR="00323F5E" w:rsidRPr="00991CED">
        <w:rPr>
          <w:rFonts w:cs="Arial"/>
          <w:sz w:val="24"/>
        </w:rPr>
        <w:t xml:space="preserve">de la citada entidad </w:t>
      </w:r>
      <w:r w:rsidR="00323F5E" w:rsidRPr="00A141F3">
        <w:rPr>
          <w:rFonts w:cs="Arial"/>
          <w:sz w:val="24"/>
        </w:rPr>
        <w:t>federativa</w:t>
      </w:r>
      <w:r w:rsidR="000015EC" w:rsidRPr="00A141F3">
        <w:rPr>
          <w:rFonts w:cs="Arial"/>
          <w:sz w:val="24"/>
          <w:szCs w:val="24"/>
        </w:rPr>
        <w:t>.</w:t>
      </w:r>
      <w:r w:rsidR="000015EC">
        <w:rPr>
          <w:rFonts w:cs="Arial"/>
          <w:sz w:val="24"/>
          <w:szCs w:val="24"/>
        </w:rPr>
        <w:t xml:space="preserve"> </w:t>
      </w:r>
    </w:p>
    <w:sdt>
      <w:sdtPr>
        <w:rPr>
          <w:rFonts w:ascii="Arial" w:eastAsiaTheme="minorHAnsi" w:hAnsi="Arial" w:cs="Arial"/>
          <w:b/>
          <w:noProof/>
          <w:color w:val="auto"/>
          <w:sz w:val="24"/>
          <w:szCs w:val="24"/>
          <w:lang w:val="es-ES" w:eastAsia="en-US"/>
        </w:rPr>
        <w:id w:val="-1362895272"/>
        <w:docPartObj>
          <w:docPartGallery w:val="Table of Contents"/>
          <w:docPartUnique/>
        </w:docPartObj>
      </w:sdtPr>
      <w:sdtEndPr>
        <w:rPr>
          <w:rFonts w:eastAsia="Times New Roman"/>
          <w:lang w:eastAsia="es-MX"/>
        </w:rPr>
      </w:sdtEndPr>
      <w:sdtContent>
        <w:p w:rsidR="00B953CB" w:rsidRPr="00991CED" w:rsidRDefault="00B953CB" w:rsidP="00B953CB">
          <w:pPr>
            <w:pStyle w:val="TtuloTDC"/>
            <w:jc w:val="center"/>
            <w:rPr>
              <w:rFonts w:ascii="Arial" w:hAnsi="Arial" w:cs="Arial"/>
              <w:b/>
              <w:sz w:val="24"/>
              <w:szCs w:val="24"/>
            </w:rPr>
          </w:pPr>
          <w:r w:rsidRPr="00991CED">
            <w:rPr>
              <w:rFonts w:ascii="Arial" w:eastAsiaTheme="minorHAnsi" w:hAnsi="Arial" w:cs="Arial"/>
              <w:b/>
              <w:color w:val="auto"/>
              <w:sz w:val="24"/>
              <w:szCs w:val="24"/>
              <w:lang w:val="es-ES" w:eastAsia="en-US"/>
            </w:rPr>
            <w:t>ÍNDICE</w:t>
          </w:r>
        </w:p>
        <w:p w:rsidR="00F364B1" w:rsidRDefault="00B953CB">
          <w:pPr>
            <w:pStyle w:val="TDC1"/>
            <w:rPr>
              <w:rFonts w:asciiTheme="minorHAnsi" w:eastAsiaTheme="minorEastAsia" w:hAnsiTheme="minorHAnsi" w:cstheme="minorBidi"/>
              <w:b w:val="0"/>
              <w:sz w:val="22"/>
              <w:szCs w:val="22"/>
            </w:rPr>
          </w:pPr>
          <w:r w:rsidRPr="00991CED">
            <w:fldChar w:fldCharType="begin"/>
          </w:r>
          <w:r w:rsidRPr="00991CED">
            <w:instrText xml:space="preserve"> TOC \o "1-3" \h \z \u </w:instrText>
          </w:r>
          <w:r w:rsidRPr="00991CED">
            <w:fldChar w:fldCharType="separate"/>
          </w:r>
          <w:hyperlink w:anchor="_Toc45271794" w:history="1">
            <w:r w:rsidR="00F364B1" w:rsidRPr="00687D45">
              <w:rPr>
                <w:rStyle w:val="Hipervnculo"/>
              </w:rPr>
              <w:t>GLOSARIO</w:t>
            </w:r>
            <w:r w:rsidR="00F364B1">
              <w:rPr>
                <w:webHidden/>
              </w:rPr>
              <w:tab/>
            </w:r>
            <w:r w:rsidR="00F364B1">
              <w:rPr>
                <w:webHidden/>
              </w:rPr>
              <w:fldChar w:fldCharType="begin"/>
            </w:r>
            <w:r w:rsidR="00F364B1">
              <w:rPr>
                <w:webHidden/>
              </w:rPr>
              <w:instrText xml:space="preserve"> PAGEREF _Toc45271794 \h </w:instrText>
            </w:r>
            <w:r w:rsidR="00F364B1">
              <w:rPr>
                <w:webHidden/>
              </w:rPr>
            </w:r>
            <w:r w:rsidR="00F364B1">
              <w:rPr>
                <w:webHidden/>
              </w:rPr>
              <w:fldChar w:fldCharType="separate"/>
            </w:r>
            <w:r w:rsidR="00CE38CC">
              <w:rPr>
                <w:webHidden/>
              </w:rPr>
              <w:t>1</w:t>
            </w:r>
            <w:r w:rsidR="00F364B1">
              <w:rPr>
                <w:webHidden/>
              </w:rPr>
              <w:fldChar w:fldCharType="end"/>
            </w:r>
          </w:hyperlink>
        </w:p>
        <w:p w:rsidR="00F364B1" w:rsidRDefault="00661B6A">
          <w:pPr>
            <w:pStyle w:val="TDC1"/>
            <w:rPr>
              <w:rFonts w:asciiTheme="minorHAnsi" w:eastAsiaTheme="minorEastAsia" w:hAnsiTheme="minorHAnsi" w:cstheme="minorBidi"/>
              <w:b w:val="0"/>
              <w:sz w:val="22"/>
              <w:szCs w:val="22"/>
            </w:rPr>
          </w:pPr>
          <w:hyperlink w:anchor="_Toc45271795" w:history="1">
            <w:r w:rsidR="00F364B1" w:rsidRPr="00687D45">
              <w:rPr>
                <w:rStyle w:val="Hipervnculo"/>
              </w:rPr>
              <w:t>I. ANTECEDENTES.</w:t>
            </w:r>
            <w:r w:rsidR="00F364B1">
              <w:rPr>
                <w:webHidden/>
              </w:rPr>
              <w:tab/>
            </w:r>
            <w:r w:rsidR="00F364B1">
              <w:rPr>
                <w:webHidden/>
              </w:rPr>
              <w:fldChar w:fldCharType="begin"/>
            </w:r>
            <w:r w:rsidR="00F364B1">
              <w:rPr>
                <w:webHidden/>
              </w:rPr>
              <w:instrText xml:space="preserve"> PAGEREF _Toc45271795 \h </w:instrText>
            </w:r>
            <w:r w:rsidR="00F364B1">
              <w:rPr>
                <w:webHidden/>
              </w:rPr>
            </w:r>
            <w:r w:rsidR="00F364B1">
              <w:rPr>
                <w:webHidden/>
              </w:rPr>
              <w:fldChar w:fldCharType="separate"/>
            </w:r>
            <w:r w:rsidR="00CE38CC">
              <w:rPr>
                <w:webHidden/>
              </w:rPr>
              <w:t>2</w:t>
            </w:r>
            <w:r w:rsidR="00F364B1">
              <w:rPr>
                <w:webHidden/>
              </w:rPr>
              <w:fldChar w:fldCharType="end"/>
            </w:r>
          </w:hyperlink>
        </w:p>
        <w:p w:rsidR="00F364B1" w:rsidRDefault="00661B6A">
          <w:pPr>
            <w:pStyle w:val="TDC1"/>
            <w:rPr>
              <w:rFonts w:asciiTheme="minorHAnsi" w:eastAsiaTheme="minorEastAsia" w:hAnsiTheme="minorHAnsi" w:cstheme="minorBidi"/>
              <w:b w:val="0"/>
              <w:sz w:val="22"/>
              <w:szCs w:val="22"/>
            </w:rPr>
          </w:pPr>
          <w:hyperlink w:anchor="_Toc45271796" w:history="1">
            <w:r w:rsidR="00F364B1" w:rsidRPr="00687D45">
              <w:rPr>
                <w:rStyle w:val="Hipervnculo"/>
              </w:rPr>
              <w:t>II. COMPETENCIA.</w:t>
            </w:r>
            <w:r w:rsidR="00F364B1">
              <w:rPr>
                <w:webHidden/>
              </w:rPr>
              <w:tab/>
            </w:r>
            <w:r w:rsidR="00F364B1">
              <w:rPr>
                <w:webHidden/>
              </w:rPr>
              <w:fldChar w:fldCharType="begin"/>
            </w:r>
            <w:r w:rsidR="00F364B1">
              <w:rPr>
                <w:webHidden/>
              </w:rPr>
              <w:instrText xml:space="preserve"> PAGEREF _Toc45271796 \h </w:instrText>
            </w:r>
            <w:r w:rsidR="00F364B1">
              <w:rPr>
                <w:webHidden/>
              </w:rPr>
            </w:r>
            <w:r w:rsidR="00F364B1">
              <w:rPr>
                <w:webHidden/>
              </w:rPr>
              <w:fldChar w:fldCharType="separate"/>
            </w:r>
            <w:r w:rsidR="00CE38CC">
              <w:rPr>
                <w:webHidden/>
              </w:rPr>
              <w:t>3</w:t>
            </w:r>
            <w:r w:rsidR="00F364B1">
              <w:rPr>
                <w:webHidden/>
              </w:rPr>
              <w:fldChar w:fldCharType="end"/>
            </w:r>
          </w:hyperlink>
        </w:p>
        <w:p w:rsidR="00F364B1" w:rsidRDefault="00661B6A">
          <w:pPr>
            <w:pStyle w:val="TDC1"/>
            <w:rPr>
              <w:rFonts w:asciiTheme="minorHAnsi" w:eastAsiaTheme="minorEastAsia" w:hAnsiTheme="minorHAnsi" w:cstheme="minorBidi"/>
              <w:b w:val="0"/>
              <w:sz w:val="22"/>
              <w:szCs w:val="22"/>
            </w:rPr>
          </w:pPr>
          <w:hyperlink w:anchor="_Toc45271797" w:history="1">
            <w:r w:rsidR="00F364B1" w:rsidRPr="00687D45">
              <w:rPr>
                <w:rStyle w:val="Hipervnculo"/>
              </w:rPr>
              <w:t>III. JUSTIFICACIÓN PARA RESOLVER EN SESIÓN NO PRESENCIAL</w:t>
            </w:r>
            <w:r w:rsidR="00F364B1">
              <w:rPr>
                <w:webHidden/>
              </w:rPr>
              <w:tab/>
            </w:r>
            <w:r w:rsidR="00F364B1">
              <w:rPr>
                <w:webHidden/>
              </w:rPr>
              <w:fldChar w:fldCharType="begin"/>
            </w:r>
            <w:r w:rsidR="00F364B1">
              <w:rPr>
                <w:webHidden/>
              </w:rPr>
              <w:instrText xml:space="preserve"> PAGEREF _Toc45271797 \h </w:instrText>
            </w:r>
            <w:r w:rsidR="00F364B1">
              <w:rPr>
                <w:webHidden/>
              </w:rPr>
            </w:r>
            <w:r w:rsidR="00F364B1">
              <w:rPr>
                <w:webHidden/>
              </w:rPr>
              <w:fldChar w:fldCharType="separate"/>
            </w:r>
            <w:r w:rsidR="00CE38CC">
              <w:rPr>
                <w:webHidden/>
              </w:rPr>
              <w:t>3</w:t>
            </w:r>
            <w:r w:rsidR="00F364B1">
              <w:rPr>
                <w:webHidden/>
              </w:rPr>
              <w:fldChar w:fldCharType="end"/>
            </w:r>
          </w:hyperlink>
        </w:p>
        <w:p w:rsidR="00F364B1" w:rsidRDefault="00661B6A">
          <w:pPr>
            <w:pStyle w:val="TDC1"/>
            <w:rPr>
              <w:rFonts w:asciiTheme="minorHAnsi" w:eastAsiaTheme="minorEastAsia" w:hAnsiTheme="minorHAnsi" w:cstheme="minorBidi"/>
              <w:b w:val="0"/>
              <w:sz w:val="22"/>
              <w:szCs w:val="22"/>
            </w:rPr>
          </w:pPr>
          <w:hyperlink w:anchor="_Toc45271798" w:history="1">
            <w:r w:rsidR="00F364B1" w:rsidRPr="00687D45">
              <w:rPr>
                <w:rStyle w:val="Hipervnculo"/>
              </w:rPr>
              <w:t>IV. REQUISITOS PROCESALES.</w:t>
            </w:r>
            <w:r w:rsidR="00F364B1">
              <w:rPr>
                <w:webHidden/>
              </w:rPr>
              <w:tab/>
            </w:r>
            <w:r w:rsidR="00F364B1">
              <w:rPr>
                <w:webHidden/>
              </w:rPr>
              <w:fldChar w:fldCharType="begin"/>
            </w:r>
            <w:r w:rsidR="00F364B1">
              <w:rPr>
                <w:webHidden/>
              </w:rPr>
              <w:instrText xml:space="preserve"> PAGEREF _Toc45271798 \h </w:instrText>
            </w:r>
            <w:r w:rsidR="00F364B1">
              <w:rPr>
                <w:webHidden/>
              </w:rPr>
            </w:r>
            <w:r w:rsidR="00F364B1">
              <w:rPr>
                <w:webHidden/>
              </w:rPr>
              <w:fldChar w:fldCharType="separate"/>
            </w:r>
            <w:r w:rsidR="00CE38CC">
              <w:rPr>
                <w:webHidden/>
              </w:rPr>
              <w:t>4</w:t>
            </w:r>
            <w:r w:rsidR="00F364B1">
              <w:rPr>
                <w:webHidden/>
              </w:rPr>
              <w:fldChar w:fldCharType="end"/>
            </w:r>
          </w:hyperlink>
        </w:p>
        <w:p w:rsidR="00F364B1" w:rsidRDefault="00661B6A">
          <w:pPr>
            <w:pStyle w:val="TDC1"/>
            <w:rPr>
              <w:rFonts w:asciiTheme="minorHAnsi" w:eastAsiaTheme="minorEastAsia" w:hAnsiTheme="minorHAnsi" w:cstheme="minorBidi"/>
              <w:b w:val="0"/>
              <w:sz w:val="22"/>
              <w:szCs w:val="22"/>
            </w:rPr>
          </w:pPr>
          <w:hyperlink w:anchor="_Toc45271799" w:history="1">
            <w:r w:rsidR="00F364B1" w:rsidRPr="00687D45">
              <w:rPr>
                <w:rStyle w:val="Hipervnculo"/>
              </w:rPr>
              <w:t>V. ESTUDIO DEL FONDO.</w:t>
            </w:r>
            <w:r w:rsidR="00F364B1">
              <w:rPr>
                <w:webHidden/>
              </w:rPr>
              <w:tab/>
            </w:r>
            <w:r w:rsidR="00F364B1">
              <w:rPr>
                <w:webHidden/>
              </w:rPr>
              <w:fldChar w:fldCharType="begin"/>
            </w:r>
            <w:r w:rsidR="00F364B1">
              <w:rPr>
                <w:webHidden/>
              </w:rPr>
              <w:instrText xml:space="preserve"> PAGEREF _Toc45271799 \h </w:instrText>
            </w:r>
            <w:r w:rsidR="00F364B1">
              <w:rPr>
                <w:webHidden/>
              </w:rPr>
            </w:r>
            <w:r w:rsidR="00F364B1">
              <w:rPr>
                <w:webHidden/>
              </w:rPr>
              <w:fldChar w:fldCharType="separate"/>
            </w:r>
            <w:r w:rsidR="00CE38CC">
              <w:rPr>
                <w:webHidden/>
              </w:rPr>
              <w:t>7</w:t>
            </w:r>
            <w:r w:rsidR="00F364B1">
              <w:rPr>
                <w:webHidden/>
              </w:rPr>
              <w:fldChar w:fldCharType="end"/>
            </w:r>
          </w:hyperlink>
        </w:p>
        <w:p w:rsidR="00F364B1" w:rsidRDefault="00661B6A">
          <w:pPr>
            <w:pStyle w:val="TDC1"/>
            <w:rPr>
              <w:rFonts w:asciiTheme="minorHAnsi" w:eastAsiaTheme="minorEastAsia" w:hAnsiTheme="minorHAnsi" w:cstheme="minorBidi"/>
              <w:b w:val="0"/>
              <w:sz w:val="22"/>
              <w:szCs w:val="22"/>
            </w:rPr>
          </w:pPr>
          <w:hyperlink w:anchor="_Toc45271800" w:history="1">
            <w:r w:rsidR="00F364B1" w:rsidRPr="00687D45">
              <w:rPr>
                <w:rStyle w:val="Hipervnculo"/>
              </w:rPr>
              <w:t>VI. RESUELVE.</w:t>
            </w:r>
            <w:r w:rsidR="00F364B1">
              <w:rPr>
                <w:webHidden/>
              </w:rPr>
              <w:tab/>
            </w:r>
            <w:r w:rsidR="00F364B1">
              <w:rPr>
                <w:webHidden/>
              </w:rPr>
              <w:fldChar w:fldCharType="begin"/>
            </w:r>
            <w:r w:rsidR="00F364B1">
              <w:rPr>
                <w:webHidden/>
              </w:rPr>
              <w:instrText xml:space="preserve"> PAGEREF _Toc45271800 \h </w:instrText>
            </w:r>
            <w:r w:rsidR="00F364B1">
              <w:rPr>
                <w:webHidden/>
              </w:rPr>
            </w:r>
            <w:r w:rsidR="00F364B1">
              <w:rPr>
                <w:webHidden/>
              </w:rPr>
              <w:fldChar w:fldCharType="separate"/>
            </w:r>
            <w:r w:rsidR="00CE38CC">
              <w:rPr>
                <w:webHidden/>
              </w:rPr>
              <w:t>13</w:t>
            </w:r>
            <w:r w:rsidR="00F364B1">
              <w:rPr>
                <w:webHidden/>
              </w:rPr>
              <w:fldChar w:fldCharType="end"/>
            </w:r>
          </w:hyperlink>
        </w:p>
        <w:p w:rsidR="00B953CB" w:rsidRPr="00991CED" w:rsidRDefault="00B953CB" w:rsidP="009838D0">
          <w:pPr>
            <w:pStyle w:val="TDC1"/>
          </w:pPr>
          <w:r w:rsidRPr="00991CED">
            <w:rPr>
              <w:lang w:val="es-ES"/>
            </w:rPr>
            <w:fldChar w:fldCharType="end"/>
          </w:r>
        </w:p>
      </w:sdtContent>
    </w:sdt>
    <w:p w:rsidR="00846C33" w:rsidRPr="00991CED" w:rsidRDefault="00846C33" w:rsidP="00846C33">
      <w:pPr>
        <w:pStyle w:val="Ttulo1"/>
        <w:spacing w:before="100" w:beforeAutospacing="1" w:after="100" w:afterAutospacing="1" w:line="360" w:lineRule="auto"/>
        <w:ind w:left="1080"/>
        <w:jc w:val="center"/>
        <w:rPr>
          <w:rFonts w:ascii="Arial" w:eastAsia="Times New Roman" w:hAnsi="Arial" w:cs="Arial"/>
          <w:b/>
          <w:color w:val="auto"/>
          <w:sz w:val="24"/>
          <w:szCs w:val="24"/>
          <w:lang w:eastAsia="es-MX"/>
        </w:rPr>
      </w:pPr>
      <w:bookmarkStart w:id="1" w:name="_Toc34153686"/>
      <w:bookmarkStart w:id="2" w:name="_Toc45271794"/>
      <w:bookmarkStart w:id="3" w:name="_Toc496171373"/>
      <w:r w:rsidRPr="00991CED">
        <w:rPr>
          <w:rFonts w:ascii="Arial" w:eastAsia="Times New Roman" w:hAnsi="Arial" w:cs="Arial"/>
          <w:b/>
          <w:color w:val="auto"/>
          <w:sz w:val="24"/>
          <w:szCs w:val="24"/>
          <w:lang w:eastAsia="es-MX"/>
        </w:rPr>
        <w:t>GLOSARIO</w:t>
      </w:r>
      <w:bookmarkEnd w:id="1"/>
      <w:bookmarkEnd w:id="2"/>
    </w:p>
    <w:tbl>
      <w:tblPr>
        <w:tblW w:w="7230" w:type="dxa"/>
        <w:tblInd w:w="-5" w:type="dxa"/>
        <w:tblLook w:val="04A0" w:firstRow="1" w:lastRow="0" w:firstColumn="1" w:lastColumn="0" w:noHBand="0" w:noVBand="1"/>
      </w:tblPr>
      <w:tblGrid>
        <w:gridCol w:w="1843"/>
        <w:gridCol w:w="5387"/>
      </w:tblGrid>
      <w:tr w:rsidR="00FD3F27" w:rsidRPr="00991CED" w:rsidTr="0008520A">
        <w:tc>
          <w:tcPr>
            <w:tcW w:w="1843" w:type="dxa"/>
            <w:vAlign w:val="center"/>
          </w:tcPr>
          <w:p w:rsidR="00FD3F27" w:rsidRPr="00991CED" w:rsidRDefault="00FD3F27" w:rsidP="0008520A">
            <w:pPr>
              <w:spacing w:before="20" w:after="20"/>
              <w:rPr>
                <w:rFonts w:cs="Arial"/>
                <w:b/>
                <w:sz w:val="18"/>
                <w:szCs w:val="18"/>
              </w:rPr>
            </w:pPr>
            <w:r w:rsidRPr="00991CED">
              <w:rPr>
                <w:rFonts w:cs="Arial"/>
                <w:b/>
                <w:sz w:val="18"/>
                <w:szCs w:val="18"/>
              </w:rPr>
              <w:t>Actor:</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Partido Duranguense.</w:t>
            </w:r>
          </w:p>
        </w:tc>
      </w:tr>
      <w:tr w:rsidR="00FD3F27" w:rsidRPr="00991CED" w:rsidTr="0008520A">
        <w:tc>
          <w:tcPr>
            <w:tcW w:w="1843" w:type="dxa"/>
            <w:vAlign w:val="center"/>
          </w:tcPr>
          <w:p w:rsidR="00FD3F27" w:rsidRPr="00991CED" w:rsidRDefault="00FD3F27" w:rsidP="0008520A">
            <w:pPr>
              <w:spacing w:before="20" w:after="20"/>
              <w:rPr>
                <w:rFonts w:cs="Arial"/>
                <w:b/>
                <w:sz w:val="18"/>
                <w:szCs w:val="18"/>
              </w:rPr>
            </w:pPr>
            <w:r w:rsidRPr="00991CED">
              <w:rPr>
                <w:rFonts w:cs="Arial"/>
                <w:b/>
                <w:sz w:val="18"/>
                <w:szCs w:val="18"/>
              </w:rPr>
              <w:t>Acuerdo del OPLE:</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Acuerdo IEPC/CG05/2020, emitido por el Consejo General del Instituto Electoral y de Participación Ciudadana del Estado de Durango.</w:t>
            </w:r>
          </w:p>
        </w:tc>
      </w:tr>
      <w:tr w:rsidR="00FD3F27" w:rsidRPr="00991CED" w:rsidTr="0008520A">
        <w:trPr>
          <w:trHeight w:val="373"/>
        </w:trPr>
        <w:tc>
          <w:tcPr>
            <w:tcW w:w="1843" w:type="dxa"/>
            <w:vAlign w:val="center"/>
          </w:tcPr>
          <w:p w:rsidR="00FD3F27" w:rsidRPr="00991CED" w:rsidRDefault="00FD3F27" w:rsidP="0008520A">
            <w:pPr>
              <w:spacing w:before="20" w:after="20"/>
              <w:rPr>
                <w:rFonts w:cs="Arial"/>
                <w:b/>
                <w:sz w:val="18"/>
                <w:szCs w:val="18"/>
              </w:rPr>
            </w:pPr>
            <w:r w:rsidRPr="00991CED">
              <w:rPr>
                <w:rFonts w:cs="Arial"/>
                <w:b/>
                <w:sz w:val="18"/>
                <w:szCs w:val="18"/>
              </w:rPr>
              <w:t>Constitución:</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Constitución Política de los Estados Unidos Mexicanos.</w:t>
            </w:r>
          </w:p>
        </w:tc>
      </w:tr>
      <w:tr w:rsidR="00FD3F27" w:rsidRPr="00991CED" w:rsidTr="0008520A">
        <w:trPr>
          <w:trHeight w:val="110"/>
        </w:trPr>
        <w:tc>
          <w:tcPr>
            <w:tcW w:w="1843" w:type="dxa"/>
            <w:vAlign w:val="center"/>
          </w:tcPr>
          <w:p w:rsidR="00FD3F27" w:rsidRPr="00991CED" w:rsidRDefault="00FD3F27" w:rsidP="0008520A">
            <w:pPr>
              <w:spacing w:before="20" w:after="20"/>
              <w:rPr>
                <w:rFonts w:cs="Arial"/>
                <w:b/>
                <w:bCs/>
                <w:sz w:val="18"/>
                <w:szCs w:val="18"/>
              </w:rPr>
            </w:pPr>
            <w:r w:rsidRPr="00991CED">
              <w:rPr>
                <w:rFonts w:cs="Arial"/>
                <w:b/>
                <w:bCs/>
                <w:sz w:val="18"/>
                <w:szCs w:val="18"/>
              </w:rPr>
              <w:t>IEPC/OPLE:</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Instituto Electoral y de Participación Ciudadana del Estado de Durango.</w:t>
            </w:r>
          </w:p>
        </w:tc>
      </w:tr>
      <w:tr w:rsidR="00FD3F27" w:rsidRPr="00991CED" w:rsidTr="0008520A">
        <w:trPr>
          <w:trHeight w:val="110"/>
        </w:trPr>
        <w:tc>
          <w:tcPr>
            <w:tcW w:w="1843" w:type="dxa"/>
            <w:vAlign w:val="center"/>
          </w:tcPr>
          <w:p w:rsidR="00FD3F27" w:rsidRPr="00991CED" w:rsidRDefault="00FD3F27" w:rsidP="0008520A">
            <w:pPr>
              <w:spacing w:before="20" w:after="20"/>
              <w:rPr>
                <w:rFonts w:cs="Arial"/>
                <w:b/>
                <w:bCs/>
                <w:sz w:val="18"/>
                <w:szCs w:val="18"/>
              </w:rPr>
            </w:pPr>
            <w:r w:rsidRPr="00991CED">
              <w:rPr>
                <w:rFonts w:cs="Arial"/>
                <w:b/>
                <w:bCs/>
                <w:sz w:val="18"/>
                <w:szCs w:val="18"/>
              </w:rPr>
              <w:t>Juicio de revisión:</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Juicio de revisión constitucional electoral.</w:t>
            </w:r>
          </w:p>
        </w:tc>
      </w:tr>
      <w:tr w:rsidR="00FD3F27" w:rsidRPr="00991CED" w:rsidTr="0008520A">
        <w:trPr>
          <w:trHeight w:val="110"/>
        </w:trPr>
        <w:tc>
          <w:tcPr>
            <w:tcW w:w="1843" w:type="dxa"/>
            <w:vAlign w:val="center"/>
          </w:tcPr>
          <w:p w:rsidR="00FD3F27" w:rsidRPr="00991CED" w:rsidRDefault="00FD3F27" w:rsidP="0008520A">
            <w:pPr>
              <w:spacing w:before="20" w:after="20"/>
              <w:rPr>
                <w:rFonts w:cs="Arial"/>
                <w:b/>
                <w:bCs/>
                <w:sz w:val="18"/>
                <w:szCs w:val="18"/>
              </w:rPr>
            </w:pPr>
            <w:r w:rsidRPr="00991CED">
              <w:rPr>
                <w:rFonts w:cs="Arial"/>
                <w:b/>
                <w:bCs/>
                <w:sz w:val="18"/>
                <w:szCs w:val="18"/>
              </w:rPr>
              <w:t>LEGIPE/ Ley General de Instituciones:</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Ley General de Instituciones y Procedimientos Electorales.</w:t>
            </w:r>
          </w:p>
        </w:tc>
      </w:tr>
      <w:tr w:rsidR="00FD3F27" w:rsidRPr="00991CED" w:rsidTr="0008520A">
        <w:trPr>
          <w:trHeight w:val="110"/>
        </w:trPr>
        <w:tc>
          <w:tcPr>
            <w:tcW w:w="1843" w:type="dxa"/>
            <w:vAlign w:val="center"/>
          </w:tcPr>
          <w:p w:rsidR="00FD3F27" w:rsidRPr="00991CED" w:rsidRDefault="00FD3F27" w:rsidP="0008520A">
            <w:pPr>
              <w:spacing w:before="20" w:after="20"/>
              <w:rPr>
                <w:rFonts w:cs="Arial"/>
                <w:b/>
                <w:bCs/>
                <w:sz w:val="18"/>
                <w:szCs w:val="18"/>
              </w:rPr>
            </w:pPr>
            <w:r w:rsidRPr="00991CED">
              <w:rPr>
                <w:rFonts w:cs="Arial"/>
                <w:b/>
                <w:bCs/>
                <w:sz w:val="18"/>
                <w:szCs w:val="18"/>
              </w:rPr>
              <w:t>Ley de instituciones:</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Ley de Instituciones y Procedimientos Electorales para el Estado de Durango.</w:t>
            </w:r>
          </w:p>
        </w:tc>
      </w:tr>
      <w:tr w:rsidR="00FD3F27" w:rsidRPr="00991CED" w:rsidTr="0008520A">
        <w:trPr>
          <w:trHeight w:val="225"/>
        </w:trPr>
        <w:tc>
          <w:tcPr>
            <w:tcW w:w="1843" w:type="dxa"/>
            <w:vAlign w:val="center"/>
          </w:tcPr>
          <w:p w:rsidR="00FD3F27" w:rsidRPr="00991CED" w:rsidRDefault="00FD3F27" w:rsidP="0008520A">
            <w:pPr>
              <w:spacing w:before="20" w:after="20"/>
              <w:rPr>
                <w:rFonts w:cs="Arial"/>
                <w:b/>
                <w:sz w:val="18"/>
                <w:szCs w:val="18"/>
              </w:rPr>
            </w:pPr>
            <w:r w:rsidRPr="00991CED">
              <w:rPr>
                <w:rFonts w:cs="Arial"/>
                <w:b/>
                <w:sz w:val="18"/>
                <w:szCs w:val="18"/>
              </w:rPr>
              <w:t>Ley de Medios:</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Ley General del Sistema de Medios de Impugnación en Materia Electoral.</w:t>
            </w:r>
          </w:p>
        </w:tc>
      </w:tr>
      <w:tr w:rsidR="00FD3F27" w:rsidRPr="00991CED" w:rsidTr="0008520A">
        <w:trPr>
          <w:trHeight w:val="225"/>
        </w:trPr>
        <w:tc>
          <w:tcPr>
            <w:tcW w:w="1843" w:type="dxa"/>
            <w:vAlign w:val="center"/>
          </w:tcPr>
          <w:p w:rsidR="00FD3F27" w:rsidRPr="00991CED" w:rsidRDefault="00FD3F27" w:rsidP="0008520A">
            <w:pPr>
              <w:spacing w:before="20" w:after="20"/>
              <w:rPr>
                <w:rFonts w:cs="Arial"/>
                <w:b/>
                <w:sz w:val="18"/>
                <w:szCs w:val="18"/>
              </w:rPr>
            </w:pPr>
            <w:r w:rsidRPr="00991CED">
              <w:rPr>
                <w:rFonts w:cs="Arial"/>
                <w:b/>
                <w:sz w:val="18"/>
                <w:szCs w:val="18"/>
              </w:rPr>
              <w:t>LOPJF:</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sz w:val="18"/>
              </w:rPr>
              <w:t>Ley Orgánica del Poder Judicial de la Federación</w:t>
            </w:r>
          </w:p>
        </w:tc>
      </w:tr>
      <w:tr w:rsidR="00FD3F27" w:rsidRPr="00991CED" w:rsidTr="0008520A">
        <w:trPr>
          <w:trHeight w:val="412"/>
        </w:trPr>
        <w:tc>
          <w:tcPr>
            <w:tcW w:w="1843" w:type="dxa"/>
            <w:vAlign w:val="center"/>
          </w:tcPr>
          <w:p w:rsidR="00FD3F27" w:rsidRPr="00991CED" w:rsidRDefault="00FD3F27" w:rsidP="0008520A">
            <w:pPr>
              <w:spacing w:before="20" w:after="20"/>
              <w:rPr>
                <w:rFonts w:cs="Arial"/>
                <w:b/>
                <w:sz w:val="18"/>
                <w:szCs w:val="18"/>
              </w:rPr>
            </w:pPr>
            <w:r w:rsidRPr="00991CED">
              <w:rPr>
                <w:rFonts w:cs="Arial"/>
                <w:b/>
                <w:sz w:val="18"/>
                <w:szCs w:val="18"/>
              </w:rPr>
              <w:t>Reglamento:</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Reglamento Interno del Tribunal Electoral del Poder Judicial de la Federación.</w:t>
            </w:r>
          </w:p>
        </w:tc>
      </w:tr>
      <w:tr w:rsidR="00FD3F27" w:rsidRPr="00991CED" w:rsidTr="0008520A">
        <w:trPr>
          <w:trHeight w:val="412"/>
        </w:trPr>
        <w:tc>
          <w:tcPr>
            <w:tcW w:w="1843" w:type="dxa"/>
            <w:vAlign w:val="center"/>
          </w:tcPr>
          <w:p w:rsidR="00FD3F27" w:rsidRPr="00991CED" w:rsidRDefault="00FD3F27" w:rsidP="0008520A">
            <w:pPr>
              <w:spacing w:before="20" w:after="20"/>
              <w:rPr>
                <w:rFonts w:cs="Arial"/>
                <w:b/>
                <w:sz w:val="18"/>
                <w:szCs w:val="18"/>
              </w:rPr>
            </w:pPr>
            <w:r w:rsidRPr="00991CED">
              <w:rPr>
                <w:rFonts w:cs="Arial"/>
                <w:b/>
                <w:sz w:val="18"/>
                <w:szCs w:val="18"/>
              </w:rPr>
              <w:t>Reglamento de sesiones:</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Reglamento de Sesiones del Consejo General del Instituto Electoral y de Participación Ciudadana del Estado de Durango.</w:t>
            </w:r>
          </w:p>
        </w:tc>
      </w:tr>
      <w:tr w:rsidR="00FD3F27" w:rsidRPr="00991CED" w:rsidTr="0008520A">
        <w:trPr>
          <w:trHeight w:val="412"/>
        </w:trPr>
        <w:tc>
          <w:tcPr>
            <w:tcW w:w="1843" w:type="dxa"/>
            <w:vAlign w:val="center"/>
          </w:tcPr>
          <w:p w:rsidR="00FD3F27" w:rsidRPr="00991CED" w:rsidRDefault="00FD3F27" w:rsidP="0008520A">
            <w:pPr>
              <w:spacing w:before="20" w:after="20"/>
              <w:rPr>
                <w:rFonts w:cs="Arial"/>
                <w:b/>
                <w:sz w:val="18"/>
                <w:szCs w:val="18"/>
              </w:rPr>
            </w:pPr>
            <w:r w:rsidRPr="00991CED">
              <w:rPr>
                <w:rFonts w:cs="Arial"/>
                <w:b/>
                <w:sz w:val="18"/>
                <w:szCs w:val="18"/>
              </w:rPr>
              <w:t>Resolución impugnada:</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 xml:space="preserve">Sentencia dictada por el Tribunal Electoral del Estado de Durango en el </w:t>
            </w:r>
            <w:r w:rsidR="00BC58C0" w:rsidRPr="00991CED">
              <w:rPr>
                <w:rFonts w:cs="Arial"/>
                <w:sz w:val="18"/>
                <w:szCs w:val="18"/>
              </w:rPr>
              <w:t xml:space="preserve">juicio </w:t>
            </w:r>
            <w:r w:rsidRPr="00991CED">
              <w:rPr>
                <w:rFonts w:cs="Arial"/>
                <w:sz w:val="18"/>
                <w:szCs w:val="18"/>
              </w:rPr>
              <w:t>TE-JE-003/2020.</w:t>
            </w:r>
          </w:p>
        </w:tc>
      </w:tr>
      <w:tr w:rsidR="00FD3F27" w:rsidRPr="00991CED" w:rsidTr="0008520A">
        <w:trPr>
          <w:trHeight w:val="412"/>
        </w:trPr>
        <w:tc>
          <w:tcPr>
            <w:tcW w:w="1843" w:type="dxa"/>
            <w:vAlign w:val="center"/>
          </w:tcPr>
          <w:p w:rsidR="00FD3F27" w:rsidRPr="00991CED" w:rsidRDefault="00FD3F27" w:rsidP="0008520A">
            <w:pPr>
              <w:spacing w:before="20" w:after="20"/>
              <w:rPr>
                <w:rFonts w:cs="Arial"/>
                <w:b/>
                <w:sz w:val="18"/>
                <w:szCs w:val="18"/>
              </w:rPr>
            </w:pPr>
            <w:r w:rsidRPr="00991CED">
              <w:rPr>
                <w:rFonts w:cs="Arial"/>
                <w:b/>
                <w:sz w:val="18"/>
                <w:szCs w:val="18"/>
              </w:rPr>
              <w:t>Sala Guadalajara:</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Sala Regional del Tribunal Electoral del Poder Judicial de la Federación, correspondiente a la Primera Circunscripción Plurinominal, con sede en Guadalajara</w:t>
            </w:r>
            <w:r w:rsidR="00BC58C0" w:rsidRPr="00991CED">
              <w:rPr>
                <w:rFonts w:cs="Arial"/>
                <w:sz w:val="18"/>
                <w:szCs w:val="18"/>
              </w:rPr>
              <w:t>,</w:t>
            </w:r>
            <w:r w:rsidRPr="00991CED">
              <w:rPr>
                <w:rFonts w:cs="Arial"/>
                <w:sz w:val="18"/>
                <w:szCs w:val="18"/>
              </w:rPr>
              <w:t xml:space="preserve"> Jalisco.</w:t>
            </w:r>
          </w:p>
        </w:tc>
      </w:tr>
      <w:tr w:rsidR="00FD3F27" w:rsidRPr="00991CED" w:rsidTr="0008520A">
        <w:tc>
          <w:tcPr>
            <w:tcW w:w="1843" w:type="dxa"/>
            <w:vAlign w:val="center"/>
          </w:tcPr>
          <w:p w:rsidR="00FD3F27" w:rsidRPr="00991CED" w:rsidRDefault="00FD3F27" w:rsidP="0008520A">
            <w:pPr>
              <w:spacing w:before="20" w:after="20"/>
              <w:rPr>
                <w:rFonts w:cs="Arial"/>
                <w:b/>
                <w:sz w:val="18"/>
                <w:szCs w:val="18"/>
              </w:rPr>
            </w:pPr>
            <w:r w:rsidRPr="00991CED">
              <w:rPr>
                <w:rFonts w:cs="Arial"/>
                <w:b/>
                <w:sz w:val="18"/>
                <w:szCs w:val="18"/>
              </w:rPr>
              <w:t>Sala Superior:</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Sala Superior del Tribunal Electoral del Poder Judicial de la Federación.</w:t>
            </w:r>
          </w:p>
        </w:tc>
      </w:tr>
      <w:tr w:rsidR="00FD3F27" w:rsidRPr="00991CED" w:rsidTr="0008520A">
        <w:tc>
          <w:tcPr>
            <w:tcW w:w="1843" w:type="dxa"/>
            <w:vAlign w:val="center"/>
          </w:tcPr>
          <w:p w:rsidR="00FD3F27" w:rsidRPr="00991CED" w:rsidRDefault="00FD3F27" w:rsidP="0008520A">
            <w:pPr>
              <w:spacing w:before="20" w:after="20"/>
              <w:rPr>
                <w:rFonts w:cs="Arial"/>
                <w:b/>
                <w:sz w:val="18"/>
                <w:szCs w:val="18"/>
              </w:rPr>
            </w:pPr>
            <w:r w:rsidRPr="00991CED">
              <w:rPr>
                <w:rFonts w:cs="Arial"/>
                <w:b/>
                <w:sz w:val="18"/>
                <w:szCs w:val="18"/>
              </w:rPr>
              <w:t>Tribuna local:</w:t>
            </w:r>
          </w:p>
        </w:tc>
        <w:tc>
          <w:tcPr>
            <w:tcW w:w="5387" w:type="dxa"/>
            <w:tcMar>
              <w:top w:w="0" w:type="dxa"/>
              <w:left w:w="108" w:type="dxa"/>
              <w:bottom w:w="0" w:type="dxa"/>
              <w:right w:w="108" w:type="dxa"/>
            </w:tcMar>
            <w:vAlign w:val="center"/>
          </w:tcPr>
          <w:p w:rsidR="00FD3F27" w:rsidRPr="00991CED" w:rsidRDefault="00FD3F27" w:rsidP="0008520A">
            <w:pPr>
              <w:spacing w:before="20" w:after="20"/>
              <w:jc w:val="both"/>
              <w:rPr>
                <w:rFonts w:cs="Arial"/>
                <w:sz w:val="18"/>
                <w:szCs w:val="18"/>
              </w:rPr>
            </w:pPr>
            <w:r w:rsidRPr="00991CED">
              <w:rPr>
                <w:rFonts w:cs="Arial"/>
                <w:sz w:val="18"/>
                <w:szCs w:val="18"/>
              </w:rPr>
              <w:t>Tribunal Electoral del Estado de Durango.</w:t>
            </w:r>
          </w:p>
        </w:tc>
      </w:tr>
    </w:tbl>
    <w:p w:rsidR="00FD3F27" w:rsidRPr="00991CED" w:rsidRDefault="00FD3F27" w:rsidP="008A409A">
      <w:pPr>
        <w:rPr>
          <w:lang w:eastAsia="es-MX"/>
        </w:rPr>
      </w:pPr>
    </w:p>
    <w:p w:rsidR="00D41F45" w:rsidRPr="00991CED" w:rsidRDefault="001003CF" w:rsidP="00C31D30">
      <w:pPr>
        <w:pStyle w:val="Ttulo1"/>
        <w:spacing w:before="100" w:beforeAutospacing="1" w:after="100" w:afterAutospacing="1" w:line="360" w:lineRule="auto"/>
        <w:ind w:left="1080"/>
        <w:jc w:val="center"/>
        <w:rPr>
          <w:rFonts w:ascii="Arial" w:eastAsia="Times New Roman" w:hAnsi="Arial" w:cs="Arial"/>
          <w:b/>
          <w:color w:val="auto"/>
          <w:sz w:val="24"/>
          <w:szCs w:val="24"/>
          <w:lang w:eastAsia="es-MX"/>
        </w:rPr>
      </w:pPr>
      <w:bookmarkStart w:id="4" w:name="_Toc45271795"/>
      <w:r w:rsidRPr="00991CED">
        <w:rPr>
          <w:rFonts w:ascii="Arial" w:eastAsia="Times New Roman" w:hAnsi="Arial" w:cs="Arial"/>
          <w:b/>
          <w:color w:val="auto"/>
          <w:sz w:val="24"/>
          <w:szCs w:val="24"/>
          <w:lang w:eastAsia="es-MX"/>
        </w:rPr>
        <w:t xml:space="preserve">I. </w:t>
      </w:r>
      <w:r w:rsidR="00D41F45" w:rsidRPr="00991CED">
        <w:rPr>
          <w:rFonts w:ascii="Arial" w:eastAsia="Times New Roman" w:hAnsi="Arial" w:cs="Arial"/>
          <w:b/>
          <w:color w:val="auto"/>
          <w:sz w:val="24"/>
          <w:szCs w:val="24"/>
          <w:lang w:eastAsia="es-MX"/>
        </w:rPr>
        <w:t>ANTECEDENTES</w:t>
      </w:r>
      <w:bookmarkEnd w:id="3"/>
      <w:r w:rsidR="00A37CF3" w:rsidRPr="00991CED">
        <w:rPr>
          <w:rFonts w:ascii="Arial" w:eastAsia="Times New Roman" w:hAnsi="Arial" w:cs="Arial"/>
          <w:b/>
          <w:color w:val="auto"/>
          <w:sz w:val="24"/>
          <w:szCs w:val="24"/>
          <w:lang w:eastAsia="es-MX"/>
        </w:rPr>
        <w:t>.</w:t>
      </w:r>
      <w:bookmarkEnd w:id="4"/>
    </w:p>
    <w:p w:rsidR="00662D93" w:rsidRPr="00991CED" w:rsidRDefault="00C31D30" w:rsidP="00C31D30">
      <w:pPr>
        <w:spacing w:before="100" w:beforeAutospacing="1" w:after="100" w:afterAutospacing="1" w:line="360" w:lineRule="auto"/>
        <w:jc w:val="both"/>
        <w:rPr>
          <w:rFonts w:cs="Arial"/>
          <w:sz w:val="24"/>
        </w:rPr>
      </w:pPr>
      <w:r w:rsidRPr="00991CED">
        <w:rPr>
          <w:rFonts w:cs="Arial"/>
          <w:b/>
          <w:sz w:val="24"/>
          <w:szCs w:val="24"/>
        </w:rPr>
        <w:t>1.</w:t>
      </w:r>
      <w:r w:rsidRPr="00991CED">
        <w:rPr>
          <w:rFonts w:eastAsia="Times New Roman" w:cs="Arial"/>
          <w:b/>
          <w:bCs/>
          <w:color w:val="41736F"/>
          <w:sz w:val="24"/>
          <w:szCs w:val="24"/>
          <w:lang w:eastAsia="es-MX"/>
        </w:rPr>
        <w:t xml:space="preserve"> </w:t>
      </w:r>
      <w:r w:rsidR="00662D93" w:rsidRPr="00991CED">
        <w:rPr>
          <w:rFonts w:cs="Arial"/>
          <w:b/>
          <w:bCs/>
          <w:sz w:val="24"/>
        </w:rPr>
        <w:t xml:space="preserve">Modificación al reglamento de </w:t>
      </w:r>
      <w:r w:rsidR="00BC58C0" w:rsidRPr="00991CED">
        <w:rPr>
          <w:rFonts w:cs="Arial"/>
          <w:b/>
          <w:bCs/>
          <w:sz w:val="24"/>
        </w:rPr>
        <w:t>sesiones</w:t>
      </w:r>
      <w:r w:rsidR="00846C33" w:rsidRPr="00991CED">
        <w:rPr>
          <w:rFonts w:cs="Arial"/>
          <w:b/>
          <w:sz w:val="24"/>
          <w:lang w:val="es-ES_tradnl"/>
        </w:rPr>
        <w:t xml:space="preserve">. </w:t>
      </w:r>
      <w:r w:rsidR="00846C33" w:rsidRPr="00991CED">
        <w:rPr>
          <w:rFonts w:cs="Arial"/>
          <w:sz w:val="24"/>
        </w:rPr>
        <w:t xml:space="preserve">El </w:t>
      </w:r>
      <w:r w:rsidR="00662D93" w:rsidRPr="00991CED">
        <w:rPr>
          <w:rFonts w:cs="Arial"/>
          <w:sz w:val="24"/>
        </w:rPr>
        <w:t>veintitrés de</w:t>
      </w:r>
      <w:r w:rsidR="00846C33" w:rsidRPr="00991CED">
        <w:rPr>
          <w:rFonts w:cs="Arial"/>
          <w:sz w:val="24"/>
        </w:rPr>
        <w:t xml:space="preserve"> febrero de dos mil veinte</w:t>
      </w:r>
      <w:r w:rsidR="00846C33" w:rsidRPr="00991CED">
        <w:rPr>
          <w:rStyle w:val="Refdenotaalpie"/>
          <w:rFonts w:cs="Arial"/>
          <w:sz w:val="24"/>
          <w:lang w:val="es-ES_tradnl"/>
        </w:rPr>
        <w:footnoteReference w:id="2"/>
      </w:r>
      <w:r w:rsidR="00846C33" w:rsidRPr="00991CED">
        <w:rPr>
          <w:rFonts w:cs="Arial"/>
          <w:sz w:val="24"/>
        </w:rPr>
        <w:t xml:space="preserve">, </w:t>
      </w:r>
      <w:r w:rsidR="00662D93" w:rsidRPr="00991CED">
        <w:rPr>
          <w:rFonts w:cs="Arial"/>
          <w:sz w:val="24"/>
        </w:rPr>
        <w:t xml:space="preserve">el IEPC aprobó el </w:t>
      </w:r>
      <w:r w:rsidR="00C257A8" w:rsidRPr="00991CED">
        <w:rPr>
          <w:rFonts w:cs="Arial"/>
          <w:sz w:val="24"/>
        </w:rPr>
        <w:t>a</w:t>
      </w:r>
      <w:r w:rsidR="00662D93" w:rsidRPr="00991CED">
        <w:rPr>
          <w:rFonts w:cs="Arial"/>
          <w:sz w:val="24"/>
        </w:rPr>
        <w:t>cuerdo IEPC/CG05/2020, mediante el cu</w:t>
      </w:r>
      <w:r w:rsidR="00846C33" w:rsidRPr="00991CED">
        <w:rPr>
          <w:rFonts w:cs="Arial"/>
          <w:sz w:val="24"/>
        </w:rPr>
        <w:t>a</w:t>
      </w:r>
      <w:r w:rsidR="00662D93" w:rsidRPr="00991CED">
        <w:rPr>
          <w:rFonts w:cs="Arial"/>
          <w:sz w:val="24"/>
        </w:rPr>
        <w:t>l modific</w:t>
      </w:r>
      <w:r w:rsidR="00340664" w:rsidRPr="00991CED">
        <w:rPr>
          <w:rFonts w:cs="Arial"/>
          <w:sz w:val="24"/>
        </w:rPr>
        <w:t xml:space="preserve">ó el </w:t>
      </w:r>
      <w:r w:rsidR="00662D93" w:rsidRPr="00991CED">
        <w:rPr>
          <w:rFonts w:cs="Arial"/>
          <w:sz w:val="24"/>
        </w:rPr>
        <w:t xml:space="preserve">Reglamento </w:t>
      </w:r>
      <w:r w:rsidR="00340664" w:rsidRPr="00991CED">
        <w:rPr>
          <w:rFonts w:cs="Arial"/>
          <w:sz w:val="24"/>
        </w:rPr>
        <w:t>de</w:t>
      </w:r>
      <w:r w:rsidR="00662D93" w:rsidRPr="00991CED">
        <w:rPr>
          <w:rFonts w:cs="Arial"/>
          <w:sz w:val="24"/>
        </w:rPr>
        <w:t xml:space="preserve"> </w:t>
      </w:r>
      <w:r w:rsidR="002F32E6" w:rsidRPr="00991CED">
        <w:rPr>
          <w:rFonts w:cs="Arial"/>
          <w:sz w:val="24"/>
        </w:rPr>
        <w:t>s</w:t>
      </w:r>
      <w:r w:rsidR="00662D93" w:rsidRPr="00991CED">
        <w:rPr>
          <w:rFonts w:cs="Arial"/>
          <w:sz w:val="24"/>
        </w:rPr>
        <w:t>esiones.</w:t>
      </w:r>
    </w:p>
    <w:p w:rsidR="00402307" w:rsidRPr="00991CED" w:rsidRDefault="00C31D30" w:rsidP="00C31D30">
      <w:pPr>
        <w:spacing w:before="100" w:beforeAutospacing="1" w:after="100" w:afterAutospacing="1" w:line="360" w:lineRule="auto"/>
        <w:jc w:val="both"/>
        <w:rPr>
          <w:rFonts w:cs="Arial"/>
          <w:b/>
          <w:sz w:val="24"/>
        </w:rPr>
      </w:pPr>
      <w:r w:rsidRPr="00991CED">
        <w:rPr>
          <w:rFonts w:cs="Arial"/>
          <w:b/>
          <w:sz w:val="24"/>
          <w:szCs w:val="24"/>
        </w:rPr>
        <w:t xml:space="preserve">2. </w:t>
      </w:r>
      <w:bookmarkStart w:id="5" w:name="_Hlk10814315"/>
      <w:bookmarkStart w:id="6" w:name="_Hlk2175193"/>
      <w:r w:rsidR="00662D93" w:rsidRPr="00991CED">
        <w:rPr>
          <w:rFonts w:cs="Arial"/>
          <w:b/>
          <w:sz w:val="24"/>
        </w:rPr>
        <w:t xml:space="preserve">Juicio </w:t>
      </w:r>
      <w:r w:rsidR="000E7FF7" w:rsidRPr="00991CED">
        <w:rPr>
          <w:rFonts w:cs="Arial"/>
          <w:b/>
          <w:sz w:val="24"/>
        </w:rPr>
        <w:t>local</w:t>
      </w:r>
      <w:r w:rsidR="00402307" w:rsidRPr="00991CED">
        <w:rPr>
          <w:rFonts w:cs="Arial"/>
          <w:b/>
          <w:sz w:val="24"/>
        </w:rPr>
        <w:t>.</w:t>
      </w:r>
    </w:p>
    <w:p w:rsidR="00C31D30" w:rsidRPr="00991CED" w:rsidRDefault="00402307" w:rsidP="00C31D30">
      <w:pPr>
        <w:spacing w:before="100" w:beforeAutospacing="1" w:after="100" w:afterAutospacing="1" w:line="360" w:lineRule="auto"/>
        <w:jc w:val="both"/>
        <w:rPr>
          <w:sz w:val="24"/>
          <w:szCs w:val="24"/>
        </w:rPr>
      </w:pPr>
      <w:r w:rsidRPr="00991CED">
        <w:rPr>
          <w:rFonts w:cs="Arial"/>
          <w:b/>
          <w:sz w:val="24"/>
          <w:lang w:val="es-ES_tradnl"/>
        </w:rPr>
        <w:t>2.1. Demanda</w:t>
      </w:r>
      <w:r w:rsidR="00846C33" w:rsidRPr="00991CED">
        <w:rPr>
          <w:rFonts w:cs="Arial"/>
          <w:b/>
          <w:sz w:val="24"/>
          <w:lang w:val="es-ES_tradnl"/>
        </w:rPr>
        <w:t xml:space="preserve">. </w:t>
      </w:r>
      <w:r w:rsidR="00846C33" w:rsidRPr="00991CED">
        <w:rPr>
          <w:rFonts w:cs="Arial"/>
          <w:sz w:val="24"/>
          <w:lang w:val="es-ES_tradnl"/>
        </w:rPr>
        <w:t xml:space="preserve">El </w:t>
      </w:r>
      <w:r w:rsidR="00662D93" w:rsidRPr="00991CED">
        <w:rPr>
          <w:rFonts w:cs="Arial"/>
          <w:sz w:val="24"/>
          <w:lang w:val="es-ES_tradnl"/>
        </w:rPr>
        <w:t xml:space="preserve">tres </w:t>
      </w:r>
      <w:r w:rsidR="00846C33" w:rsidRPr="00991CED">
        <w:rPr>
          <w:rFonts w:cs="Arial"/>
          <w:sz w:val="24"/>
          <w:lang w:val="es-ES_tradnl"/>
        </w:rPr>
        <w:t xml:space="preserve">de </w:t>
      </w:r>
      <w:r w:rsidR="00662D93" w:rsidRPr="00991CED">
        <w:rPr>
          <w:rFonts w:cs="Arial"/>
          <w:sz w:val="24"/>
          <w:lang w:val="es-ES_tradnl"/>
        </w:rPr>
        <w:t>marzo</w:t>
      </w:r>
      <w:r w:rsidR="00846C33" w:rsidRPr="00991CED">
        <w:rPr>
          <w:rFonts w:cs="Arial"/>
          <w:sz w:val="24"/>
          <w:lang w:val="es-ES_tradnl"/>
        </w:rPr>
        <w:t xml:space="preserve">, </w:t>
      </w:r>
      <w:r w:rsidR="00340664" w:rsidRPr="00991CED">
        <w:rPr>
          <w:rFonts w:cs="Arial"/>
          <w:sz w:val="24"/>
        </w:rPr>
        <w:t>el</w:t>
      </w:r>
      <w:r w:rsidR="00662D93" w:rsidRPr="00991CED">
        <w:rPr>
          <w:rFonts w:cs="Arial"/>
          <w:sz w:val="24"/>
        </w:rPr>
        <w:t xml:space="preserve"> </w:t>
      </w:r>
      <w:r w:rsidR="00BC58C0" w:rsidRPr="00991CED">
        <w:rPr>
          <w:rFonts w:cs="Arial"/>
          <w:sz w:val="24"/>
        </w:rPr>
        <w:t xml:space="preserve">actor </w:t>
      </w:r>
      <w:r w:rsidR="00662D93" w:rsidRPr="00991CED">
        <w:rPr>
          <w:rFonts w:cs="Arial"/>
          <w:sz w:val="24"/>
        </w:rPr>
        <w:t xml:space="preserve">controvirtió el </w:t>
      </w:r>
      <w:r w:rsidR="00BC58C0" w:rsidRPr="00991CED">
        <w:rPr>
          <w:rFonts w:cs="Arial"/>
          <w:sz w:val="24"/>
        </w:rPr>
        <w:t xml:space="preserve">citado </w:t>
      </w:r>
      <w:r w:rsidR="00662D93" w:rsidRPr="00991CED">
        <w:rPr>
          <w:rFonts w:cs="Arial"/>
          <w:sz w:val="24"/>
        </w:rPr>
        <w:t>acuerdo ante el Tribunal local</w:t>
      </w:r>
      <w:r w:rsidR="00340664" w:rsidRPr="00991CED">
        <w:rPr>
          <w:rFonts w:cs="Arial"/>
          <w:sz w:val="24"/>
        </w:rPr>
        <w:t xml:space="preserve">, el cual quedó </w:t>
      </w:r>
      <w:r w:rsidR="004A5565" w:rsidRPr="00991CED">
        <w:rPr>
          <w:rFonts w:cs="Arial"/>
          <w:sz w:val="24"/>
        </w:rPr>
        <w:t>radicado en e</w:t>
      </w:r>
      <w:r w:rsidR="00340664" w:rsidRPr="00991CED">
        <w:rPr>
          <w:rFonts w:cs="Arial"/>
          <w:sz w:val="24"/>
        </w:rPr>
        <w:t>l</w:t>
      </w:r>
      <w:r w:rsidR="004A5565" w:rsidRPr="00991CED">
        <w:rPr>
          <w:rFonts w:cs="Arial"/>
          <w:sz w:val="24"/>
        </w:rPr>
        <w:t xml:space="preserve"> expediente TE-JE-003/2020</w:t>
      </w:r>
      <w:r w:rsidR="00C31D30" w:rsidRPr="00991CED">
        <w:rPr>
          <w:sz w:val="24"/>
          <w:szCs w:val="24"/>
        </w:rPr>
        <w:t>.</w:t>
      </w:r>
    </w:p>
    <w:p w:rsidR="00662D93" w:rsidRPr="00991CED" w:rsidRDefault="00402307" w:rsidP="00662D93">
      <w:pPr>
        <w:spacing w:before="100" w:beforeAutospacing="1" w:after="100" w:afterAutospacing="1" w:line="360" w:lineRule="auto"/>
        <w:jc w:val="both"/>
        <w:rPr>
          <w:rFonts w:cs="Arial"/>
          <w:sz w:val="24"/>
          <w:szCs w:val="24"/>
        </w:rPr>
      </w:pPr>
      <w:r w:rsidRPr="00991CED">
        <w:rPr>
          <w:rFonts w:cs="Arial"/>
          <w:b/>
          <w:sz w:val="24"/>
          <w:szCs w:val="24"/>
        </w:rPr>
        <w:t>2.2.</w:t>
      </w:r>
      <w:r w:rsidR="00662D93" w:rsidRPr="00991CED">
        <w:rPr>
          <w:rFonts w:cs="Arial"/>
          <w:b/>
          <w:sz w:val="24"/>
          <w:szCs w:val="24"/>
        </w:rPr>
        <w:t xml:space="preserve"> </w:t>
      </w:r>
      <w:r w:rsidRPr="00991CED">
        <w:rPr>
          <w:rFonts w:cs="Arial"/>
          <w:b/>
          <w:sz w:val="24"/>
          <w:lang w:val="es-ES_tradnl"/>
        </w:rPr>
        <w:t xml:space="preserve">Sentencia </w:t>
      </w:r>
      <w:r w:rsidR="00662D93" w:rsidRPr="00991CED">
        <w:rPr>
          <w:rFonts w:cs="Arial"/>
          <w:b/>
          <w:sz w:val="24"/>
          <w:lang w:val="es-ES_tradnl"/>
        </w:rPr>
        <w:t>imp</w:t>
      </w:r>
      <w:r w:rsidR="00AC4DCF" w:rsidRPr="00991CED">
        <w:rPr>
          <w:rFonts w:cs="Arial"/>
          <w:b/>
          <w:sz w:val="24"/>
          <w:lang w:val="es-ES_tradnl"/>
        </w:rPr>
        <w:t>ugnada</w:t>
      </w:r>
      <w:r w:rsidR="00662D93" w:rsidRPr="00991CED">
        <w:rPr>
          <w:rFonts w:cs="Arial"/>
          <w:b/>
          <w:sz w:val="24"/>
          <w:lang w:val="es-ES_tradnl"/>
        </w:rPr>
        <w:t xml:space="preserve">. </w:t>
      </w:r>
      <w:r w:rsidR="00662D93" w:rsidRPr="00991CED">
        <w:rPr>
          <w:rFonts w:cs="Arial"/>
          <w:sz w:val="24"/>
          <w:lang w:val="es-ES_tradnl"/>
        </w:rPr>
        <w:t xml:space="preserve">El </w:t>
      </w:r>
      <w:r w:rsidR="00AC4DCF" w:rsidRPr="00991CED">
        <w:rPr>
          <w:rFonts w:cs="Arial"/>
          <w:sz w:val="24"/>
          <w:lang w:val="es-ES_tradnl"/>
        </w:rPr>
        <w:t>treinta y uno de marzo</w:t>
      </w:r>
      <w:r w:rsidR="00662D93" w:rsidRPr="00991CED">
        <w:rPr>
          <w:rFonts w:cs="Arial"/>
          <w:sz w:val="24"/>
          <w:lang w:val="es-ES_tradnl"/>
        </w:rPr>
        <w:t xml:space="preserve">, </w:t>
      </w:r>
      <w:r w:rsidR="00AC4DCF" w:rsidRPr="00991CED">
        <w:rPr>
          <w:rFonts w:cs="Arial"/>
          <w:sz w:val="24"/>
          <w:lang w:val="es-ES_tradnl"/>
        </w:rPr>
        <w:t xml:space="preserve">el Tribunal local </w:t>
      </w:r>
      <w:r w:rsidR="00C257A8" w:rsidRPr="00991CED">
        <w:rPr>
          <w:rFonts w:cs="Arial"/>
          <w:sz w:val="24"/>
          <w:lang w:val="es-ES_tradnl"/>
        </w:rPr>
        <w:t xml:space="preserve">emitió sentencia en la que </w:t>
      </w:r>
      <w:r w:rsidR="00AC4DCF" w:rsidRPr="00991CED">
        <w:rPr>
          <w:rFonts w:cs="Arial"/>
          <w:sz w:val="24"/>
          <w:lang w:val="es-ES_tradnl"/>
        </w:rPr>
        <w:t>confirm</w:t>
      </w:r>
      <w:r w:rsidR="00C257A8" w:rsidRPr="00991CED">
        <w:rPr>
          <w:rFonts w:cs="Arial"/>
          <w:sz w:val="24"/>
          <w:lang w:val="es-ES_tradnl"/>
        </w:rPr>
        <w:t xml:space="preserve">ó </w:t>
      </w:r>
      <w:r w:rsidR="00AC4DCF" w:rsidRPr="00991CED">
        <w:rPr>
          <w:rFonts w:cs="Arial"/>
          <w:sz w:val="24"/>
          <w:lang w:val="es-ES_tradnl"/>
        </w:rPr>
        <w:t>el acuerdo controvertido</w:t>
      </w:r>
      <w:r w:rsidR="00662D93" w:rsidRPr="00991CED">
        <w:rPr>
          <w:rFonts w:cs="Arial"/>
          <w:sz w:val="24"/>
          <w:szCs w:val="24"/>
        </w:rPr>
        <w:t>.</w:t>
      </w:r>
    </w:p>
    <w:bookmarkEnd w:id="5"/>
    <w:bookmarkEnd w:id="6"/>
    <w:p w:rsidR="00402307" w:rsidRPr="00991CED" w:rsidRDefault="00402307" w:rsidP="00C31D30">
      <w:pPr>
        <w:spacing w:before="100" w:beforeAutospacing="1" w:after="100" w:afterAutospacing="1" w:line="360" w:lineRule="auto"/>
        <w:jc w:val="both"/>
        <w:rPr>
          <w:rFonts w:cs="Arial"/>
          <w:b/>
          <w:sz w:val="24"/>
          <w:lang w:val="es-ES_tradnl"/>
        </w:rPr>
      </w:pPr>
      <w:r w:rsidRPr="00991CED">
        <w:rPr>
          <w:rFonts w:cs="Arial"/>
          <w:b/>
          <w:sz w:val="24"/>
          <w:szCs w:val="24"/>
        </w:rPr>
        <w:t>3</w:t>
      </w:r>
      <w:r w:rsidR="00C31D30" w:rsidRPr="00991CED">
        <w:rPr>
          <w:rFonts w:cs="Arial"/>
          <w:b/>
          <w:sz w:val="24"/>
          <w:szCs w:val="24"/>
        </w:rPr>
        <w:t xml:space="preserve">. </w:t>
      </w:r>
      <w:r w:rsidR="00662D93" w:rsidRPr="00991CED">
        <w:rPr>
          <w:rFonts w:cs="Arial"/>
          <w:b/>
          <w:sz w:val="24"/>
          <w:lang w:val="es-ES_tradnl"/>
        </w:rPr>
        <w:t>Juicio federal</w:t>
      </w:r>
      <w:r w:rsidR="00846C33" w:rsidRPr="00991CED">
        <w:rPr>
          <w:rFonts w:cs="Arial"/>
          <w:b/>
          <w:sz w:val="24"/>
          <w:lang w:val="es-ES_tradnl"/>
        </w:rPr>
        <w:t>.</w:t>
      </w:r>
    </w:p>
    <w:p w:rsidR="00C31D30" w:rsidRPr="00991CED" w:rsidRDefault="00402307" w:rsidP="00C31D30">
      <w:pPr>
        <w:spacing w:before="100" w:beforeAutospacing="1" w:after="100" w:afterAutospacing="1" w:line="360" w:lineRule="auto"/>
        <w:jc w:val="both"/>
        <w:rPr>
          <w:rFonts w:cs="Arial"/>
          <w:sz w:val="24"/>
          <w:szCs w:val="24"/>
        </w:rPr>
      </w:pPr>
      <w:r w:rsidRPr="00991CED">
        <w:rPr>
          <w:rFonts w:cs="Arial"/>
          <w:b/>
          <w:sz w:val="24"/>
          <w:lang w:val="es-ES_tradnl"/>
        </w:rPr>
        <w:t>3.1. Demanda.</w:t>
      </w:r>
      <w:r w:rsidR="00846C33" w:rsidRPr="00991CED">
        <w:rPr>
          <w:rFonts w:cs="Arial"/>
          <w:b/>
          <w:sz w:val="24"/>
          <w:lang w:val="es-ES_tradnl"/>
        </w:rPr>
        <w:t xml:space="preserve"> </w:t>
      </w:r>
      <w:r w:rsidR="00846C33" w:rsidRPr="00991CED">
        <w:rPr>
          <w:rFonts w:cs="Arial"/>
          <w:sz w:val="24"/>
          <w:lang w:val="es-ES_tradnl"/>
        </w:rPr>
        <w:t xml:space="preserve">El </w:t>
      </w:r>
      <w:r w:rsidR="00AC4DCF" w:rsidRPr="00991CED">
        <w:rPr>
          <w:rFonts w:cs="Arial"/>
          <w:sz w:val="24"/>
          <w:lang w:val="es-ES_tradnl"/>
        </w:rPr>
        <w:t xml:space="preserve">trece de abril, el </w:t>
      </w:r>
      <w:r w:rsidR="00BC58C0" w:rsidRPr="00991CED">
        <w:rPr>
          <w:rFonts w:cs="Arial"/>
          <w:sz w:val="24"/>
        </w:rPr>
        <w:t xml:space="preserve">actor impugnó </w:t>
      </w:r>
      <w:r w:rsidR="00C257A8" w:rsidRPr="00991CED">
        <w:rPr>
          <w:rFonts w:cs="Arial"/>
          <w:sz w:val="24"/>
          <w:lang w:val="es-ES_tradnl"/>
        </w:rPr>
        <w:t xml:space="preserve">la sentencia del Tribunal local. La demanda </w:t>
      </w:r>
      <w:r w:rsidR="00AC4DCF" w:rsidRPr="00991CED">
        <w:rPr>
          <w:rFonts w:cs="Arial"/>
          <w:sz w:val="24"/>
          <w:lang w:val="es-ES_tradnl"/>
        </w:rPr>
        <w:t>fue remitida</w:t>
      </w:r>
      <w:r w:rsidR="00C257A8" w:rsidRPr="00991CED">
        <w:rPr>
          <w:rFonts w:cs="Arial"/>
          <w:sz w:val="24"/>
          <w:lang w:val="es-ES_tradnl"/>
        </w:rPr>
        <w:t xml:space="preserve"> a</w:t>
      </w:r>
      <w:r w:rsidR="00AC4DCF" w:rsidRPr="00991CED">
        <w:rPr>
          <w:rFonts w:cs="Arial"/>
          <w:sz w:val="24"/>
          <w:lang w:val="es-ES_tradnl"/>
        </w:rPr>
        <w:t xml:space="preserve"> la Sala Guadalajara</w:t>
      </w:r>
      <w:r w:rsidR="00C31D30" w:rsidRPr="00991CED">
        <w:rPr>
          <w:rFonts w:cs="Arial"/>
          <w:sz w:val="24"/>
          <w:szCs w:val="24"/>
        </w:rPr>
        <w:t>.</w:t>
      </w:r>
    </w:p>
    <w:p w:rsidR="002D272F" w:rsidRPr="00991CED" w:rsidRDefault="00402307" w:rsidP="002D272F">
      <w:pPr>
        <w:spacing w:before="100" w:beforeAutospacing="1" w:after="100" w:afterAutospacing="1" w:line="360" w:lineRule="auto"/>
        <w:jc w:val="both"/>
        <w:rPr>
          <w:rFonts w:cs="Arial"/>
          <w:sz w:val="24"/>
          <w:szCs w:val="24"/>
        </w:rPr>
      </w:pPr>
      <w:r w:rsidRPr="00991CED">
        <w:rPr>
          <w:rFonts w:cs="Arial"/>
          <w:b/>
          <w:sz w:val="24"/>
          <w:szCs w:val="24"/>
        </w:rPr>
        <w:t>3.2.</w:t>
      </w:r>
      <w:r w:rsidR="002D272F" w:rsidRPr="00991CED">
        <w:rPr>
          <w:rFonts w:cs="Arial"/>
          <w:b/>
          <w:sz w:val="24"/>
          <w:szCs w:val="24"/>
        </w:rPr>
        <w:t xml:space="preserve"> </w:t>
      </w:r>
      <w:r w:rsidR="00AC4DCF" w:rsidRPr="00991CED">
        <w:rPr>
          <w:rFonts w:cs="Arial"/>
          <w:b/>
          <w:sz w:val="24"/>
          <w:lang w:val="es-ES"/>
        </w:rPr>
        <w:t>Consulta competencial</w:t>
      </w:r>
      <w:r w:rsidR="00846C33" w:rsidRPr="00991CED">
        <w:rPr>
          <w:rFonts w:cs="Arial"/>
          <w:b/>
          <w:sz w:val="24"/>
          <w:lang w:val="es-ES"/>
        </w:rPr>
        <w:t xml:space="preserve">. </w:t>
      </w:r>
      <w:r w:rsidR="00846C33" w:rsidRPr="00991CED">
        <w:rPr>
          <w:rFonts w:cs="Arial"/>
          <w:sz w:val="24"/>
          <w:lang w:val="es-ES"/>
        </w:rPr>
        <w:t xml:space="preserve">El </w:t>
      </w:r>
      <w:r w:rsidR="00AC4DCF" w:rsidRPr="00991CED">
        <w:rPr>
          <w:rFonts w:cs="Arial"/>
          <w:sz w:val="24"/>
          <w:lang w:val="es-ES"/>
        </w:rPr>
        <w:t xml:space="preserve">quince </w:t>
      </w:r>
      <w:r w:rsidR="00F70333" w:rsidRPr="00991CED">
        <w:rPr>
          <w:rFonts w:cs="Arial"/>
          <w:sz w:val="24"/>
          <w:lang w:val="es-ES"/>
        </w:rPr>
        <w:t xml:space="preserve">de </w:t>
      </w:r>
      <w:r w:rsidR="00AC4DCF" w:rsidRPr="00991CED">
        <w:rPr>
          <w:rFonts w:cs="Arial"/>
          <w:sz w:val="24"/>
          <w:lang w:val="es-ES"/>
        </w:rPr>
        <w:t>abril</w:t>
      </w:r>
      <w:r w:rsidR="00846C33" w:rsidRPr="00991CED">
        <w:rPr>
          <w:rFonts w:cs="Arial"/>
          <w:sz w:val="24"/>
          <w:lang w:val="es-ES"/>
        </w:rPr>
        <w:t xml:space="preserve">, </w:t>
      </w:r>
      <w:r w:rsidR="00AC4DCF" w:rsidRPr="00991CED">
        <w:rPr>
          <w:rFonts w:cs="Arial"/>
          <w:sz w:val="24"/>
          <w:lang w:val="es-ES"/>
        </w:rPr>
        <w:t>el magistrado presidente de la Sala Guadalajara ac</w:t>
      </w:r>
      <w:r w:rsidR="00BC58C0" w:rsidRPr="00991CED">
        <w:rPr>
          <w:rFonts w:cs="Arial"/>
          <w:sz w:val="24"/>
          <w:lang w:val="es-ES"/>
        </w:rPr>
        <w:t xml:space="preserve">ordó </w:t>
      </w:r>
      <w:r w:rsidR="00C257A8" w:rsidRPr="00991CED">
        <w:rPr>
          <w:rFonts w:cs="Arial"/>
          <w:sz w:val="24"/>
          <w:lang w:val="es-ES"/>
        </w:rPr>
        <w:t>somete</w:t>
      </w:r>
      <w:r w:rsidR="00BC58C0" w:rsidRPr="00991CED">
        <w:rPr>
          <w:rFonts w:cs="Arial"/>
          <w:sz w:val="24"/>
          <w:lang w:val="es-ES"/>
        </w:rPr>
        <w:t>r</w:t>
      </w:r>
      <w:r w:rsidR="00C257A8" w:rsidRPr="00991CED">
        <w:rPr>
          <w:rFonts w:cs="Arial"/>
          <w:sz w:val="24"/>
          <w:lang w:val="es-ES"/>
        </w:rPr>
        <w:t xml:space="preserve"> a consideración de esta </w:t>
      </w:r>
      <w:r w:rsidR="00AC4DCF" w:rsidRPr="00991CED">
        <w:rPr>
          <w:rFonts w:cs="Arial"/>
          <w:sz w:val="24"/>
          <w:lang w:val="es-ES"/>
        </w:rPr>
        <w:t xml:space="preserve">Sala Superior </w:t>
      </w:r>
      <w:r w:rsidR="00C257A8" w:rsidRPr="00991CED">
        <w:rPr>
          <w:rFonts w:cs="Arial"/>
          <w:sz w:val="24"/>
          <w:lang w:val="es-ES"/>
        </w:rPr>
        <w:t xml:space="preserve">la competencia para </w:t>
      </w:r>
      <w:r w:rsidR="00AC4DCF" w:rsidRPr="00991CED">
        <w:rPr>
          <w:rFonts w:cs="Arial"/>
          <w:sz w:val="24"/>
          <w:lang w:val="es-ES"/>
        </w:rPr>
        <w:t>conocer y resolver el presente asunto</w:t>
      </w:r>
      <w:r w:rsidR="002D272F" w:rsidRPr="00991CED">
        <w:rPr>
          <w:rFonts w:cs="Arial"/>
          <w:sz w:val="24"/>
          <w:szCs w:val="24"/>
        </w:rPr>
        <w:t>.</w:t>
      </w:r>
    </w:p>
    <w:p w:rsidR="00AC329F" w:rsidRPr="00991CED" w:rsidRDefault="00402307" w:rsidP="002D272F">
      <w:pPr>
        <w:spacing w:before="100" w:beforeAutospacing="1" w:after="100" w:afterAutospacing="1" w:line="360" w:lineRule="auto"/>
        <w:jc w:val="both"/>
        <w:rPr>
          <w:rFonts w:cs="Arial"/>
          <w:b/>
          <w:sz w:val="24"/>
          <w:szCs w:val="24"/>
        </w:rPr>
      </w:pPr>
      <w:r w:rsidRPr="00991CED">
        <w:rPr>
          <w:rFonts w:cs="Arial"/>
          <w:b/>
          <w:sz w:val="24"/>
        </w:rPr>
        <w:t>3.3.</w:t>
      </w:r>
      <w:r w:rsidR="00AC329F" w:rsidRPr="00991CED">
        <w:rPr>
          <w:rFonts w:cs="Arial"/>
          <w:b/>
          <w:sz w:val="24"/>
        </w:rPr>
        <w:t xml:space="preserve"> </w:t>
      </w:r>
      <w:r w:rsidR="00AC329F" w:rsidRPr="00991CED">
        <w:rPr>
          <w:rFonts w:cs="Arial"/>
          <w:b/>
          <w:sz w:val="24"/>
          <w:lang w:val="es-ES"/>
        </w:rPr>
        <w:t xml:space="preserve">Recepción. </w:t>
      </w:r>
      <w:r w:rsidR="00AC329F" w:rsidRPr="00991CED">
        <w:rPr>
          <w:rFonts w:cs="Arial"/>
          <w:sz w:val="24"/>
          <w:lang w:val="es-ES"/>
        </w:rPr>
        <w:t xml:space="preserve">El veinte de abril, se recibió en la Oficialía de Partes de esta Sala Superior el </w:t>
      </w:r>
      <w:r w:rsidR="00BC58C0" w:rsidRPr="00991CED">
        <w:rPr>
          <w:rFonts w:cs="Arial"/>
          <w:sz w:val="24"/>
          <w:lang w:val="es-ES"/>
        </w:rPr>
        <w:t>expediente del juicio en que se actúa</w:t>
      </w:r>
      <w:r w:rsidR="00AC329F" w:rsidRPr="00991CED">
        <w:rPr>
          <w:rFonts w:cs="Arial"/>
          <w:sz w:val="24"/>
          <w:lang w:val="es-ES"/>
        </w:rPr>
        <w:t>.</w:t>
      </w:r>
    </w:p>
    <w:p w:rsidR="00C31D30" w:rsidRPr="00991CED" w:rsidRDefault="00402307" w:rsidP="00C31D30">
      <w:pPr>
        <w:spacing w:before="100" w:beforeAutospacing="1" w:after="100" w:afterAutospacing="1" w:line="360" w:lineRule="auto"/>
        <w:jc w:val="both"/>
        <w:rPr>
          <w:rFonts w:cs="Arial"/>
          <w:sz w:val="24"/>
          <w:szCs w:val="24"/>
        </w:rPr>
      </w:pPr>
      <w:r w:rsidRPr="00991CED">
        <w:rPr>
          <w:rFonts w:cs="Arial"/>
          <w:b/>
          <w:sz w:val="24"/>
          <w:szCs w:val="24"/>
        </w:rPr>
        <w:t>3.4</w:t>
      </w:r>
      <w:r w:rsidR="00C31D30" w:rsidRPr="00991CED">
        <w:rPr>
          <w:rFonts w:cs="Arial"/>
          <w:b/>
          <w:sz w:val="24"/>
          <w:szCs w:val="24"/>
        </w:rPr>
        <w:t xml:space="preserve">. </w:t>
      </w:r>
      <w:r w:rsidR="00846C33" w:rsidRPr="00991CED">
        <w:rPr>
          <w:rFonts w:cs="Arial"/>
          <w:b/>
          <w:sz w:val="24"/>
        </w:rPr>
        <w:t>Turno.</w:t>
      </w:r>
      <w:r w:rsidR="00846C33" w:rsidRPr="00991CED">
        <w:rPr>
          <w:rFonts w:cs="Arial"/>
          <w:sz w:val="24"/>
        </w:rPr>
        <w:t xml:space="preserve"> En su </w:t>
      </w:r>
      <w:r w:rsidR="00C257A8" w:rsidRPr="00991CED">
        <w:rPr>
          <w:rFonts w:cs="Arial"/>
          <w:sz w:val="24"/>
        </w:rPr>
        <w:t>oportunidad</w:t>
      </w:r>
      <w:r w:rsidR="00846C33" w:rsidRPr="00991CED">
        <w:rPr>
          <w:rFonts w:cs="Arial"/>
          <w:sz w:val="24"/>
        </w:rPr>
        <w:t xml:space="preserve">, la presidencia de esta Sala Superior acordó integrar el expediente </w:t>
      </w:r>
      <w:r w:rsidR="00846C33" w:rsidRPr="00991CED">
        <w:rPr>
          <w:rFonts w:cs="Arial"/>
          <w:b/>
          <w:sz w:val="24"/>
        </w:rPr>
        <w:t>SUP-J</w:t>
      </w:r>
      <w:r w:rsidR="006F1EE7" w:rsidRPr="00991CED">
        <w:rPr>
          <w:rFonts w:cs="Arial"/>
          <w:b/>
          <w:sz w:val="24"/>
        </w:rPr>
        <w:t>R</w:t>
      </w:r>
      <w:r w:rsidR="00846C33" w:rsidRPr="00991CED">
        <w:rPr>
          <w:rFonts w:cs="Arial"/>
          <w:b/>
          <w:sz w:val="24"/>
        </w:rPr>
        <w:t>C-</w:t>
      </w:r>
      <w:r w:rsidR="00AC329F" w:rsidRPr="00991CED">
        <w:rPr>
          <w:rFonts w:cs="Arial"/>
          <w:b/>
          <w:sz w:val="24"/>
        </w:rPr>
        <w:t>6</w:t>
      </w:r>
      <w:r w:rsidR="00846C33" w:rsidRPr="00991CED">
        <w:rPr>
          <w:rFonts w:cs="Arial"/>
          <w:b/>
          <w:sz w:val="24"/>
        </w:rPr>
        <w:t xml:space="preserve">/2020 </w:t>
      </w:r>
      <w:r w:rsidR="00846C33" w:rsidRPr="00991CED">
        <w:rPr>
          <w:rFonts w:cs="Arial"/>
          <w:sz w:val="24"/>
        </w:rPr>
        <w:t>y turnarlo a la Ponencia del Magistrado Felipe de la Mata Pizaña</w:t>
      </w:r>
      <w:r w:rsidR="00C31D30" w:rsidRPr="00991CED">
        <w:rPr>
          <w:rFonts w:cs="Arial"/>
          <w:sz w:val="24"/>
          <w:szCs w:val="24"/>
        </w:rPr>
        <w:t>.</w:t>
      </w:r>
    </w:p>
    <w:p w:rsidR="00402307" w:rsidRPr="00991CED" w:rsidRDefault="00402307" w:rsidP="00402307">
      <w:pPr>
        <w:spacing w:before="100" w:beforeAutospacing="1" w:after="100" w:afterAutospacing="1" w:line="360" w:lineRule="auto"/>
        <w:jc w:val="both"/>
        <w:rPr>
          <w:rFonts w:cs="Arial"/>
          <w:b/>
          <w:sz w:val="24"/>
          <w:szCs w:val="24"/>
        </w:rPr>
      </w:pPr>
      <w:r w:rsidRPr="00991CED">
        <w:rPr>
          <w:rFonts w:cs="Arial"/>
          <w:b/>
          <w:sz w:val="24"/>
          <w:szCs w:val="24"/>
        </w:rPr>
        <w:t xml:space="preserve">3.5. </w:t>
      </w:r>
      <w:r w:rsidRPr="00991CED">
        <w:rPr>
          <w:rFonts w:cs="Arial"/>
          <w:b/>
          <w:sz w:val="24"/>
        </w:rPr>
        <w:t>Acuerdo de competencia.</w:t>
      </w:r>
      <w:r w:rsidRPr="00991CED">
        <w:rPr>
          <w:rFonts w:cs="Arial"/>
          <w:sz w:val="24"/>
        </w:rPr>
        <w:t xml:space="preserve"> En su </w:t>
      </w:r>
      <w:r w:rsidR="002F32E6" w:rsidRPr="00991CED">
        <w:rPr>
          <w:rFonts w:cs="Arial"/>
          <w:sz w:val="24"/>
        </w:rPr>
        <w:t>momento</w:t>
      </w:r>
      <w:r w:rsidRPr="00991CED">
        <w:rPr>
          <w:rFonts w:cs="Arial"/>
          <w:sz w:val="24"/>
        </w:rPr>
        <w:t>, la Sala Superior asumió competencia para conocer del presente medio de impugnación.</w:t>
      </w:r>
    </w:p>
    <w:p w:rsidR="00402307" w:rsidRPr="00991CED" w:rsidRDefault="00402307" w:rsidP="00402307">
      <w:pPr>
        <w:spacing w:before="100" w:beforeAutospacing="1" w:after="100" w:afterAutospacing="1" w:line="360" w:lineRule="auto"/>
        <w:jc w:val="both"/>
        <w:rPr>
          <w:rFonts w:cs="Arial"/>
          <w:b/>
          <w:sz w:val="24"/>
          <w:szCs w:val="24"/>
        </w:rPr>
      </w:pPr>
      <w:r w:rsidRPr="00991CED">
        <w:rPr>
          <w:rFonts w:cs="Arial"/>
          <w:b/>
          <w:sz w:val="24"/>
          <w:szCs w:val="24"/>
        </w:rPr>
        <w:t xml:space="preserve">3.6. </w:t>
      </w:r>
      <w:r w:rsidRPr="00991CED">
        <w:rPr>
          <w:rFonts w:cs="Arial"/>
          <w:b/>
          <w:sz w:val="24"/>
        </w:rPr>
        <w:t>Admisión y cierre.</w:t>
      </w:r>
      <w:r w:rsidRPr="00991CED">
        <w:rPr>
          <w:rFonts w:cs="Arial"/>
          <w:sz w:val="24"/>
        </w:rPr>
        <w:t xml:space="preserve"> El Magistrado Instructor en su oportunidad admitió a trámite </w:t>
      </w:r>
      <w:r w:rsidR="00BC58C0" w:rsidRPr="00991CED">
        <w:rPr>
          <w:rFonts w:cs="Arial"/>
          <w:sz w:val="24"/>
        </w:rPr>
        <w:t>la demanda</w:t>
      </w:r>
      <w:r w:rsidRPr="00991CED">
        <w:rPr>
          <w:rFonts w:cs="Arial"/>
          <w:sz w:val="24"/>
        </w:rPr>
        <w:t>, cerr</w:t>
      </w:r>
      <w:r w:rsidR="006F5885" w:rsidRPr="00991CED">
        <w:rPr>
          <w:rFonts w:cs="Arial"/>
          <w:sz w:val="24"/>
        </w:rPr>
        <w:t>ó</w:t>
      </w:r>
      <w:r w:rsidRPr="00991CED">
        <w:rPr>
          <w:rFonts w:cs="Arial"/>
          <w:sz w:val="24"/>
        </w:rPr>
        <w:t xml:space="preserve"> instrucción y ordenó elaborar el proyecto de sentencia correspondiente</w:t>
      </w:r>
      <w:r w:rsidRPr="00991CED">
        <w:rPr>
          <w:rFonts w:cs="Arial"/>
          <w:sz w:val="24"/>
          <w:szCs w:val="24"/>
        </w:rPr>
        <w:t>.</w:t>
      </w:r>
    </w:p>
    <w:p w:rsidR="00B11438" w:rsidRPr="00991CED" w:rsidRDefault="00B11438" w:rsidP="00910A18">
      <w:pPr>
        <w:pStyle w:val="Ttulo1"/>
        <w:spacing w:before="100" w:beforeAutospacing="1" w:after="100" w:afterAutospacing="1" w:line="360" w:lineRule="auto"/>
        <w:jc w:val="center"/>
        <w:rPr>
          <w:rFonts w:ascii="Arial" w:eastAsia="Times New Roman" w:hAnsi="Arial" w:cs="Arial"/>
          <w:b/>
          <w:color w:val="auto"/>
          <w:sz w:val="24"/>
          <w:szCs w:val="24"/>
          <w:lang w:eastAsia="es-MX"/>
        </w:rPr>
      </w:pPr>
      <w:bookmarkStart w:id="7" w:name="_Toc496171374"/>
      <w:bookmarkStart w:id="8" w:name="_Toc45271796"/>
      <w:r w:rsidRPr="00991CED">
        <w:rPr>
          <w:rFonts w:ascii="Arial" w:eastAsia="Times New Roman" w:hAnsi="Arial" w:cs="Arial"/>
          <w:b/>
          <w:color w:val="auto"/>
          <w:sz w:val="24"/>
          <w:szCs w:val="24"/>
          <w:lang w:eastAsia="es-MX"/>
        </w:rPr>
        <w:t xml:space="preserve">II. </w:t>
      </w:r>
      <w:bookmarkEnd w:id="7"/>
      <w:r w:rsidR="00F27C72" w:rsidRPr="00991CED">
        <w:rPr>
          <w:rFonts w:ascii="Arial" w:eastAsia="Times New Roman" w:hAnsi="Arial" w:cs="Arial"/>
          <w:b/>
          <w:color w:val="auto"/>
          <w:sz w:val="24"/>
          <w:szCs w:val="24"/>
          <w:lang w:eastAsia="es-MX"/>
        </w:rPr>
        <w:t>CO</w:t>
      </w:r>
      <w:r w:rsidR="00402307" w:rsidRPr="00991CED">
        <w:rPr>
          <w:rFonts w:ascii="Arial" w:eastAsia="Times New Roman" w:hAnsi="Arial" w:cs="Arial"/>
          <w:b/>
          <w:color w:val="auto"/>
          <w:sz w:val="24"/>
          <w:szCs w:val="24"/>
          <w:lang w:eastAsia="es-MX"/>
        </w:rPr>
        <w:t>MPETENCIA</w:t>
      </w:r>
      <w:r w:rsidR="00A37CF3" w:rsidRPr="00991CED">
        <w:rPr>
          <w:rFonts w:ascii="Arial" w:eastAsia="Times New Roman" w:hAnsi="Arial" w:cs="Arial"/>
          <w:b/>
          <w:color w:val="auto"/>
          <w:sz w:val="24"/>
          <w:szCs w:val="24"/>
          <w:lang w:eastAsia="es-MX"/>
        </w:rPr>
        <w:t>.</w:t>
      </w:r>
      <w:bookmarkEnd w:id="8"/>
    </w:p>
    <w:p w:rsidR="0068289D" w:rsidRPr="00991CED" w:rsidRDefault="0068289D" w:rsidP="0068289D">
      <w:pPr>
        <w:spacing w:before="100" w:beforeAutospacing="1" w:after="100" w:afterAutospacing="1" w:line="360" w:lineRule="auto"/>
        <w:mirrorIndents/>
        <w:jc w:val="both"/>
        <w:rPr>
          <w:rFonts w:cs="Arial"/>
          <w:sz w:val="24"/>
        </w:rPr>
      </w:pPr>
      <w:bookmarkStart w:id="9" w:name="_Toc496171375"/>
      <w:r w:rsidRPr="00991CED">
        <w:rPr>
          <w:rFonts w:cs="Arial"/>
          <w:sz w:val="24"/>
        </w:rPr>
        <w:t xml:space="preserve">Esta Sala Superior es competente para resolver </w:t>
      </w:r>
      <w:r w:rsidR="00BC58C0" w:rsidRPr="00991CED">
        <w:rPr>
          <w:rFonts w:cs="Arial"/>
          <w:sz w:val="24"/>
        </w:rPr>
        <w:t xml:space="preserve">este </w:t>
      </w:r>
      <w:r w:rsidRPr="00991CED">
        <w:rPr>
          <w:rFonts w:cs="Arial"/>
          <w:sz w:val="24"/>
        </w:rPr>
        <w:t xml:space="preserve">juicio de revisión constitucional electoral, toda vez que la materia de controversia está relacionada con </w:t>
      </w:r>
      <w:r w:rsidR="00BC58C0" w:rsidRPr="00991CED">
        <w:rPr>
          <w:rFonts w:cs="Arial"/>
          <w:sz w:val="24"/>
        </w:rPr>
        <w:t xml:space="preserve">un </w:t>
      </w:r>
      <w:r w:rsidRPr="00991CED">
        <w:rPr>
          <w:rFonts w:cs="Arial"/>
          <w:sz w:val="24"/>
        </w:rPr>
        <w:t xml:space="preserve">acuerdo emitido por </w:t>
      </w:r>
      <w:r w:rsidR="00BC58C0" w:rsidRPr="00991CED">
        <w:rPr>
          <w:rFonts w:cs="Arial"/>
          <w:sz w:val="24"/>
        </w:rPr>
        <w:t>un instituto electoral local</w:t>
      </w:r>
      <w:r w:rsidRPr="00991CED">
        <w:rPr>
          <w:rFonts w:cs="Arial"/>
          <w:sz w:val="24"/>
        </w:rPr>
        <w:t xml:space="preserve">, </w:t>
      </w:r>
      <w:r w:rsidR="00BC58C0" w:rsidRPr="00991CED">
        <w:rPr>
          <w:rFonts w:cs="Arial"/>
          <w:sz w:val="24"/>
        </w:rPr>
        <w:t xml:space="preserve">vinculado con la </w:t>
      </w:r>
      <w:r w:rsidRPr="00991CED">
        <w:rPr>
          <w:rFonts w:cs="Arial"/>
          <w:sz w:val="24"/>
        </w:rPr>
        <w:t>modificaci</w:t>
      </w:r>
      <w:r w:rsidR="00BC58C0" w:rsidRPr="00991CED">
        <w:rPr>
          <w:rFonts w:cs="Arial"/>
          <w:sz w:val="24"/>
        </w:rPr>
        <w:t>ón a un r</w:t>
      </w:r>
      <w:r w:rsidRPr="00991CED">
        <w:rPr>
          <w:rFonts w:cs="Arial"/>
          <w:sz w:val="24"/>
        </w:rPr>
        <w:t xml:space="preserve">eglamento </w:t>
      </w:r>
      <w:r w:rsidR="00BC58C0" w:rsidRPr="00991CED">
        <w:rPr>
          <w:rFonts w:cs="Arial"/>
          <w:sz w:val="24"/>
        </w:rPr>
        <w:t>general</w:t>
      </w:r>
      <w:r w:rsidRPr="00991CED">
        <w:rPr>
          <w:rFonts w:cs="Arial"/>
          <w:sz w:val="24"/>
          <w:vertAlign w:val="superscript"/>
        </w:rPr>
        <w:footnoteReference w:id="3"/>
      </w:r>
      <w:r w:rsidRPr="00991CED">
        <w:rPr>
          <w:rFonts w:cs="Arial"/>
          <w:sz w:val="24"/>
        </w:rPr>
        <w:t>.</w:t>
      </w:r>
    </w:p>
    <w:p w:rsidR="0068289D" w:rsidRPr="00991CED" w:rsidRDefault="0068289D" w:rsidP="0068289D">
      <w:pPr>
        <w:spacing w:before="100" w:beforeAutospacing="1" w:after="100" w:afterAutospacing="1" w:line="360" w:lineRule="auto"/>
        <w:mirrorIndents/>
        <w:jc w:val="both"/>
        <w:rPr>
          <w:rFonts w:cs="Arial"/>
          <w:sz w:val="24"/>
        </w:rPr>
      </w:pPr>
      <w:r w:rsidRPr="00991CED">
        <w:rPr>
          <w:rFonts w:cs="Arial"/>
          <w:sz w:val="24"/>
        </w:rPr>
        <w:t>Lo anterior, de conformidad con el acuerdo plenario emitido por esta Sala Superior en el presente expediente, en el cual se asumió competencia para conocer el presente asunto.</w:t>
      </w:r>
    </w:p>
    <w:p w:rsidR="000F1CA6" w:rsidRPr="00E528DE" w:rsidRDefault="00295C43" w:rsidP="00A1622A">
      <w:pPr>
        <w:pStyle w:val="Ttulo1"/>
        <w:spacing w:before="100" w:beforeAutospacing="1" w:after="100" w:afterAutospacing="1" w:line="348" w:lineRule="auto"/>
        <w:jc w:val="center"/>
        <w:rPr>
          <w:rFonts w:ascii="Arial" w:eastAsia="Times New Roman" w:hAnsi="Arial" w:cs="Arial"/>
          <w:b/>
          <w:color w:val="auto"/>
          <w:sz w:val="24"/>
          <w:szCs w:val="24"/>
          <w:lang w:eastAsia="es-MX"/>
        </w:rPr>
      </w:pPr>
      <w:bookmarkStart w:id="10" w:name="_Toc45271797"/>
      <w:bookmarkStart w:id="11" w:name="_Toc37945905"/>
      <w:bookmarkStart w:id="12" w:name="_Hlk44674629"/>
      <w:r w:rsidRPr="00E528DE">
        <w:rPr>
          <w:rFonts w:ascii="Arial" w:eastAsia="Times New Roman" w:hAnsi="Arial" w:cs="Arial"/>
          <w:b/>
          <w:color w:val="auto"/>
          <w:sz w:val="24"/>
          <w:szCs w:val="24"/>
          <w:lang w:eastAsia="es-MX"/>
        </w:rPr>
        <w:t xml:space="preserve">III. </w:t>
      </w:r>
      <w:r w:rsidR="001933A8" w:rsidRPr="00E528DE">
        <w:rPr>
          <w:rFonts w:ascii="Arial" w:eastAsia="Times New Roman" w:hAnsi="Arial" w:cs="Arial"/>
          <w:b/>
          <w:color w:val="auto"/>
          <w:sz w:val="24"/>
          <w:szCs w:val="24"/>
          <w:lang w:eastAsia="es-MX"/>
        </w:rPr>
        <w:t>JUSTIFICACIÓN</w:t>
      </w:r>
      <w:r w:rsidR="0045490B" w:rsidRPr="00E528DE">
        <w:rPr>
          <w:rFonts w:ascii="Arial" w:eastAsia="Times New Roman" w:hAnsi="Arial" w:cs="Arial"/>
          <w:b/>
          <w:color w:val="auto"/>
          <w:sz w:val="24"/>
          <w:szCs w:val="24"/>
          <w:lang w:eastAsia="es-MX"/>
        </w:rPr>
        <w:t xml:space="preserve"> </w:t>
      </w:r>
      <w:r w:rsidR="000015EC" w:rsidRPr="00E528DE">
        <w:rPr>
          <w:rFonts w:ascii="Arial" w:eastAsia="Times New Roman" w:hAnsi="Arial" w:cs="Arial"/>
          <w:b/>
          <w:color w:val="auto"/>
          <w:sz w:val="24"/>
          <w:szCs w:val="24"/>
          <w:lang w:eastAsia="es-MX"/>
        </w:rPr>
        <w:t>PARA RESOLVER EN SESIÓN NO PRESENCIAL</w:t>
      </w:r>
      <w:bookmarkEnd w:id="10"/>
      <w:bookmarkEnd w:id="11"/>
      <w:r w:rsidR="00581256">
        <w:rPr>
          <w:rFonts w:ascii="Arial" w:eastAsia="Times New Roman" w:hAnsi="Arial" w:cs="Arial"/>
          <w:b/>
          <w:color w:val="auto"/>
          <w:sz w:val="24"/>
          <w:szCs w:val="24"/>
          <w:lang w:eastAsia="es-MX"/>
        </w:rPr>
        <w:t>.</w:t>
      </w:r>
    </w:p>
    <w:p w:rsidR="00C6380A" w:rsidRPr="00E528DE" w:rsidRDefault="00AA6E15" w:rsidP="00AA6E15">
      <w:pPr>
        <w:tabs>
          <w:tab w:val="left" w:pos="3228"/>
          <w:tab w:val="left" w:pos="7512"/>
        </w:tabs>
        <w:spacing w:before="240" w:after="240" w:line="348" w:lineRule="auto"/>
        <w:ind w:right="79"/>
        <w:jc w:val="both"/>
        <w:rPr>
          <w:rFonts w:cs="Arial"/>
          <w:sz w:val="24"/>
          <w:szCs w:val="24"/>
        </w:rPr>
      </w:pPr>
      <w:r w:rsidRPr="00E528DE">
        <w:rPr>
          <w:rFonts w:cs="Arial"/>
          <w:sz w:val="24"/>
          <w:szCs w:val="24"/>
        </w:rPr>
        <w:t>Esta Sala Superior</w:t>
      </w:r>
      <w:r w:rsidR="00CB22AB" w:rsidRPr="00E528DE">
        <w:rPr>
          <w:rFonts w:cs="Arial"/>
          <w:sz w:val="24"/>
          <w:szCs w:val="24"/>
        </w:rPr>
        <w:t xml:space="preserve"> emitió el acuerdo 6/2020</w:t>
      </w:r>
      <w:r w:rsidR="00CB22AB" w:rsidRPr="00E528DE">
        <w:rPr>
          <w:rStyle w:val="Refdenotaalpie"/>
          <w:rFonts w:cs="Arial"/>
          <w:sz w:val="24"/>
          <w:szCs w:val="24"/>
        </w:rPr>
        <w:footnoteReference w:id="4"/>
      </w:r>
      <w:r w:rsidR="00CB22AB" w:rsidRPr="00E528DE">
        <w:rPr>
          <w:rFonts w:cs="Arial"/>
          <w:sz w:val="24"/>
          <w:szCs w:val="24"/>
        </w:rPr>
        <w:t xml:space="preserve">, por el cual </w:t>
      </w:r>
      <w:r w:rsidR="000B23CE" w:rsidRPr="00E528DE">
        <w:rPr>
          <w:rFonts w:cs="Arial"/>
          <w:sz w:val="24"/>
          <w:szCs w:val="24"/>
        </w:rPr>
        <w:t xml:space="preserve">se </w:t>
      </w:r>
      <w:r w:rsidR="00CB22AB" w:rsidRPr="00E528DE">
        <w:rPr>
          <w:rFonts w:cs="Arial"/>
          <w:sz w:val="24"/>
          <w:szCs w:val="24"/>
        </w:rPr>
        <w:t xml:space="preserve">amplió el catálogo de asuntos que se pueden resolver </w:t>
      </w:r>
      <w:r w:rsidRPr="00E528DE">
        <w:rPr>
          <w:rFonts w:cs="Arial"/>
          <w:sz w:val="24"/>
          <w:szCs w:val="24"/>
        </w:rPr>
        <w:t xml:space="preserve">de forma </w:t>
      </w:r>
      <w:r w:rsidRPr="00E528DE">
        <w:rPr>
          <w:rFonts w:cs="Arial"/>
          <w:b/>
          <w:bCs/>
          <w:sz w:val="24"/>
          <w:szCs w:val="24"/>
        </w:rPr>
        <w:t xml:space="preserve">no presencial </w:t>
      </w:r>
      <w:r w:rsidRPr="00E528DE">
        <w:rPr>
          <w:rFonts w:cs="Arial"/>
          <w:sz w:val="24"/>
          <w:szCs w:val="24"/>
        </w:rPr>
        <w:t xml:space="preserve">durante la contingencia </w:t>
      </w:r>
      <w:r w:rsidR="00BD160D" w:rsidRPr="00E528DE">
        <w:rPr>
          <w:rFonts w:cs="Arial"/>
          <w:sz w:val="24"/>
          <w:szCs w:val="24"/>
        </w:rPr>
        <w:t>sanitaria</w:t>
      </w:r>
      <w:r w:rsidR="00C6380A" w:rsidRPr="00E528DE">
        <w:rPr>
          <w:rFonts w:cs="Arial"/>
          <w:sz w:val="24"/>
          <w:szCs w:val="24"/>
        </w:rPr>
        <w:t>.</w:t>
      </w:r>
    </w:p>
    <w:p w:rsidR="00F364B1" w:rsidRPr="00E528DE" w:rsidRDefault="00F364B1" w:rsidP="00F364B1">
      <w:pPr>
        <w:tabs>
          <w:tab w:val="left" w:pos="3228"/>
          <w:tab w:val="left" w:pos="7512"/>
        </w:tabs>
        <w:spacing w:before="240" w:after="240" w:line="348" w:lineRule="auto"/>
        <w:ind w:right="79"/>
        <w:jc w:val="both"/>
        <w:rPr>
          <w:rFonts w:cs="Arial"/>
          <w:sz w:val="24"/>
          <w:szCs w:val="24"/>
        </w:rPr>
      </w:pPr>
      <w:bookmarkStart w:id="13" w:name="_ftnref4"/>
      <w:bookmarkEnd w:id="9"/>
      <w:bookmarkEnd w:id="12"/>
      <w:bookmarkEnd w:id="13"/>
      <w:r w:rsidRPr="00E528DE">
        <w:rPr>
          <w:rFonts w:cs="Arial"/>
          <w:sz w:val="24"/>
          <w:szCs w:val="24"/>
        </w:rPr>
        <w:t xml:space="preserve">Los asuntos que motivan esa ampliación son aquellos casos relacionados con temas de grupos en situación de especial vulnerabilidad (interés superior de los menores, violencia política en razón de género y comunidades indígenas) y los relacionados con </w:t>
      </w:r>
      <w:r w:rsidRPr="00E528DE">
        <w:rPr>
          <w:rFonts w:cs="Arial"/>
          <w:bCs/>
          <w:sz w:val="24"/>
          <w:szCs w:val="24"/>
          <w:lang w:val="es-ES"/>
        </w:rPr>
        <w:t>los procesos electorales que se desarrollarán este año.</w:t>
      </w:r>
    </w:p>
    <w:p w:rsidR="00F364B1" w:rsidRPr="00E528DE" w:rsidRDefault="00F364B1" w:rsidP="00F364B1">
      <w:pPr>
        <w:pStyle w:val="numerados"/>
        <w:numPr>
          <w:ilvl w:val="0"/>
          <w:numId w:val="0"/>
        </w:numPr>
        <w:spacing w:line="348" w:lineRule="auto"/>
        <w:rPr>
          <w:rFonts w:ascii="Arial" w:hAnsi="Arial" w:cs="Arial"/>
          <w:sz w:val="24"/>
          <w:szCs w:val="24"/>
        </w:rPr>
      </w:pPr>
      <w:r w:rsidRPr="00E528DE">
        <w:rPr>
          <w:rFonts w:ascii="Arial" w:hAnsi="Arial" w:cs="Arial"/>
          <w:sz w:val="24"/>
          <w:szCs w:val="24"/>
        </w:rPr>
        <w:t xml:space="preserve">En el caso concreto, </w:t>
      </w:r>
      <w:r w:rsidRPr="00E528DE">
        <w:rPr>
          <w:rFonts w:ascii="Arial" w:hAnsi="Arial" w:cs="Arial"/>
          <w:b/>
          <w:sz w:val="24"/>
          <w:szCs w:val="24"/>
        </w:rPr>
        <w:t>se justifica la resolución del juicio en que se actúa</w:t>
      </w:r>
      <w:r w:rsidRPr="00E528DE">
        <w:rPr>
          <w:rFonts w:ascii="Arial" w:hAnsi="Arial" w:cs="Arial"/>
          <w:sz w:val="24"/>
          <w:szCs w:val="24"/>
        </w:rPr>
        <w:t xml:space="preserve">, porque </w:t>
      </w:r>
      <w:r w:rsidRPr="00E528DE">
        <w:rPr>
          <w:rFonts w:ascii="Arial" w:hAnsi="Arial" w:cs="Arial"/>
          <w:b/>
          <w:sz w:val="24"/>
          <w:szCs w:val="24"/>
        </w:rPr>
        <w:t>la controversia encuadra en la categoría de procesos electorales que se desarrollarán este año</w:t>
      </w:r>
      <w:r w:rsidRPr="00E528DE">
        <w:rPr>
          <w:rFonts w:ascii="Arial" w:hAnsi="Arial" w:cs="Arial"/>
          <w:sz w:val="24"/>
          <w:szCs w:val="24"/>
        </w:rPr>
        <w:t>, pues el procedimiento electoral en Durango iniciará precisamente en esta anualidad</w:t>
      </w:r>
      <w:r w:rsidR="00051931" w:rsidRPr="00E528DE">
        <w:rPr>
          <w:rStyle w:val="Refdenotaalpie"/>
          <w:rFonts w:ascii="Arial" w:hAnsi="Arial" w:cs="Arial"/>
          <w:sz w:val="24"/>
          <w:szCs w:val="24"/>
        </w:rPr>
        <w:footnoteReference w:id="5"/>
      </w:r>
      <w:r w:rsidRPr="00E528DE">
        <w:rPr>
          <w:rFonts w:ascii="Arial" w:hAnsi="Arial" w:cs="Arial"/>
          <w:sz w:val="24"/>
          <w:szCs w:val="24"/>
        </w:rPr>
        <w:t>, con la finalidad de elegir diputaciones locales.</w:t>
      </w:r>
      <w:r w:rsidR="00051931" w:rsidRPr="00E528DE">
        <w:rPr>
          <w:rStyle w:val="Refdenotaalpie"/>
          <w:rFonts w:ascii="Arial" w:hAnsi="Arial" w:cs="Arial"/>
          <w:sz w:val="24"/>
          <w:szCs w:val="24"/>
        </w:rPr>
        <w:footnoteReference w:id="6"/>
      </w:r>
    </w:p>
    <w:p w:rsidR="00F364B1" w:rsidRPr="00E528DE" w:rsidRDefault="00F364B1" w:rsidP="00F364B1">
      <w:pPr>
        <w:pStyle w:val="numerados"/>
        <w:numPr>
          <w:ilvl w:val="0"/>
          <w:numId w:val="0"/>
        </w:numPr>
        <w:spacing w:line="348" w:lineRule="auto"/>
        <w:rPr>
          <w:rFonts w:ascii="Arial" w:hAnsi="Arial" w:cs="Arial"/>
          <w:sz w:val="24"/>
          <w:szCs w:val="24"/>
        </w:rPr>
      </w:pPr>
      <w:r w:rsidRPr="00E528DE">
        <w:rPr>
          <w:rFonts w:ascii="Arial" w:hAnsi="Arial" w:cs="Arial"/>
          <w:sz w:val="24"/>
          <w:szCs w:val="24"/>
        </w:rPr>
        <w:t xml:space="preserve">Importa destacar que el procedimiento electoral es un conjunto de actos concatenados y vinculados de manera sucesiva y progresiva, entre los que se encuentran: la preparación de la elección, precampañas, campañas, jornada electoral y la calificación de la elección. </w:t>
      </w:r>
    </w:p>
    <w:p w:rsidR="00F364B1" w:rsidRPr="00E528DE" w:rsidRDefault="00F364B1" w:rsidP="00F364B1">
      <w:pPr>
        <w:pStyle w:val="numerados"/>
        <w:numPr>
          <w:ilvl w:val="0"/>
          <w:numId w:val="0"/>
        </w:numPr>
        <w:spacing w:after="0" w:line="348" w:lineRule="auto"/>
        <w:rPr>
          <w:rFonts w:ascii="Arial" w:hAnsi="Arial" w:cs="Arial"/>
          <w:sz w:val="24"/>
          <w:szCs w:val="24"/>
        </w:rPr>
      </w:pPr>
      <w:r w:rsidRPr="00E528DE">
        <w:rPr>
          <w:rFonts w:ascii="Arial" w:hAnsi="Arial" w:cs="Arial"/>
          <w:sz w:val="24"/>
          <w:szCs w:val="24"/>
        </w:rPr>
        <w:t xml:space="preserve">En conclusión, </w:t>
      </w:r>
      <w:r w:rsidRPr="00E528DE">
        <w:rPr>
          <w:rFonts w:ascii="Arial" w:hAnsi="Arial" w:cs="Arial"/>
          <w:b/>
          <w:sz w:val="24"/>
          <w:szCs w:val="24"/>
        </w:rPr>
        <w:t>resulta indispensable que esta Sala Superior se pronuncie sobre la controversia planteada</w:t>
      </w:r>
      <w:r w:rsidRPr="00E528DE">
        <w:rPr>
          <w:rFonts w:ascii="Arial" w:hAnsi="Arial" w:cs="Arial"/>
          <w:sz w:val="24"/>
          <w:szCs w:val="24"/>
        </w:rPr>
        <w:t xml:space="preserve"> por encuadrarse en el supuesto de asuntos que se vinculan con procesos electorales a desarrollarse este año contemplado en el acuerdo 6/2020</w:t>
      </w:r>
      <w:r w:rsidRPr="00E528DE">
        <w:rPr>
          <w:rStyle w:val="Refdenotaalpie"/>
          <w:rFonts w:ascii="Arial" w:hAnsi="Arial" w:cs="Arial"/>
          <w:sz w:val="24"/>
          <w:szCs w:val="24"/>
        </w:rPr>
        <w:footnoteReference w:id="7"/>
      </w:r>
      <w:r w:rsidRPr="00E528DE">
        <w:rPr>
          <w:rFonts w:ascii="Arial" w:hAnsi="Arial" w:cs="Arial"/>
          <w:sz w:val="24"/>
          <w:szCs w:val="24"/>
        </w:rPr>
        <w:t>, y así, dotar de certeza jurídica y garantizar el derecho de acceso a la justicia.</w:t>
      </w:r>
    </w:p>
    <w:p w:rsidR="00184C2E" w:rsidRPr="00991CED" w:rsidRDefault="00184C2E" w:rsidP="00A1622A">
      <w:pPr>
        <w:pStyle w:val="Ttulo1"/>
        <w:spacing w:before="100" w:beforeAutospacing="1" w:line="360" w:lineRule="auto"/>
        <w:jc w:val="center"/>
        <w:rPr>
          <w:rFonts w:ascii="Arial" w:eastAsia="Times New Roman" w:hAnsi="Arial" w:cs="Arial"/>
          <w:b/>
          <w:color w:val="auto"/>
          <w:sz w:val="24"/>
          <w:szCs w:val="24"/>
          <w:lang w:eastAsia="es-MX"/>
        </w:rPr>
      </w:pPr>
      <w:bookmarkStart w:id="14" w:name="_Toc45271798"/>
      <w:r w:rsidRPr="00991CED">
        <w:rPr>
          <w:rFonts w:ascii="Arial" w:eastAsia="Times New Roman" w:hAnsi="Arial" w:cs="Arial"/>
          <w:b/>
          <w:color w:val="auto"/>
          <w:sz w:val="24"/>
          <w:szCs w:val="24"/>
          <w:lang w:eastAsia="es-MX"/>
        </w:rPr>
        <w:t>I</w:t>
      </w:r>
      <w:r w:rsidR="00295C43" w:rsidRPr="00991CED">
        <w:rPr>
          <w:rFonts w:ascii="Arial" w:eastAsia="Times New Roman" w:hAnsi="Arial" w:cs="Arial"/>
          <w:b/>
          <w:color w:val="auto"/>
          <w:sz w:val="24"/>
          <w:szCs w:val="24"/>
          <w:lang w:eastAsia="es-MX"/>
        </w:rPr>
        <w:t>V</w:t>
      </w:r>
      <w:r w:rsidRPr="00991CED">
        <w:rPr>
          <w:rFonts w:ascii="Arial" w:eastAsia="Times New Roman" w:hAnsi="Arial" w:cs="Arial"/>
          <w:b/>
          <w:color w:val="auto"/>
          <w:sz w:val="24"/>
          <w:szCs w:val="24"/>
          <w:lang w:eastAsia="es-MX"/>
        </w:rPr>
        <w:t xml:space="preserve">. </w:t>
      </w:r>
      <w:r w:rsidR="00007EE9" w:rsidRPr="00991CED">
        <w:rPr>
          <w:rFonts w:ascii="Arial" w:eastAsia="Times New Roman" w:hAnsi="Arial" w:cs="Arial"/>
          <w:b/>
          <w:color w:val="auto"/>
          <w:sz w:val="24"/>
          <w:szCs w:val="24"/>
          <w:lang w:eastAsia="es-MX"/>
        </w:rPr>
        <w:t xml:space="preserve">REQUISITOS </w:t>
      </w:r>
      <w:r w:rsidR="0068289D" w:rsidRPr="00991CED">
        <w:rPr>
          <w:rFonts w:ascii="Arial" w:eastAsia="Times New Roman" w:hAnsi="Arial" w:cs="Arial"/>
          <w:b/>
          <w:color w:val="auto"/>
          <w:sz w:val="24"/>
          <w:szCs w:val="24"/>
          <w:lang w:eastAsia="es-MX"/>
        </w:rPr>
        <w:t>PROCE</w:t>
      </w:r>
      <w:r w:rsidR="00007EE9" w:rsidRPr="00991CED">
        <w:rPr>
          <w:rFonts w:ascii="Arial" w:eastAsia="Times New Roman" w:hAnsi="Arial" w:cs="Arial"/>
          <w:b/>
          <w:color w:val="auto"/>
          <w:sz w:val="24"/>
          <w:szCs w:val="24"/>
          <w:lang w:eastAsia="es-MX"/>
        </w:rPr>
        <w:t>SALES</w:t>
      </w:r>
      <w:r w:rsidR="00A37CF3" w:rsidRPr="00991CED">
        <w:rPr>
          <w:rFonts w:ascii="Arial" w:eastAsia="Times New Roman" w:hAnsi="Arial" w:cs="Arial"/>
          <w:b/>
          <w:color w:val="auto"/>
          <w:sz w:val="24"/>
          <w:szCs w:val="24"/>
          <w:lang w:eastAsia="es-MX"/>
        </w:rPr>
        <w:t>.</w:t>
      </w:r>
      <w:bookmarkEnd w:id="14"/>
    </w:p>
    <w:p w:rsidR="00007EE9" w:rsidRPr="00991CED" w:rsidRDefault="0051360E" w:rsidP="00A1622A">
      <w:pPr>
        <w:spacing w:before="100" w:beforeAutospacing="1" w:line="360" w:lineRule="auto"/>
        <w:mirrorIndents/>
        <w:jc w:val="both"/>
        <w:rPr>
          <w:rFonts w:cs="Arial"/>
          <w:sz w:val="24"/>
        </w:rPr>
      </w:pPr>
      <w:r w:rsidRPr="00991CED">
        <w:rPr>
          <w:rFonts w:cs="Arial"/>
          <w:b/>
          <w:sz w:val="24"/>
        </w:rPr>
        <w:t>Requisitos generales</w:t>
      </w:r>
      <w:r w:rsidR="00007EE9" w:rsidRPr="00991CED">
        <w:rPr>
          <w:rFonts w:cs="Arial"/>
          <w:sz w:val="24"/>
          <w:vertAlign w:val="superscript"/>
        </w:rPr>
        <w:footnoteReference w:id="8"/>
      </w:r>
      <w:r w:rsidRPr="00991CED">
        <w:rPr>
          <w:rFonts w:cs="Arial"/>
          <w:sz w:val="24"/>
        </w:rPr>
        <w:t>.</w:t>
      </w:r>
    </w:p>
    <w:p w:rsidR="0023434D" w:rsidRPr="00991CED" w:rsidRDefault="0023434D" w:rsidP="00A1622A">
      <w:pPr>
        <w:spacing w:before="100" w:beforeAutospacing="1" w:line="360" w:lineRule="auto"/>
        <w:mirrorIndents/>
        <w:jc w:val="both"/>
        <w:rPr>
          <w:rFonts w:cs="Arial"/>
          <w:sz w:val="24"/>
        </w:rPr>
      </w:pPr>
      <w:r w:rsidRPr="00991CED">
        <w:rPr>
          <w:rFonts w:cs="Arial"/>
          <w:b/>
          <w:sz w:val="24"/>
        </w:rPr>
        <w:t>1. Forma.</w:t>
      </w:r>
      <w:r w:rsidRPr="00991CED">
        <w:rPr>
          <w:rFonts w:cs="Arial"/>
          <w:sz w:val="24"/>
        </w:rPr>
        <w:t xml:space="preserve"> </w:t>
      </w:r>
      <w:r w:rsidR="00685A82" w:rsidRPr="00991CED">
        <w:rPr>
          <w:rFonts w:cs="Arial"/>
          <w:sz w:val="24"/>
        </w:rPr>
        <w:t>S</w:t>
      </w:r>
      <w:r w:rsidRPr="00991CED">
        <w:rPr>
          <w:rFonts w:cs="Arial"/>
          <w:sz w:val="24"/>
        </w:rPr>
        <w:t>e satisface porque la demanda se presentó por escrito y precisa la denominación del actor, la firma del representante, los hechos, los agravios, el acto impugnado y la autoridad responsable.</w:t>
      </w:r>
    </w:p>
    <w:p w:rsidR="00007EE9" w:rsidRPr="00991CED" w:rsidRDefault="00007EE9" w:rsidP="00A1622A">
      <w:pPr>
        <w:spacing w:before="100" w:beforeAutospacing="1" w:line="360" w:lineRule="auto"/>
        <w:mirrorIndents/>
        <w:jc w:val="both"/>
        <w:rPr>
          <w:rFonts w:cs="Arial"/>
          <w:sz w:val="24"/>
        </w:rPr>
      </w:pPr>
      <w:r w:rsidRPr="00991CED">
        <w:rPr>
          <w:rFonts w:cs="Arial"/>
          <w:b/>
          <w:sz w:val="24"/>
        </w:rPr>
        <w:t xml:space="preserve">2.- Oportunidad. </w:t>
      </w:r>
      <w:r w:rsidRPr="00991CED">
        <w:rPr>
          <w:rFonts w:cs="Arial"/>
          <w:sz w:val="24"/>
        </w:rPr>
        <w:t>L</w:t>
      </w:r>
      <w:r w:rsidR="0023434D" w:rsidRPr="00991CED">
        <w:rPr>
          <w:rFonts w:cs="Arial"/>
          <w:sz w:val="24"/>
        </w:rPr>
        <w:t xml:space="preserve">a demanda </w:t>
      </w:r>
      <w:r w:rsidR="00685A82" w:rsidRPr="00991CED">
        <w:rPr>
          <w:rFonts w:cs="Arial"/>
          <w:sz w:val="24"/>
        </w:rPr>
        <w:t>es oportuna</w:t>
      </w:r>
      <w:r w:rsidR="0023434D" w:rsidRPr="00991CED">
        <w:rPr>
          <w:rFonts w:cs="Arial"/>
          <w:sz w:val="24"/>
        </w:rPr>
        <w:t xml:space="preserve">, porque la sentencia impugnada se notificó al actor el treinta y uno de marzo, por lo que el plazo para impugnar transcurrió del miércoles uno de abril al </w:t>
      </w:r>
      <w:r w:rsidR="00DA1A7C" w:rsidRPr="00991CED">
        <w:rPr>
          <w:rFonts w:cs="Arial"/>
          <w:sz w:val="24"/>
        </w:rPr>
        <w:t xml:space="preserve">trece </w:t>
      </w:r>
      <w:r w:rsidR="00F31262" w:rsidRPr="00991CED">
        <w:rPr>
          <w:rFonts w:cs="Arial"/>
          <w:sz w:val="24"/>
        </w:rPr>
        <w:t>siguiente</w:t>
      </w:r>
      <w:r w:rsidR="00DA1A7C" w:rsidRPr="00991CED">
        <w:rPr>
          <w:rFonts w:cs="Arial"/>
          <w:sz w:val="24"/>
        </w:rPr>
        <w:t xml:space="preserve">, siendo que la demanda fue </w:t>
      </w:r>
      <w:r w:rsidRPr="00991CED">
        <w:rPr>
          <w:rFonts w:cs="Arial"/>
          <w:sz w:val="24"/>
        </w:rPr>
        <w:t>presenta</w:t>
      </w:r>
      <w:r w:rsidR="00DA1A7C" w:rsidRPr="00991CED">
        <w:rPr>
          <w:rFonts w:cs="Arial"/>
          <w:sz w:val="24"/>
        </w:rPr>
        <w:t>da en esta última fecha</w:t>
      </w:r>
      <w:r w:rsidRPr="00991CED">
        <w:rPr>
          <w:rFonts w:cs="Arial"/>
          <w:sz w:val="24"/>
        </w:rPr>
        <w:t>.</w:t>
      </w:r>
    </w:p>
    <w:p w:rsidR="00E2698F" w:rsidRPr="00991CED" w:rsidRDefault="00E2698F" w:rsidP="00A1622A">
      <w:pPr>
        <w:spacing w:before="100" w:beforeAutospacing="1" w:line="360" w:lineRule="auto"/>
        <w:mirrorIndents/>
        <w:jc w:val="both"/>
        <w:rPr>
          <w:rFonts w:cs="Arial"/>
          <w:sz w:val="24"/>
        </w:rPr>
      </w:pPr>
      <w:r w:rsidRPr="00991CED">
        <w:rPr>
          <w:rFonts w:cs="Arial"/>
          <w:sz w:val="24"/>
        </w:rPr>
        <w:t>El cómputo del plazo se hace tomando en consideración el acuerdo del Tribunal local, por el cual se estableció la suspensión de labores del lunes seis al viernes diez de abril.</w:t>
      </w:r>
      <w:r w:rsidRPr="00991CED">
        <w:rPr>
          <w:rStyle w:val="Refdenotaalpie"/>
          <w:rFonts w:cs="Arial"/>
          <w:sz w:val="24"/>
        </w:rPr>
        <w:t xml:space="preserve"> </w:t>
      </w:r>
      <w:r w:rsidRPr="00991CED">
        <w:rPr>
          <w:rStyle w:val="Refdenotaalpie"/>
          <w:rFonts w:cs="Arial"/>
          <w:sz w:val="24"/>
        </w:rPr>
        <w:footnoteReference w:id="9"/>
      </w:r>
    </w:p>
    <w:p w:rsidR="00007EE9" w:rsidRPr="00991CED" w:rsidRDefault="00F31262" w:rsidP="00A1622A">
      <w:pPr>
        <w:spacing w:before="100" w:beforeAutospacing="1" w:line="360" w:lineRule="auto"/>
        <w:mirrorIndents/>
        <w:jc w:val="both"/>
        <w:rPr>
          <w:rFonts w:cs="Arial"/>
          <w:sz w:val="24"/>
        </w:rPr>
      </w:pPr>
      <w:r w:rsidRPr="00991CED">
        <w:rPr>
          <w:rFonts w:cs="Arial"/>
          <w:sz w:val="24"/>
        </w:rPr>
        <w:t xml:space="preserve">Cabe señalar que, </w:t>
      </w:r>
      <w:r w:rsidR="00DA1A7C" w:rsidRPr="00991CED">
        <w:rPr>
          <w:rFonts w:cs="Arial"/>
          <w:sz w:val="24"/>
        </w:rPr>
        <w:t>el</w:t>
      </w:r>
      <w:r w:rsidR="00007EE9" w:rsidRPr="00991CED">
        <w:rPr>
          <w:rFonts w:cs="Arial"/>
          <w:sz w:val="24"/>
        </w:rPr>
        <w:t xml:space="preserve"> acto impugnado no está vinculado </w:t>
      </w:r>
      <w:r w:rsidR="00D76C43" w:rsidRPr="00991CED">
        <w:rPr>
          <w:rFonts w:cs="Arial"/>
          <w:sz w:val="24"/>
        </w:rPr>
        <w:t>con algún</w:t>
      </w:r>
      <w:r w:rsidR="00007EE9" w:rsidRPr="00991CED">
        <w:rPr>
          <w:rFonts w:cs="Arial"/>
          <w:sz w:val="24"/>
        </w:rPr>
        <w:t xml:space="preserve"> procedimiento electoral, por lo que el cómputo del plazo sólo debe considerar los días hábiles, es decir, con exclusión de los sábados y domingos, y los inhábiles en términos de ley.</w:t>
      </w:r>
    </w:p>
    <w:p w:rsidR="00007EE9" w:rsidRPr="00991CED" w:rsidRDefault="00007EE9" w:rsidP="0023434D">
      <w:pPr>
        <w:spacing w:before="100" w:beforeAutospacing="1" w:after="100" w:afterAutospacing="1" w:line="360" w:lineRule="auto"/>
        <w:mirrorIndents/>
        <w:jc w:val="both"/>
        <w:rPr>
          <w:rFonts w:cs="Arial"/>
          <w:sz w:val="24"/>
        </w:rPr>
      </w:pPr>
      <w:r w:rsidRPr="00991CED">
        <w:rPr>
          <w:rFonts w:cs="Arial"/>
          <w:sz w:val="24"/>
        </w:rPr>
        <w:t xml:space="preserve">Así, </w:t>
      </w:r>
      <w:r w:rsidRPr="00991CED">
        <w:rPr>
          <w:rFonts w:cs="Arial"/>
          <w:b/>
          <w:sz w:val="24"/>
        </w:rPr>
        <w:t xml:space="preserve">el plazo </w:t>
      </w:r>
      <w:r w:rsidR="00FA3025" w:rsidRPr="00991CED">
        <w:rPr>
          <w:rFonts w:cs="Arial"/>
          <w:b/>
          <w:sz w:val="24"/>
        </w:rPr>
        <w:t>de cuatro días</w:t>
      </w:r>
      <w:r w:rsidR="00FA3025" w:rsidRPr="00991CED">
        <w:rPr>
          <w:rFonts w:cs="Arial"/>
          <w:sz w:val="24"/>
        </w:rPr>
        <w:t xml:space="preserve"> </w:t>
      </w:r>
      <w:r w:rsidRPr="00991CED">
        <w:rPr>
          <w:rFonts w:cs="Arial"/>
          <w:sz w:val="24"/>
        </w:rPr>
        <w:t xml:space="preserve">para impugnar la sentencia controvertida </w:t>
      </w:r>
      <w:r w:rsidRPr="00991CED">
        <w:rPr>
          <w:rFonts w:cs="Arial"/>
          <w:b/>
          <w:sz w:val="24"/>
        </w:rPr>
        <w:t xml:space="preserve">transcurrió del </w:t>
      </w:r>
      <w:r w:rsidR="00FA3025" w:rsidRPr="00991CED">
        <w:rPr>
          <w:rFonts w:cs="Arial"/>
          <w:b/>
          <w:sz w:val="24"/>
        </w:rPr>
        <w:t>uno al trece</w:t>
      </w:r>
      <w:r w:rsidRPr="00991CED">
        <w:rPr>
          <w:rFonts w:cs="Arial"/>
          <w:b/>
          <w:sz w:val="24"/>
        </w:rPr>
        <w:t xml:space="preserve"> de </w:t>
      </w:r>
      <w:r w:rsidR="00FA3025" w:rsidRPr="00991CED">
        <w:rPr>
          <w:rFonts w:cs="Arial"/>
          <w:b/>
          <w:sz w:val="24"/>
        </w:rPr>
        <w:t>abril</w:t>
      </w:r>
      <w:r w:rsidRPr="00991CED">
        <w:rPr>
          <w:rFonts w:cs="Arial"/>
          <w:sz w:val="24"/>
        </w:rPr>
        <w:t xml:space="preserve">, </w:t>
      </w:r>
      <w:r w:rsidR="000553DE" w:rsidRPr="00991CED">
        <w:rPr>
          <w:rFonts w:cs="Arial"/>
          <w:sz w:val="24"/>
        </w:rPr>
        <w:t>pues no</w:t>
      </w:r>
      <w:r w:rsidR="00D76C43" w:rsidRPr="00991CED">
        <w:rPr>
          <w:rFonts w:cs="Arial"/>
          <w:sz w:val="24"/>
        </w:rPr>
        <w:t xml:space="preserve"> se computaron los días del </w:t>
      </w:r>
      <w:r w:rsidR="00225C21" w:rsidRPr="00991CED">
        <w:rPr>
          <w:rFonts w:cs="Arial"/>
          <w:sz w:val="24"/>
        </w:rPr>
        <w:t>sábado cuatro al domingo doce</w:t>
      </w:r>
      <w:r w:rsidR="00DA1A7C" w:rsidRPr="00991CED">
        <w:rPr>
          <w:rFonts w:cs="Arial"/>
          <w:sz w:val="24"/>
        </w:rPr>
        <w:t xml:space="preserve">, </w:t>
      </w:r>
      <w:r w:rsidRPr="00991CED">
        <w:rPr>
          <w:rFonts w:cs="Arial"/>
          <w:sz w:val="24"/>
        </w:rPr>
        <w:t>por ser inhábiles.</w:t>
      </w:r>
    </w:p>
    <w:p w:rsidR="00007EE9" w:rsidRPr="00991CED" w:rsidRDefault="00007EE9" w:rsidP="0023434D">
      <w:pPr>
        <w:spacing w:before="100" w:beforeAutospacing="1" w:after="100" w:afterAutospacing="1" w:line="360" w:lineRule="auto"/>
        <w:mirrorIndents/>
        <w:jc w:val="both"/>
        <w:rPr>
          <w:rFonts w:cs="Arial"/>
          <w:sz w:val="24"/>
        </w:rPr>
      </w:pPr>
      <w:r w:rsidRPr="00991CED">
        <w:rPr>
          <w:rFonts w:cs="Arial"/>
          <w:sz w:val="24"/>
        </w:rPr>
        <w:t>En consecuencia, si la demanda fue</w:t>
      </w:r>
      <w:r w:rsidR="00DA1A7C" w:rsidRPr="00991CED">
        <w:rPr>
          <w:rFonts w:cs="Arial"/>
          <w:sz w:val="24"/>
        </w:rPr>
        <w:t xml:space="preserve"> </w:t>
      </w:r>
      <w:r w:rsidRPr="00991CED">
        <w:rPr>
          <w:rFonts w:cs="Arial"/>
          <w:sz w:val="24"/>
        </w:rPr>
        <w:t>presentada el tre</w:t>
      </w:r>
      <w:r w:rsidR="00DA1A7C" w:rsidRPr="00991CED">
        <w:rPr>
          <w:rFonts w:cs="Arial"/>
          <w:sz w:val="24"/>
        </w:rPr>
        <w:t>ce de abril</w:t>
      </w:r>
      <w:r w:rsidRPr="00991CED">
        <w:rPr>
          <w:rFonts w:cs="Arial"/>
          <w:sz w:val="24"/>
        </w:rPr>
        <w:t xml:space="preserve">, es claro que se </w:t>
      </w:r>
      <w:r w:rsidR="00E2698F" w:rsidRPr="00991CED">
        <w:rPr>
          <w:rFonts w:cs="Arial"/>
          <w:sz w:val="24"/>
        </w:rPr>
        <w:t>presentó</w:t>
      </w:r>
      <w:r w:rsidR="00DA1A7C" w:rsidRPr="00991CED">
        <w:rPr>
          <w:rFonts w:cs="Arial"/>
          <w:sz w:val="24"/>
        </w:rPr>
        <w:t xml:space="preserve"> </w:t>
      </w:r>
      <w:r w:rsidRPr="00991CED">
        <w:rPr>
          <w:rFonts w:cs="Arial"/>
          <w:sz w:val="24"/>
        </w:rPr>
        <w:t>dentro del plazo legal.</w:t>
      </w:r>
    </w:p>
    <w:p w:rsidR="00304034" w:rsidRPr="00991CED" w:rsidRDefault="00007EE9" w:rsidP="0023434D">
      <w:pPr>
        <w:spacing w:before="100" w:beforeAutospacing="1" w:after="100" w:afterAutospacing="1" w:line="360" w:lineRule="auto"/>
        <w:mirrorIndents/>
        <w:jc w:val="both"/>
        <w:rPr>
          <w:rFonts w:cs="Arial"/>
          <w:sz w:val="24"/>
        </w:rPr>
      </w:pPr>
      <w:r w:rsidRPr="00991CED">
        <w:rPr>
          <w:rFonts w:cs="Arial"/>
          <w:b/>
          <w:sz w:val="24"/>
        </w:rPr>
        <w:t>3.- Legitimación</w:t>
      </w:r>
      <w:r w:rsidR="00304034" w:rsidRPr="00991CED">
        <w:rPr>
          <w:rFonts w:cs="Arial"/>
          <w:b/>
          <w:sz w:val="24"/>
        </w:rPr>
        <w:t xml:space="preserve"> y personería</w:t>
      </w:r>
      <w:r w:rsidRPr="00991CED">
        <w:rPr>
          <w:rFonts w:cs="Arial"/>
          <w:b/>
          <w:sz w:val="24"/>
        </w:rPr>
        <w:t xml:space="preserve">. </w:t>
      </w:r>
      <w:r w:rsidR="00304034" w:rsidRPr="00991CED">
        <w:rPr>
          <w:rFonts w:cs="Arial"/>
          <w:sz w:val="24"/>
        </w:rPr>
        <w:t xml:space="preserve">El </w:t>
      </w:r>
      <w:r w:rsidR="00F31262" w:rsidRPr="00991CED">
        <w:rPr>
          <w:rFonts w:cs="Arial"/>
          <w:sz w:val="24"/>
        </w:rPr>
        <w:t xml:space="preserve">actor </w:t>
      </w:r>
      <w:r w:rsidR="00304034" w:rsidRPr="00991CED">
        <w:rPr>
          <w:rFonts w:cs="Arial"/>
          <w:sz w:val="24"/>
        </w:rPr>
        <w:t>está legitimado para promover el juicio por ser un partido político</w:t>
      </w:r>
      <w:r w:rsidR="00B20D17" w:rsidRPr="00991CED">
        <w:rPr>
          <w:rFonts w:cs="Arial"/>
          <w:sz w:val="24"/>
        </w:rPr>
        <w:t xml:space="preserve"> local.</w:t>
      </w:r>
      <w:r w:rsidR="00304034" w:rsidRPr="00991CED">
        <w:rPr>
          <w:rStyle w:val="Refdenotaalpie"/>
          <w:rFonts w:cs="Arial"/>
          <w:sz w:val="24"/>
        </w:rPr>
        <w:footnoteReference w:id="10"/>
      </w:r>
    </w:p>
    <w:p w:rsidR="00007EE9" w:rsidRPr="00991CED" w:rsidRDefault="00304034" w:rsidP="0023434D">
      <w:pPr>
        <w:spacing w:before="100" w:beforeAutospacing="1" w:after="100" w:afterAutospacing="1" w:line="360" w:lineRule="auto"/>
        <w:mirrorIndents/>
        <w:jc w:val="both"/>
        <w:rPr>
          <w:rFonts w:cs="Arial"/>
          <w:sz w:val="24"/>
        </w:rPr>
      </w:pPr>
      <w:r w:rsidRPr="00991CED">
        <w:rPr>
          <w:rFonts w:cs="Arial"/>
          <w:sz w:val="24"/>
        </w:rPr>
        <w:t xml:space="preserve">Por su parte, Antonio Rodríguez Sosa cuenta con personería para </w:t>
      </w:r>
      <w:r w:rsidR="00F31262" w:rsidRPr="00991CED">
        <w:rPr>
          <w:rFonts w:cs="Arial"/>
          <w:sz w:val="24"/>
        </w:rPr>
        <w:t>representar al actor</w:t>
      </w:r>
      <w:r w:rsidRPr="00991CED">
        <w:rPr>
          <w:rFonts w:cs="Arial"/>
          <w:sz w:val="24"/>
        </w:rPr>
        <w:t xml:space="preserve">, </w:t>
      </w:r>
      <w:r w:rsidR="00F31262" w:rsidRPr="00991CED">
        <w:rPr>
          <w:rFonts w:cs="Arial"/>
          <w:sz w:val="24"/>
        </w:rPr>
        <w:t xml:space="preserve">al ser </w:t>
      </w:r>
      <w:r w:rsidRPr="00991CED">
        <w:rPr>
          <w:rFonts w:cs="Arial"/>
          <w:sz w:val="24"/>
        </w:rPr>
        <w:t xml:space="preserve">quien promovió la instancia local </w:t>
      </w:r>
      <w:r w:rsidR="00F31262" w:rsidRPr="00991CED">
        <w:rPr>
          <w:rFonts w:cs="Arial"/>
          <w:sz w:val="24"/>
        </w:rPr>
        <w:t xml:space="preserve">y tener </w:t>
      </w:r>
      <w:r w:rsidRPr="00991CED">
        <w:rPr>
          <w:rFonts w:cs="Arial"/>
          <w:sz w:val="24"/>
        </w:rPr>
        <w:t xml:space="preserve">reconocida </w:t>
      </w:r>
      <w:r w:rsidR="00F31262" w:rsidRPr="00991CED">
        <w:rPr>
          <w:rFonts w:cs="Arial"/>
          <w:sz w:val="24"/>
        </w:rPr>
        <w:t xml:space="preserve">su calidad </w:t>
      </w:r>
      <w:r w:rsidRPr="00991CED">
        <w:rPr>
          <w:rFonts w:cs="Arial"/>
          <w:sz w:val="24"/>
        </w:rPr>
        <w:t>por la autoridad responsable.</w:t>
      </w:r>
    </w:p>
    <w:p w:rsidR="009526C8" w:rsidRPr="00991CED" w:rsidRDefault="00007EE9" w:rsidP="0023434D">
      <w:pPr>
        <w:spacing w:before="100" w:beforeAutospacing="1" w:after="100" w:afterAutospacing="1" w:line="360" w:lineRule="auto"/>
        <w:mirrorIndents/>
        <w:jc w:val="both"/>
        <w:rPr>
          <w:rFonts w:cs="Arial"/>
          <w:sz w:val="24"/>
        </w:rPr>
      </w:pPr>
      <w:r w:rsidRPr="00991CED">
        <w:rPr>
          <w:rFonts w:cs="Arial"/>
          <w:b/>
          <w:sz w:val="24"/>
        </w:rPr>
        <w:t xml:space="preserve">4.- Interés Jurídico. </w:t>
      </w:r>
      <w:r w:rsidR="009526C8" w:rsidRPr="00991CED">
        <w:rPr>
          <w:rFonts w:cs="Arial"/>
          <w:sz w:val="24"/>
        </w:rPr>
        <w:t xml:space="preserve">Se cumple el requisito porque el actor fue </w:t>
      </w:r>
      <w:r w:rsidR="00F31262" w:rsidRPr="00991CED">
        <w:rPr>
          <w:rFonts w:cs="Arial"/>
          <w:sz w:val="24"/>
        </w:rPr>
        <w:t>actor en la instancia local</w:t>
      </w:r>
      <w:r w:rsidR="009526C8" w:rsidRPr="00991CED">
        <w:rPr>
          <w:rFonts w:cs="Arial"/>
          <w:sz w:val="24"/>
        </w:rPr>
        <w:t xml:space="preserve"> y</w:t>
      </w:r>
      <w:r w:rsidR="00F31262" w:rsidRPr="00991CED">
        <w:rPr>
          <w:rFonts w:cs="Arial"/>
          <w:sz w:val="24"/>
        </w:rPr>
        <w:t>,</w:t>
      </w:r>
      <w:r w:rsidR="009526C8" w:rsidRPr="00991CED">
        <w:rPr>
          <w:rFonts w:cs="Arial"/>
          <w:sz w:val="24"/>
        </w:rPr>
        <w:t xml:space="preserve"> en ese sentido, aduce que la sentencia reclamada es contraria a la</w:t>
      </w:r>
      <w:r w:rsidR="00F56E03" w:rsidRPr="00991CED">
        <w:rPr>
          <w:rFonts w:cs="Arial"/>
          <w:sz w:val="24"/>
        </w:rPr>
        <w:t xml:space="preserve"> constitucionalidad y</w:t>
      </w:r>
      <w:r w:rsidR="009526C8" w:rsidRPr="00991CED">
        <w:rPr>
          <w:rFonts w:cs="Arial"/>
          <w:sz w:val="24"/>
        </w:rPr>
        <w:t xml:space="preserve"> legalidad, puesto que confirma el acuerdo de modificación del </w:t>
      </w:r>
      <w:r w:rsidR="00F56E03" w:rsidRPr="00991CED">
        <w:rPr>
          <w:rFonts w:cs="Arial"/>
          <w:sz w:val="24"/>
        </w:rPr>
        <w:t xml:space="preserve">Reglamento </w:t>
      </w:r>
      <w:r w:rsidR="009526C8" w:rsidRPr="00991CED">
        <w:rPr>
          <w:rFonts w:cs="Arial"/>
          <w:sz w:val="24"/>
        </w:rPr>
        <w:t xml:space="preserve">de </w:t>
      </w:r>
      <w:r w:rsidR="00F56E03" w:rsidRPr="00991CED">
        <w:rPr>
          <w:rFonts w:cs="Arial"/>
          <w:sz w:val="24"/>
        </w:rPr>
        <w:t>Sesiones</w:t>
      </w:r>
      <w:r w:rsidR="009526C8" w:rsidRPr="00991CED">
        <w:rPr>
          <w:rFonts w:cs="Arial"/>
          <w:sz w:val="24"/>
        </w:rPr>
        <w:t>.</w:t>
      </w:r>
    </w:p>
    <w:p w:rsidR="009526C8" w:rsidRPr="00991CED" w:rsidRDefault="00007EE9" w:rsidP="0023434D">
      <w:pPr>
        <w:spacing w:before="100" w:beforeAutospacing="1" w:after="100" w:afterAutospacing="1" w:line="360" w:lineRule="auto"/>
        <w:mirrorIndents/>
        <w:jc w:val="both"/>
        <w:rPr>
          <w:rFonts w:cs="Arial"/>
          <w:sz w:val="24"/>
        </w:rPr>
      </w:pPr>
      <w:r w:rsidRPr="00991CED">
        <w:rPr>
          <w:rFonts w:cs="Arial"/>
          <w:b/>
          <w:sz w:val="24"/>
        </w:rPr>
        <w:t xml:space="preserve">5.- Definitividad. </w:t>
      </w:r>
      <w:r w:rsidR="009526C8" w:rsidRPr="00991CED">
        <w:rPr>
          <w:rFonts w:cs="Arial"/>
          <w:sz w:val="24"/>
        </w:rPr>
        <w:t>El acto impugnado es definitivo y firme, debido a que no procede algún otro medio de defensa ordinario para confirmarlo o revocarlo</w:t>
      </w:r>
      <w:r w:rsidR="009526C8" w:rsidRPr="00991CED">
        <w:rPr>
          <w:rStyle w:val="Refdenotaalpie"/>
          <w:rFonts w:cs="Arial"/>
          <w:sz w:val="24"/>
        </w:rPr>
        <w:footnoteReference w:id="11"/>
      </w:r>
      <w:r w:rsidR="009526C8" w:rsidRPr="00991CED">
        <w:rPr>
          <w:rFonts w:cs="Arial"/>
          <w:sz w:val="24"/>
        </w:rPr>
        <w:t>.</w:t>
      </w:r>
    </w:p>
    <w:p w:rsidR="0051360E" w:rsidRPr="00991CED" w:rsidRDefault="0051360E" w:rsidP="0023434D">
      <w:pPr>
        <w:spacing w:before="100" w:beforeAutospacing="1" w:after="100" w:afterAutospacing="1" w:line="360" w:lineRule="auto"/>
        <w:mirrorIndents/>
        <w:jc w:val="both"/>
        <w:rPr>
          <w:rFonts w:cs="Arial"/>
          <w:b/>
          <w:sz w:val="24"/>
        </w:rPr>
      </w:pPr>
      <w:r w:rsidRPr="00991CED">
        <w:rPr>
          <w:rFonts w:cs="Arial"/>
          <w:b/>
          <w:sz w:val="24"/>
        </w:rPr>
        <w:t>Requisitos especiales.</w:t>
      </w:r>
    </w:p>
    <w:p w:rsidR="0051360E" w:rsidRPr="00991CED" w:rsidRDefault="0051360E" w:rsidP="0023434D">
      <w:pPr>
        <w:spacing w:before="100" w:beforeAutospacing="1" w:after="100" w:afterAutospacing="1" w:line="360" w:lineRule="auto"/>
        <w:mirrorIndents/>
        <w:jc w:val="both"/>
        <w:rPr>
          <w:rFonts w:cs="Arial"/>
          <w:sz w:val="24"/>
        </w:rPr>
      </w:pPr>
      <w:r w:rsidRPr="00991CED">
        <w:rPr>
          <w:rFonts w:cs="Arial"/>
          <w:b/>
          <w:sz w:val="24"/>
        </w:rPr>
        <w:t>1. Vulneración a preceptos constituciones.</w:t>
      </w:r>
      <w:r w:rsidRPr="00991CED">
        <w:rPr>
          <w:rFonts w:cs="Arial"/>
          <w:sz w:val="24"/>
        </w:rPr>
        <w:t xml:space="preserve"> Se cumple el requisito porque el </w:t>
      </w:r>
      <w:r w:rsidR="00F31262" w:rsidRPr="00991CED">
        <w:rPr>
          <w:rFonts w:cs="Arial"/>
          <w:sz w:val="24"/>
        </w:rPr>
        <w:t xml:space="preserve">actor </w:t>
      </w:r>
      <w:r w:rsidRPr="00991CED">
        <w:rPr>
          <w:rFonts w:cs="Arial"/>
          <w:sz w:val="24"/>
        </w:rPr>
        <w:t xml:space="preserve">afirma que se vulneran </w:t>
      </w:r>
      <w:r w:rsidR="006854A0" w:rsidRPr="00991CED">
        <w:rPr>
          <w:rFonts w:cs="Arial"/>
          <w:sz w:val="24"/>
        </w:rPr>
        <w:t>l</w:t>
      </w:r>
      <w:r w:rsidR="00F31262" w:rsidRPr="00991CED">
        <w:rPr>
          <w:rFonts w:cs="Arial"/>
          <w:sz w:val="24"/>
        </w:rPr>
        <w:t>o</w:t>
      </w:r>
      <w:r w:rsidR="00570A00" w:rsidRPr="00991CED">
        <w:rPr>
          <w:rFonts w:cs="Arial"/>
          <w:sz w:val="24"/>
        </w:rPr>
        <w:t>s</w:t>
      </w:r>
      <w:r w:rsidR="00F31262" w:rsidRPr="00991CED">
        <w:rPr>
          <w:rFonts w:cs="Arial"/>
          <w:sz w:val="24"/>
        </w:rPr>
        <w:t xml:space="preserve"> artículos </w:t>
      </w:r>
      <w:r w:rsidR="006854A0" w:rsidRPr="00991CED">
        <w:rPr>
          <w:rFonts w:cs="Arial"/>
          <w:sz w:val="24"/>
        </w:rPr>
        <w:t>1, 14, 16</w:t>
      </w:r>
      <w:r w:rsidR="00F31262" w:rsidRPr="00991CED">
        <w:rPr>
          <w:rFonts w:cs="Arial"/>
          <w:sz w:val="24"/>
        </w:rPr>
        <w:t xml:space="preserve"> y</w:t>
      </w:r>
      <w:r w:rsidR="006854A0" w:rsidRPr="00991CED">
        <w:rPr>
          <w:rFonts w:cs="Arial"/>
          <w:sz w:val="24"/>
        </w:rPr>
        <w:t xml:space="preserve"> 41 </w:t>
      </w:r>
      <w:r w:rsidRPr="00991CED">
        <w:rPr>
          <w:rFonts w:cs="Arial"/>
          <w:sz w:val="24"/>
        </w:rPr>
        <w:t xml:space="preserve">de </w:t>
      </w:r>
      <w:r w:rsidR="006854A0" w:rsidRPr="00991CED">
        <w:rPr>
          <w:rFonts w:cs="Arial"/>
          <w:sz w:val="24"/>
        </w:rPr>
        <w:t>l</w:t>
      </w:r>
      <w:r w:rsidRPr="00991CED">
        <w:rPr>
          <w:rFonts w:cs="Arial"/>
          <w:sz w:val="24"/>
        </w:rPr>
        <w:t>a Constitución, lo cual es suficiente para satisfacer el requisito formal.</w:t>
      </w:r>
      <w:r w:rsidR="00570A00" w:rsidRPr="00991CED">
        <w:rPr>
          <w:rStyle w:val="Refdenotaalpie"/>
          <w:rFonts w:cs="Arial"/>
          <w:sz w:val="24"/>
        </w:rPr>
        <w:footnoteReference w:id="12"/>
      </w:r>
    </w:p>
    <w:p w:rsidR="00575EFF" w:rsidRPr="00991CED" w:rsidRDefault="0051360E" w:rsidP="00575EFF">
      <w:pPr>
        <w:spacing w:before="100" w:beforeAutospacing="1" w:after="100" w:afterAutospacing="1" w:line="360" w:lineRule="auto"/>
        <w:mirrorIndents/>
        <w:jc w:val="both"/>
        <w:rPr>
          <w:rFonts w:cs="Arial"/>
          <w:sz w:val="24"/>
        </w:rPr>
      </w:pPr>
      <w:r w:rsidRPr="00991CED">
        <w:rPr>
          <w:rFonts w:cs="Arial"/>
          <w:b/>
          <w:sz w:val="24"/>
        </w:rPr>
        <w:t>2. Violación determinante.</w:t>
      </w:r>
      <w:r w:rsidRPr="00991CED">
        <w:rPr>
          <w:rFonts w:cs="Arial"/>
          <w:sz w:val="24"/>
        </w:rPr>
        <w:t xml:space="preserve"> </w:t>
      </w:r>
      <w:r w:rsidR="00575EFF" w:rsidRPr="00991CED">
        <w:rPr>
          <w:rFonts w:cs="Arial"/>
          <w:sz w:val="24"/>
        </w:rPr>
        <w:t>Este requisito especial de procedibilidad se refiere a que la violación reclamada sea determinante para el desarrollo de un proceso electoral o para el resultado final de las elecciones.</w:t>
      </w:r>
      <w:r w:rsidR="00575EFF" w:rsidRPr="00991CED">
        <w:rPr>
          <w:rFonts w:cs="Arial"/>
          <w:sz w:val="24"/>
          <w:vertAlign w:val="superscript"/>
        </w:rPr>
        <w:footnoteReference w:id="13"/>
      </w:r>
    </w:p>
    <w:p w:rsidR="00575EFF" w:rsidRPr="00991CED" w:rsidRDefault="00575EFF" w:rsidP="00575EFF">
      <w:pPr>
        <w:spacing w:before="100" w:beforeAutospacing="1" w:after="100" w:afterAutospacing="1" w:line="360" w:lineRule="auto"/>
        <w:mirrorIndents/>
        <w:jc w:val="both"/>
        <w:rPr>
          <w:rFonts w:cs="Arial"/>
          <w:sz w:val="24"/>
        </w:rPr>
      </w:pPr>
      <w:r w:rsidRPr="00991CED">
        <w:rPr>
          <w:rFonts w:cs="Arial"/>
          <w:sz w:val="24"/>
        </w:rPr>
        <w:t>Por ello, en el análisis de procedencia del juicio de revisión constitucional electoral, se debe valorar a partir de la apreciación objetiva de la noción temporal, que se vincula con la proximidad de la violación combatida y el desarrollo de los comicios, así como del factor cualitativo, relacionado con la naturaleza de las conductas que motivaron la impugnación y como consecuencia de la participación democrática.</w:t>
      </w:r>
    </w:p>
    <w:p w:rsidR="00575EFF" w:rsidRPr="00991CED" w:rsidRDefault="00575EFF" w:rsidP="00575EFF">
      <w:pPr>
        <w:spacing w:before="100" w:beforeAutospacing="1" w:after="100" w:afterAutospacing="1" w:line="360" w:lineRule="auto"/>
        <w:mirrorIndents/>
        <w:jc w:val="both"/>
        <w:rPr>
          <w:rFonts w:cs="Arial"/>
          <w:sz w:val="24"/>
        </w:rPr>
      </w:pPr>
      <w:r w:rsidRPr="00991CED">
        <w:rPr>
          <w:rFonts w:cs="Arial"/>
          <w:sz w:val="24"/>
        </w:rPr>
        <w:t>En ese sentido el Tribunal electoral ha estimado que al ser la legalidad un principio rector de la función estatal electoral, el requisito de procedibilidad relativo a que la violación reclamada sea determinante para el desarrollo de un proceso electoral o para el resultado final de las elecciones, se debe estimar colmado cuando se impugna un acuerdo que altere o modifique la normativa reglamentaria de carácter general derivado del impacto de la función electoral encomendada a la autoridad vinculada.</w:t>
      </w:r>
      <w:r w:rsidRPr="00991CED">
        <w:rPr>
          <w:rFonts w:cs="Arial"/>
          <w:sz w:val="24"/>
          <w:vertAlign w:val="superscript"/>
        </w:rPr>
        <w:footnoteReference w:id="14"/>
      </w:r>
    </w:p>
    <w:p w:rsidR="0051360E" w:rsidRPr="00991CED" w:rsidRDefault="00575EFF" w:rsidP="0023434D">
      <w:pPr>
        <w:spacing w:before="100" w:beforeAutospacing="1" w:after="100" w:afterAutospacing="1" w:line="360" w:lineRule="auto"/>
        <w:mirrorIndents/>
        <w:jc w:val="both"/>
        <w:rPr>
          <w:rFonts w:cs="Arial"/>
          <w:sz w:val="24"/>
        </w:rPr>
      </w:pPr>
      <w:r w:rsidRPr="00991CED">
        <w:rPr>
          <w:rFonts w:cs="Arial"/>
          <w:sz w:val="24"/>
        </w:rPr>
        <w:t>En el caso concreto, el requisito</w:t>
      </w:r>
      <w:r w:rsidR="0051360E" w:rsidRPr="00991CED">
        <w:rPr>
          <w:rFonts w:cs="Arial"/>
          <w:sz w:val="24"/>
        </w:rPr>
        <w:t xml:space="preserve"> se colma, porque el </w:t>
      </w:r>
      <w:r w:rsidR="00CA606F" w:rsidRPr="00991CED">
        <w:rPr>
          <w:rFonts w:cs="Arial"/>
          <w:sz w:val="24"/>
        </w:rPr>
        <w:t xml:space="preserve">actor tiene como pretensión que se revoque la sentencia del Tribunal local y, en consecuencia, el acuerdo de modificación </w:t>
      </w:r>
      <w:r w:rsidR="00D06B4B" w:rsidRPr="00991CED">
        <w:rPr>
          <w:rFonts w:cs="Arial"/>
          <w:sz w:val="24"/>
        </w:rPr>
        <w:t xml:space="preserve">al Reglamento </w:t>
      </w:r>
      <w:r w:rsidR="00764CF1" w:rsidRPr="00991CED">
        <w:rPr>
          <w:rFonts w:cs="Arial"/>
          <w:sz w:val="24"/>
        </w:rPr>
        <w:t>de</w:t>
      </w:r>
      <w:r w:rsidR="00D06B4B" w:rsidRPr="00991CED">
        <w:rPr>
          <w:rFonts w:cs="Arial"/>
          <w:sz w:val="24"/>
        </w:rPr>
        <w:t xml:space="preserve"> </w:t>
      </w:r>
      <w:r w:rsidR="00764CF1" w:rsidRPr="00991CED">
        <w:rPr>
          <w:rFonts w:cs="Arial"/>
          <w:sz w:val="24"/>
        </w:rPr>
        <w:t>s</w:t>
      </w:r>
      <w:r w:rsidR="00D06B4B" w:rsidRPr="00991CED">
        <w:rPr>
          <w:rFonts w:cs="Arial"/>
          <w:sz w:val="24"/>
        </w:rPr>
        <w:t>esiones</w:t>
      </w:r>
      <w:r w:rsidR="00CA606F" w:rsidRPr="00991CED">
        <w:rPr>
          <w:rFonts w:cs="Arial"/>
          <w:sz w:val="24"/>
        </w:rPr>
        <w:t xml:space="preserve">, </w:t>
      </w:r>
      <w:r w:rsidR="00D06B4B" w:rsidRPr="00991CED">
        <w:rPr>
          <w:rFonts w:cs="Arial"/>
          <w:sz w:val="24"/>
        </w:rPr>
        <w:t xml:space="preserve">relacionadas con la sede de la </w:t>
      </w:r>
      <w:r w:rsidR="00D06B4B" w:rsidRPr="00991CED">
        <w:rPr>
          <w:rFonts w:cs="Arial"/>
          <w:bCs/>
          <w:sz w:val="24"/>
          <w:lang w:val="es-ES_tradnl"/>
        </w:rPr>
        <w:t>celebración de sesiones extraordinarias</w:t>
      </w:r>
      <w:r w:rsidR="006854A0" w:rsidRPr="00991CED">
        <w:rPr>
          <w:rFonts w:cs="Arial"/>
          <w:bCs/>
          <w:sz w:val="24"/>
          <w:lang w:val="es-ES_tradnl"/>
        </w:rPr>
        <w:t xml:space="preserve"> del OPLE</w:t>
      </w:r>
      <w:r w:rsidR="00CA606F" w:rsidRPr="00991CED">
        <w:rPr>
          <w:rFonts w:cs="Arial"/>
          <w:sz w:val="24"/>
        </w:rPr>
        <w:t>, lo cual impacta en el ejercicio de atribuciones de dicho órgano, similar criterio</w:t>
      </w:r>
      <w:r w:rsidR="00764CF1" w:rsidRPr="00991CED">
        <w:rPr>
          <w:rFonts w:cs="Arial"/>
          <w:sz w:val="24"/>
        </w:rPr>
        <w:t xml:space="preserve"> en cuanto al análisis de modificaciones reglamentarias </w:t>
      </w:r>
      <w:r w:rsidR="00CA606F" w:rsidRPr="00991CED">
        <w:rPr>
          <w:rFonts w:cs="Arial"/>
          <w:sz w:val="24"/>
        </w:rPr>
        <w:t>fue sostenido por esta Sala Superior en los juicios SUP-JRC-2/2019 y SUP-JRC-3/2018.</w:t>
      </w:r>
    </w:p>
    <w:p w:rsidR="00D06B4B" w:rsidRPr="00991CED" w:rsidRDefault="00D06B4B" w:rsidP="0023434D">
      <w:pPr>
        <w:spacing w:before="100" w:beforeAutospacing="1" w:after="100" w:afterAutospacing="1" w:line="360" w:lineRule="auto"/>
        <w:mirrorIndents/>
        <w:jc w:val="both"/>
        <w:rPr>
          <w:rFonts w:cs="Arial"/>
          <w:sz w:val="24"/>
        </w:rPr>
      </w:pPr>
      <w:r w:rsidRPr="00991CED">
        <w:rPr>
          <w:rFonts w:cs="Arial"/>
          <w:b/>
          <w:sz w:val="24"/>
        </w:rPr>
        <w:t>3. Posibilidad y factibilidad de la reparación.</w:t>
      </w:r>
      <w:r w:rsidRPr="00991CED">
        <w:rPr>
          <w:rFonts w:cs="Arial"/>
          <w:sz w:val="24"/>
        </w:rPr>
        <w:t xml:space="preserve"> La reparación del agravio es </w:t>
      </w:r>
      <w:r w:rsidR="00E87734" w:rsidRPr="00991CED">
        <w:rPr>
          <w:rFonts w:cs="Arial"/>
          <w:sz w:val="24"/>
        </w:rPr>
        <w:t>material</w:t>
      </w:r>
      <w:r w:rsidRPr="00991CED">
        <w:rPr>
          <w:rFonts w:cs="Arial"/>
          <w:sz w:val="24"/>
        </w:rPr>
        <w:t xml:space="preserve"> y jurídicamente posible, en tanto que, de acoger su </w:t>
      </w:r>
      <w:r w:rsidR="00E87734" w:rsidRPr="00991CED">
        <w:rPr>
          <w:rFonts w:cs="Arial"/>
          <w:sz w:val="24"/>
        </w:rPr>
        <w:t>pretensión</w:t>
      </w:r>
      <w:r w:rsidRPr="00991CED">
        <w:rPr>
          <w:rFonts w:cs="Arial"/>
          <w:sz w:val="24"/>
        </w:rPr>
        <w:t xml:space="preserve">, habría la posibilidad jurídica y material de revocar la sentencia impugnada con todos sus </w:t>
      </w:r>
      <w:r w:rsidR="00E87734" w:rsidRPr="00991CED">
        <w:rPr>
          <w:rFonts w:cs="Arial"/>
          <w:sz w:val="24"/>
        </w:rPr>
        <w:t>efectos</w:t>
      </w:r>
      <w:r w:rsidRPr="00991CED">
        <w:rPr>
          <w:rFonts w:cs="Arial"/>
          <w:sz w:val="24"/>
        </w:rPr>
        <w:t xml:space="preserve"> jurídicos.</w:t>
      </w:r>
    </w:p>
    <w:p w:rsidR="00007EE9" w:rsidRPr="00991CED" w:rsidRDefault="00007EE9" w:rsidP="0023434D">
      <w:pPr>
        <w:spacing w:before="100" w:beforeAutospacing="1" w:after="100" w:afterAutospacing="1" w:line="360" w:lineRule="auto"/>
        <w:mirrorIndents/>
        <w:jc w:val="both"/>
        <w:rPr>
          <w:rFonts w:cs="Arial"/>
          <w:sz w:val="24"/>
        </w:rPr>
      </w:pPr>
      <w:r w:rsidRPr="00991CED">
        <w:rPr>
          <w:rFonts w:cs="Arial"/>
          <w:sz w:val="24"/>
        </w:rPr>
        <w:t>En consecuencia, toda vez que se encuentran satisfechos los requisitos procesales antes descritos, se procede al análisis del estudio del fondo de la controversia.</w:t>
      </w:r>
    </w:p>
    <w:p w:rsidR="009526C8" w:rsidRPr="00991CED" w:rsidRDefault="00295C43" w:rsidP="009526C8">
      <w:pPr>
        <w:pStyle w:val="Ttulo1"/>
        <w:spacing w:before="100" w:beforeAutospacing="1" w:after="100" w:afterAutospacing="1" w:line="360" w:lineRule="auto"/>
        <w:jc w:val="center"/>
        <w:rPr>
          <w:rFonts w:ascii="Arial" w:eastAsia="Times New Roman" w:hAnsi="Arial" w:cs="Arial"/>
          <w:b/>
          <w:color w:val="auto"/>
          <w:sz w:val="24"/>
          <w:szCs w:val="24"/>
          <w:lang w:eastAsia="es-MX"/>
        </w:rPr>
      </w:pPr>
      <w:bookmarkStart w:id="15" w:name="_Toc45271799"/>
      <w:r w:rsidRPr="00991CED">
        <w:rPr>
          <w:rFonts w:ascii="Arial" w:eastAsia="Times New Roman" w:hAnsi="Arial" w:cs="Arial"/>
          <w:b/>
          <w:color w:val="auto"/>
          <w:sz w:val="24"/>
          <w:szCs w:val="24"/>
          <w:lang w:eastAsia="es-MX"/>
        </w:rPr>
        <w:t>V</w:t>
      </w:r>
      <w:r w:rsidR="009526C8" w:rsidRPr="00991CED">
        <w:rPr>
          <w:rFonts w:ascii="Arial" w:eastAsia="Times New Roman" w:hAnsi="Arial" w:cs="Arial"/>
          <w:b/>
          <w:color w:val="auto"/>
          <w:sz w:val="24"/>
          <w:szCs w:val="24"/>
          <w:lang w:eastAsia="es-MX"/>
        </w:rPr>
        <w:t>. ESTUDIO DE</w:t>
      </w:r>
      <w:r w:rsidR="008A409A" w:rsidRPr="00991CED">
        <w:rPr>
          <w:rFonts w:ascii="Arial" w:eastAsia="Times New Roman" w:hAnsi="Arial" w:cs="Arial"/>
          <w:b/>
          <w:color w:val="auto"/>
          <w:sz w:val="24"/>
          <w:szCs w:val="24"/>
          <w:lang w:eastAsia="es-MX"/>
        </w:rPr>
        <w:t>L</w:t>
      </w:r>
      <w:r w:rsidR="009526C8" w:rsidRPr="00991CED">
        <w:rPr>
          <w:rFonts w:ascii="Arial" w:eastAsia="Times New Roman" w:hAnsi="Arial" w:cs="Arial"/>
          <w:b/>
          <w:color w:val="auto"/>
          <w:sz w:val="24"/>
          <w:szCs w:val="24"/>
          <w:lang w:eastAsia="es-MX"/>
        </w:rPr>
        <w:t xml:space="preserve"> FONDO.</w:t>
      </w:r>
      <w:bookmarkEnd w:id="15"/>
    </w:p>
    <w:p w:rsidR="00B74A73" w:rsidRPr="00991CED" w:rsidRDefault="00B74A73" w:rsidP="008A409A">
      <w:pPr>
        <w:spacing w:before="100" w:beforeAutospacing="1" w:after="100" w:afterAutospacing="1" w:line="360" w:lineRule="auto"/>
        <w:jc w:val="both"/>
        <w:rPr>
          <w:rFonts w:eastAsia="Times New Roman" w:cs="Arial"/>
          <w:b/>
          <w:sz w:val="24"/>
          <w:szCs w:val="24"/>
          <w:lang w:eastAsia="es-MX"/>
        </w:rPr>
      </w:pPr>
      <w:r w:rsidRPr="00991CED">
        <w:rPr>
          <w:rFonts w:eastAsia="Times New Roman" w:cs="Arial"/>
          <w:b/>
          <w:sz w:val="24"/>
          <w:szCs w:val="24"/>
          <w:lang w:eastAsia="es-MX"/>
        </w:rPr>
        <w:t>1.</w:t>
      </w:r>
      <w:r w:rsidR="0008751C" w:rsidRPr="00991CED">
        <w:rPr>
          <w:rFonts w:eastAsia="Times New Roman" w:cs="Arial"/>
          <w:b/>
          <w:sz w:val="24"/>
          <w:szCs w:val="24"/>
          <w:lang w:eastAsia="es-MX"/>
        </w:rPr>
        <w:t>- Conceptos</w:t>
      </w:r>
      <w:r w:rsidRPr="00991CED">
        <w:rPr>
          <w:rFonts w:eastAsia="Times New Roman" w:cs="Arial"/>
          <w:b/>
          <w:sz w:val="24"/>
          <w:szCs w:val="24"/>
          <w:lang w:eastAsia="es-MX"/>
        </w:rPr>
        <w:t xml:space="preserve"> de agravio del actor</w:t>
      </w:r>
      <w:r w:rsidR="00581256">
        <w:rPr>
          <w:rFonts w:eastAsia="Times New Roman" w:cs="Arial"/>
          <w:b/>
          <w:sz w:val="24"/>
          <w:szCs w:val="24"/>
          <w:lang w:eastAsia="es-MX"/>
        </w:rPr>
        <w:t>.</w:t>
      </w:r>
    </w:p>
    <w:p w:rsidR="0008520A" w:rsidRPr="00991CED" w:rsidRDefault="008A409A" w:rsidP="008A409A">
      <w:pPr>
        <w:spacing w:before="100" w:beforeAutospacing="1" w:after="100" w:afterAutospacing="1" w:line="360" w:lineRule="auto"/>
        <w:jc w:val="both"/>
        <w:rPr>
          <w:rFonts w:eastAsia="Times New Roman" w:cs="Arial"/>
          <w:sz w:val="24"/>
          <w:szCs w:val="24"/>
          <w:lang w:eastAsia="es-MX"/>
        </w:rPr>
      </w:pPr>
      <w:r w:rsidRPr="00991CED">
        <w:rPr>
          <w:rFonts w:eastAsia="Times New Roman" w:cs="Arial"/>
          <w:sz w:val="24"/>
          <w:szCs w:val="24"/>
          <w:lang w:eastAsia="es-MX"/>
        </w:rPr>
        <w:t>Del análisis del escrito de demanda se observa que el partido político actor expone diversos conceptos de agravio, en los que aduce que la actuación del Tribunal local f</w:t>
      </w:r>
      <w:r w:rsidR="0008520A" w:rsidRPr="00991CED">
        <w:rPr>
          <w:rFonts w:eastAsia="Times New Roman" w:cs="Arial"/>
          <w:sz w:val="24"/>
          <w:szCs w:val="24"/>
          <w:lang w:eastAsia="es-MX"/>
        </w:rPr>
        <w:t>u</w:t>
      </w:r>
      <w:r w:rsidRPr="00991CED">
        <w:rPr>
          <w:rFonts w:eastAsia="Times New Roman" w:cs="Arial"/>
          <w:sz w:val="24"/>
          <w:szCs w:val="24"/>
          <w:lang w:eastAsia="es-MX"/>
        </w:rPr>
        <w:t>e indebida, pues desde su perspectiva se debió revocar el acuerdo primigeniamente impugnado</w:t>
      </w:r>
      <w:r w:rsidR="00B937A1" w:rsidRPr="00991CED">
        <w:rPr>
          <w:rFonts w:eastAsia="Times New Roman" w:cs="Arial"/>
          <w:sz w:val="24"/>
          <w:szCs w:val="24"/>
          <w:lang w:eastAsia="es-MX"/>
        </w:rPr>
        <w:t>.</w:t>
      </w:r>
    </w:p>
    <w:p w:rsidR="00484B8D" w:rsidRPr="00991CED" w:rsidRDefault="008A409A" w:rsidP="00484B8D">
      <w:pPr>
        <w:spacing w:before="100" w:beforeAutospacing="1" w:after="100" w:afterAutospacing="1" w:line="360" w:lineRule="auto"/>
        <w:jc w:val="both"/>
        <w:rPr>
          <w:rFonts w:eastAsia="Times New Roman" w:cs="Arial"/>
          <w:sz w:val="24"/>
          <w:szCs w:val="24"/>
          <w:lang w:eastAsia="es-MX"/>
        </w:rPr>
      </w:pPr>
      <w:r w:rsidRPr="00991CED">
        <w:rPr>
          <w:rFonts w:eastAsia="Times New Roman" w:cs="Arial"/>
          <w:sz w:val="24"/>
          <w:szCs w:val="24"/>
          <w:lang w:eastAsia="es-MX"/>
        </w:rPr>
        <w:t xml:space="preserve">Los conceptos de agravio </w:t>
      </w:r>
      <w:r w:rsidR="00484B8D" w:rsidRPr="00991CED">
        <w:rPr>
          <w:rFonts w:eastAsia="Times New Roman" w:cs="Arial"/>
          <w:sz w:val="24"/>
          <w:szCs w:val="24"/>
          <w:lang w:eastAsia="es-MX"/>
        </w:rPr>
        <w:t>versan sobre los siguientes tres temas</w:t>
      </w:r>
      <w:r w:rsidRPr="00991CED">
        <w:rPr>
          <w:rFonts w:eastAsia="Times New Roman" w:cs="Arial"/>
          <w:sz w:val="24"/>
          <w:szCs w:val="24"/>
          <w:lang w:eastAsia="es-MX"/>
        </w:rPr>
        <w:t>:</w:t>
      </w:r>
      <w:r w:rsidR="00484B8D" w:rsidRPr="00991CED">
        <w:rPr>
          <w:rFonts w:eastAsia="Times New Roman" w:cs="Arial"/>
          <w:sz w:val="24"/>
          <w:szCs w:val="24"/>
          <w:lang w:eastAsia="es-MX"/>
        </w:rPr>
        <w:t xml:space="preserve"> </w:t>
      </w:r>
      <w:r w:rsidR="00484B8D" w:rsidRPr="00991CED">
        <w:rPr>
          <w:rFonts w:eastAsia="Times New Roman" w:cs="Arial"/>
          <w:b/>
          <w:sz w:val="24"/>
          <w:szCs w:val="24"/>
          <w:lang w:eastAsia="es-MX"/>
        </w:rPr>
        <w:t>a</w:t>
      </w:r>
      <w:r w:rsidRPr="00991CED">
        <w:rPr>
          <w:rFonts w:eastAsia="Times New Roman" w:cs="Arial"/>
          <w:b/>
          <w:sz w:val="24"/>
          <w:szCs w:val="24"/>
          <w:lang w:eastAsia="es-MX"/>
        </w:rPr>
        <w:t>)</w:t>
      </w:r>
      <w:r w:rsidRPr="00991CED">
        <w:rPr>
          <w:rFonts w:eastAsia="Times New Roman" w:cs="Arial"/>
          <w:sz w:val="24"/>
          <w:szCs w:val="24"/>
          <w:lang w:eastAsia="es-MX"/>
        </w:rPr>
        <w:t xml:space="preserve"> Violación al principio de legalidad</w:t>
      </w:r>
      <w:r w:rsidR="00484B8D" w:rsidRPr="00991CED">
        <w:rPr>
          <w:rFonts w:eastAsia="Times New Roman" w:cs="Arial"/>
          <w:sz w:val="24"/>
          <w:szCs w:val="24"/>
          <w:lang w:eastAsia="es-MX"/>
        </w:rPr>
        <w:t xml:space="preserve">; </w:t>
      </w:r>
      <w:r w:rsidR="00484B8D" w:rsidRPr="00991CED">
        <w:rPr>
          <w:rFonts w:eastAsia="Times New Roman" w:cs="Arial"/>
          <w:b/>
          <w:sz w:val="24"/>
          <w:szCs w:val="24"/>
          <w:lang w:eastAsia="es-MX"/>
        </w:rPr>
        <w:t>b</w:t>
      </w:r>
      <w:r w:rsidRPr="00991CED">
        <w:rPr>
          <w:rFonts w:eastAsia="Times New Roman" w:cs="Arial"/>
          <w:b/>
          <w:sz w:val="24"/>
          <w:szCs w:val="24"/>
          <w:lang w:eastAsia="es-MX"/>
        </w:rPr>
        <w:t>)</w:t>
      </w:r>
      <w:r w:rsidRPr="00991CED">
        <w:rPr>
          <w:rFonts w:eastAsia="Times New Roman" w:cs="Arial"/>
          <w:sz w:val="24"/>
          <w:szCs w:val="24"/>
          <w:lang w:eastAsia="es-MX"/>
        </w:rPr>
        <w:t xml:space="preserve"> Indebida motivación</w:t>
      </w:r>
      <w:r w:rsidR="00484B8D" w:rsidRPr="00991CED">
        <w:rPr>
          <w:rFonts w:eastAsia="Times New Roman" w:cs="Arial"/>
          <w:sz w:val="24"/>
          <w:szCs w:val="24"/>
          <w:lang w:eastAsia="es-MX"/>
        </w:rPr>
        <w:t xml:space="preserve">, y </w:t>
      </w:r>
      <w:r w:rsidR="00484B8D" w:rsidRPr="00991CED">
        <w:rPr>
          <w:rFonts w:eastAsia="Times New Roman" w:cs="Arial"/>
          <w:b/>
          <w:sz w:val="24"/>
          <w:szCs w:val="24"/>
          <w:lang w:eastAsia="es-MX"/>
        </w:rPr>
        <w:t>c)</w:t>
      </w:r>
      <w:r w:rsidR="00484B8D" w:rsidRPr="00991CED">
        <w:rPr>
          <w:rFonts w:eastAsia="Times New Roman" w:cs="Arial"/>
          <w:sz w:val="24"/>
          <w:szCs w:val="24"/>
          <w:lang w:eastAsia="es-MX"/>
        </w:rPr>
        <w:t xml:space="preserve"> Omisión de señalar los casos excepcionales. </w:t>
      </w:r>
    </w:p>
    <w:p w:rsidR="00B74A73" w:rsidRPr="00991CED" w:rsidRDefault="00B13E5F" w:rsidP="00B74A73">
      <w:pPr>
        <w:spacing w:before="100" w:beforeAutospacing="1" w:after="100" w:afterAutospacing="1" w:line="360" w:lineRule="auto"/>
        <w:jc w:val="both"/>
        <w:rPr>
          <w:rFonts w:eastAsia="Times New Roman" w:cs="Arial"/>
          <w:sz w:val="24"/>
          <w:szCs w:val="24"/>
          <w:lang w:eastAsia="es-MX"/>
        </w:rPr>
      </w:pPr>
      <w:r w:rsidRPr="00991CED">
        <w:rPr>
          <w:rFonts w:eastAsia="Times New Roman" w:cs="Arial"/>
          <w:b/>
          <w:sz w:val="24"/>
          <w:szCs w:val="24"/>
          <w:lang w:eastAsia="es-MX"/>
        </w:rPr>
        <w:t>a</w:t>
      </w:r>
      <w:r w:rsidR="00B74A73" w:rsidRPr="00991CED">
        <w:rPr>
          <w:rFonts w:eastAsia="Times New Roman" w:cs="Arial"/>
          <w:b/>
          <w:sz w:val="24"/>
          <w:szCs w:val="24"/>
          <w:lang w:eastAsia="es-MX"/>
        </w:rPr>
        <w:t xml:space="preserve">) Violación al principio de legalidad. </w:t>
      </w:r>
      <w:r w:rsidR="00B74A73" w:rsidRPr="00991CED">
        <w:rPr>
          <w:rFonts w:eastAsia="Times New Roman" w:cs="Arial"/>
          <w:sz w:val="24"/>
          <w:szCs w:val="24"/>
          <w:lang w:eastAsia="es-MX"/>
        </w:rPr>
        <w:t>Sostiene que el Tribunal local señaló indebidamente que la Ley de Instituciones no prohíbe que el Consejo General sesione fuera de su sede; sin embargo, en su concepto, las autoridades solamente pueden hacer aquello que la ley les permite, motivo por el cual las sesiones deben ser en la capital del Estado.</w:t>
      </w:r>
    </w:p>
    <w:p w:rsidR="00B74A73" w:rsidRPr="00991CED" w:rsidRDefault="00B13E5F" w:rsidP="00B74A73">
      <w:pPr>
        <w:spacing w:before="100" w:beforeAutospacing="1" w:after="100" w:afterAutospacing="1" w:line="360" w:lineRule="auto"/>
        <w:jc w:val="both"/>
        <w:rPr>
          <w:rFonts w:eastAsia="Times New Roman" w:cs="Arial"/>
          <w:sz w:val="24"/>
          <w:szCs w:val="24"/>
          <w:lang w:eastAsia="es-MX"/>
        </w:rPr>
      </w:pPr>
      <w:r w:rsidRPr="00991CED">
        <w:rPr>
          <w:rFonts w:eastAsia="Times New Roman" w:cs="Arial"/>
          <w:b/>
          <w:sz w:val="24"/>
          <w:szCs w:val="24"/>
          <w:lang w:eastAsia="es-MX"/>
        </w:rPr>
        <w:t>b</w:t>
      </w:r>
      <w:r w:rsidR="00B74A73" w:rsidRPr="00991CED">
        <w:rPr>
          <w:rFonts w:eastAsia="Times New Roman" w:cs="Arial"/>
          <w:b/>
          <w:sz w:val="24"/>
          <w:szCs w:val="24"/>
          <w:lang w:eastAsia="es-MX"/>
        </w:rPr>
        <w:t xml:space="preserve">) Indebida motivación. </w:t>
      </w:r>
      <w:r w:rsidR="00B74A73" w:rsidRPr="00991CED">
        <w:rPr>
          <w:rFonts w:eastAsia="Times New Roman" w:cs="Arial"/>
          <w:sz w:val="24"/>
          <w:szCs w:val="24"/>
          <w:lang w:eastAsia="es-MX"/>
        </w:rPr>
        <w:t xml:space="preserve">El actor manifiesta que indebidamente </w:t>
      </w:r>
      <w:r w:rsidR="005A0B34" w:rsidRPr="00991CED">
        <w:rPr>
          <w:rFonts w:eastAsia="Times New Roman" w:cs="Arial"/>
          <w:sz w:val="24"/>
          <w:szCs w:val="24"/>
          <w:lang w:eastAsia="es-MX"/>
        </w:rPr>
        <w:t>el OPLE</w:t>
      </w:r>
      <w:r w:rsidR="00B74A73" w:rsidRPr="00991CED">
        <w:rPr>
          <w:rFonts w:eastAsia="Times New Roman" w:cs="Arial"/>
          <w:sz w:val="24"/>
          <w:szCs w:val="24"/>
          <w:lang w:eastAsia="es-MX"/>
        </w:rPr>
        <w:t xml:space="preserve"> consideró que la reforma reglamentaria pretende fortalecer el desarrollo de la democracia, sin embargo, el actor afirma que ello se puede hacer sin sesionar.</w:t>
      </w:r>
    </w:p>
    <w:p w:rsidR="00B13E5F" w:rsidRPr="00991CED" w:rsidRDefault="00B13E5F" w:rsidP="00B13E5F">
      <w:pPr>
        <w:spacing w:before="100" w:beforeAutospacing="1" w:after="100" w:afterAutospacing="1" w:line="360" w:lineRule="auto"/>
        <w:jc w:val="both"/>
        <w:rPr>
          <w:rFonts w:eastAsia="Times New Roman" w:cs="Arial"/>
          <w:b/>
          <w:sz w:val="24"/>
          <w:szCs w:val="24"/>
          <w:lang w:eastAsia="es-MX"/>
        </w:rPr>
      </w:pPr>
      <w:r w:rsidRPr="00991CED">
        <w:rPr>
          <w:rFonts w:eastAsia="Times New Roman" w:cs="Arial"/>
          <w:b/>
          <w:sz w:val="24"/>
          <w:szCs w:val="24"/>
          <w:lang w:eastAsia="es-MX"/>
        </w:rPr>
        <w:t xml:space="preserve">c) Omisión de señalar los casos excepcionales. </w:t>
      </w:r>
      <w:r w:rsidRPr="00991CED">
        <w:rPr>
          <w:rFonts w:eastAsia="Times New Roman" w:cs="Arial"/>
          <w:sz w:val="24"/>
          <w:szCs w:val="24"/>
          <w:lang w:eastAsia="es-MX"/>
        </w:rPr>
        <w:t>Alega que en el acuerdo del OPLE no se establece cuáles serán las razones excepcionales para sesionar fuera de la sede del Consejo General.</w:t>
      </w:r>
    </w:p>
    <w:p w:rsidR="00484B8D" w:rsidRPr="00991CED" w:rsidRDefault="004F44DD" w:rsidP="008A409A">
      <w:pPr>
        <w:spacing w:before="100" w:beforeAutospacing="1" w:after="100" w:afterAutospacing="1" w:line="360" w:lineRule="auto"/>
        <w:jc w:val="both"/>
        <w:rPr>
          <w:rFonts w:eastAsia="Times New Roman" w:cs="Arial"/>
          <w:sz w:val="24"/>
          <w:szCs w:val="24"/>
          <w:lang w:eastAsia="es-MX"/>
        </w:rPr>
      </w:pPr>
      <w:r w:rsidRPr="00991CED">
        <w:rPr>
          <w:rFonts w:eastAsia="Times New Roman" w:cs="Arial"/>
          <w:sz w:val="24"/>
          <w:szCs w:val="24"/>
          <w:lang w:eastAsia="es-MX"/>
        </w:rPr>
        <w:t>Los conceptos de agravio se analizarán de manera conjunta, porque de su lectura se advierte que el actor realmente insiste en que no está previsto en la ley que el Consejo General pueda sesionar en una sede alterna</w:t>
      </w:r>
      <w:r w:rsidR="00B937A1" w:rsidRPr="00991CED">
        <w:rPr>
          <w:rFonts w:eastAsia="Times New Roman" w:cs="Arial"/>
          <w:sz w:val="24"/>
          <w:szCs w:val="24"/>
          <w:lang w:eastAsia="es-MX"/>
        </w:rPr>
        <w:t>.</w:t>
      </w:r>
      <w:r w:rsidR="00B937A1" w:rsidRPr="00991CED">
        <w:rPr>
          <w:rStyle w:val="Refdenotaalpie"/>
          <w:rFonts w:eastAsia="Times New Roman" w:cs="Arial"/>
          <w:sz w:val="24"/>
          <w:szCs w:val="24"/>
          <w:lang w:eastAsia="es-MX"/>
        </w:rPr>
        <w:footnoteReference w:id="15"/>
      </w:r>
    </w:p>
    <w:p w:rsidR="008A409A" w:rsidRPr="00991CED" w:rsidRDefault="00B74A73" w:rsidP="008A409A">
      <w:pPr>
        <w:spacing w:before="100" w:beforeAutospacing="1" w:after="100" w:afterAutospacing="1" w:line="360" w:lineRule="auto"/>
        <w:jc w:val="both"/>
        <w:rPr>
          <w:rFonts w:eastAsia="Times New Roman" w:cs="Arial"/>
          <w:b/>
          <w:sz w:val="24"/>
          <w:szCs w:val="24"/>
          <w:lang w:eastAsia="es-MX"/>
        </w:rPr>
      </w:pPr>
      <w:r w:rsidRPr="00991CED">
        <w:rPr>
          <w:rFonts w:eastAsia="Times New Roman" w:cs="Arial"/>
          <w:b/>
          <w:sz w:val="24"/>
          <w:szCs w:val="24"/>
          <w:lang w:eastAsia="es-MX"/>
        </w:rPr>
        <w:t>2.- Análisis conjunto de los conceptos de agravi</w:t>
      </w:r>
      <w:r w:rsidR="0060783C">
        <w:rPr>
          <w:rFonts w:eastAsia="Times New Roman" w:cs="Arial"/>
          <w:b/>
          <w:sz w:val="24"/>
          <w:szCs w:val="24"/>
          <w:lang w:eastAsia="es-MX"/>
        </w:rPr>
        <w:t>o.</w:t>
      </w:r>
    </w:p>
    <w:p w:rsidR="00B74A73" w:rsidRPr="00991CED" w:rsidRDefault="00B74A73" w:rsidP="00B74A73">
      <w:pPr>
        <w:spacing w:before="100" w:beforeAutospacing="1" w:after="100" w:afterAutospacing="1" w:line="360" w:lineRule="auto"/>
        <w:jc w:val="both"/>
        <w:rPr>
          <w:rFonts w:cs="Arial"/>
          <w:sz w:val="24"/>
          <w:szCs w:val="24"/>
        </w:rPr>
      </w:pPr>
      <w:r w:rsidRPr="00991CED">
        <w:rPr>
          <w:rFonts w:cs="Arial"/>
          <w:sz w:val="24"/>
          <w:szCs w:val="24"/>
        </w:rPr>
        <w:t xml:space="preserve">Esta Sala Superior considera </w:t>
      </w:r>
      <w:r w:rsidRPr="00991CED">
        <w:rPr>
          <w:rFonts w:cs="Arial"/>
          <w:b/>
          <w:sz w:val="24"/>
          <w:szCs w:val="24"/>
        </w:rPr>
        <w:t xml:space="preserve">inoperantes </w:t>
      </w:r>
      <w:r w:rsidRPr="00991CED">
        <w:rPr>
          <w:rFonts w:cs="Arial"/>
          <w:sz w:val="24"/>
          <w:szCs w:val="24"/>
        </w:rPr>
        <w:t>los conceptos de agravio</w:t>
      </w:r>
      <w:r w:rsidRPr="00991CED">
        <w:rPr>
          <w:rFonts w:cs="Arial"/>
          <w:b/>
          <w:sz w:val="24"/>
          <w:szCs w:val="24"/>
        </w:rPr>
        <w:t xml:space="preserve">, </w:t>
      </w:r>
      <w:r w:rsidRPr="00991CED">
        <w:rPr>
          <w:rFonts w:cs="Arial"/>
          <w:sz w:val="24"/>
          <w:szCs w:val="24"/>
        </w:rPr>
        <w:t xml:space="preserve">porque se trata de argumentación novedosa y </w:t>
      </w:r>
      <w:r w:rsidR="000553DE" w:rsidRPr="00991CED">
        <w:rPr>
          <w:rFonts w:cs="Arial"/>
          <w:sz w:val="24"/>
          <w:szCs w:val="24"/>
        </w:rPr>
        <w:t xml:space="preserve">realmente </w:t>
      </w:r>
      <w:r w:rsidRPr="00991CED">
        <w:rPr>
          <w:rFonts w:cs="Arial"/>
          <w:sz w:val="24"/>
          <w:szCs w:val="24"/>
        </w:rPr>
        <w:t>no controvierte las razones expuestas por el Tribunal local</w:t>
      </w:r>
      <w:r w:rsidR="00676057" w:rsidRPr="00991CED">
        <w:rPr>
          <w:rFonts w:cs="Arial"/>
          <w:sz w:val="24"/>
          <w:szCs w:val="24"/>
        </w:rPr>
        <w:t>, como se expone a continuación:</w:t>
      </w:r>
    </w:p>
    <w:p w:rsidR="00B74A73" w:rsidRPr="00991CED" w:rsidRDefault="00B74A73" w:rsidP="00B74A73">
      <w:pPr>
        <w:spacing w:before="100" w:beforeAutospacing="1" w:after="100" w:afterAutospacing="1" w:line="360" w:lineRule="auto"/>
        <w:jc w:val="both"/>
        <w:rPr>
          <w:rFonts w:cs="Arial"/>
          <w:sz w:val="24"/>
          <w:szCs w:val="24"/>
        </w:rPr>
      </w:pPr>
      <w:r w:rsidRPr="00991CED">
        <w:rPr>
          <w:rFonts w:cs="Arial"/>
          <w:sz w:val="24"/>
          <w:szCs w:val="24"/>
        </w:rPr>
        <w:t xml:space="preserve">El Tribunal local determinó validar el acuerdo del OPLE, mediante el que se estableció la posibilidad de celebrar sesiones en alguna sede alterna, conforme a los siguientes argumentos: </w:t>
      </w:r>
    </w:p>
    <w:p w:rsidR="00B74A73" w:rsidRPr="00991CED" w:rsidRDefault="00100AAF" w:rsidP="00B74A73">
      <w:pPr>
        <w:spacing w:line="360" w:lineRule="auto"/>
        <w:jc w:val="both"/>
        <w:rPr>
          <w:rFonts w:eastAsia="Times New Roman" w:cs="Arial"/>
          <w:sz w:val="24"/>
          <w:szCs w:val="24"/>
        </w:rPr>
      </w:pPr>
      <w:r w:rsidRPr="00991CED">
        <w:rPr>
          <w:rFonts w:eastAsia="Times New Roman" w:cs="Arial"/>
          <w:b/>
          <w:bCs/>
          <w:sz w:val="24"/>
          <w:szCs w:val="24"/>
        </w:rPr>
        <w:t>a)</w:t>
      </w:r>
      <w:r w:rsidR="00B74A73" w:rsidRPr="00991CED">
        <w:rPr>
          <w:rFonts w:eastAsia="Times New Roman" w:cs="Arial"/>
          <w:b/>
          <w:bCs/>
          <w:sz w:val="24"/>
          <w:szCs w:val="24"/>
        </w:rPr>
        <w:t xml:space="preserve"> No se vulnera la ley. </w:t>
      </w:r>
      <w:r w:rsidR="00B74A73" w:rsidRPr="00991CED">
        <w:rPr>
          <w:rFonts w:eastAsia="Times New Roman" w:cs="Arial"/>
          <w:sz w:val="24"/>
          <w:szCs w:val="24"/>
        </w:rPr>
        <w:t xml:space="preserve">El Tribunal local consideró que no se vulneraba la Ley de Instituciones, porque no se prevé que el Consejo General deba sesionar de manera exclusiva en la capital del estado, sino que en la legislación únicamente se precisa el domicilio en donde deberán estar ubicadas sus oficinas (artículo 77 de la Ley de Instituciones). </w:t>
      </w:r>
    </w:p>
    <w:p w:rsidR="00B74A73" w:rsidRPr="00991CED" w:rsidRDefault="00B74A73" w:rsidP="00B74A73">
      <w:pPr>
        <w:spacing w:before="100" w:beforeAutospacing="1" w:after="100" w:afterAutospacing="1" w:line="360" w:lineRule="auto"/>
        <w:jc w:val="both"/>
        <w:rPr>
          <w:rFonts w:cs="Arial"/>
          <w:sz w:val="24"/>
        </w:rPr>
      </w:pPr>
      <w:r w:rsidRPr="00991CED">
        <w:rPr>
          <w:rFonts w:eastAsia="Times New Roman" w:cs="Arial"/>
          <w:sz w:val="24"/>
          <w:szCs w:val="24"/>
        </w:rPr>
        <w:t>El Tribunal local determinó que</w:t>
      </w:r>
      <w:r w:rsidRPr="00991CED">
        <w:rPr>
          <w:rFonts w:cs="Arial"/>
          <w:sz w:val="24"/>
        </w:rPr>
        <w:t xml:space="preserve"> en la Ley de Instituciones no se establece ninguna disposición que señale si es posible o no que el Consejo General sesione en un lugar distinto a su sede, por lo que es facultad del Consejo General reglamentar esa circunstancia. </w:t>
      </w:r>
    </w:p>
    <w:p w:rsidR="00B74A73" w:rsidRPr="00991CED" w:rsidRDefault="00100AAF" w:rsidP="00B74A73">
      <w:pPr>
        <w:spacing w:before="100" w:beforeAutospacing="1" w:after="100" w:afterAutospacing="1" w:line="360" w:lineRule="auto"/>
        <w:jc w:val="both"/>
        <w:rPr>
          <w:rFonts w:cs="Arial"/>
          <w:sz w:val="24"/>
        </w:rPr>
      </w:pPr>
      <w:r w:rsidRPr="00991CED">
        <w:rPr>
          <w:rFonts w:cs="Arial"/>
          <w:b/>
          <w:sz w:val="24"/>
        </w:rPr>
        <w:t xml:space="preserve">b) </w:t>
      </w:r>
      <w:r w:rsidR="00B74A73" w:rsidRPr="00991CED">
        <w:rPr>
          <w:rFonts w:cs="Arial"/>
          <w:b/>
          <w:sz w:val="24"/>
        </w:rPr>
        <w:t>Los consejos municipales no pueden suplir al Consejo General.</w:t>
      </w:r>
      <w:r w:rsidR="00B74A73" w:rsidRPr="00991CED">
        <w:rPr>
          <w:rFonts w:cs="Arial"/>
          <w:sz w:val="24"/>
        </w:rPr>
        <w:t xml:space="preserve"> El Tribunal local consideró infundado lo argumentado por el actor respecto a que las gestiones que pretende realizar el Consejo General, al sesionar en un lugar diferente a la capital del Estado, las pueden realizar los consejos municipales, porque estos órganos solamente actúan durante el proceso electoral. </w:t>
      </w:r>
    </w:p>
    <w:p w:rsidR="00B74A73" w:rsidRPr="00991CED" w:rsidRDefault="00100AAF" w:rsidP="00B74A73">
      <w:pPr>
        <w:spacing w:before="100" w:beforeAutospacing="1" w:after="100" w:afterAutospacing="1" w:line="360" w:lineRule="auto"/>
        <w:jc w:val="both"/>
        <w:rPr>
          <w:rFonts w:eastAsia="Times New Roman" w:cs="Arial"/>
          <w:sz w:val="24"/>
          <w:szCs w:val="24"/>
        </w:rPr>
      </w:pPr>
      <w:r w:rsidRPr="00991CED">
        <w:rPr>
          <w:rFonts w:eastAsia="Times New Roman" w:cs="Arial"/>
          <w:b/>
          <w:bCs/>
          <w:sz w:val="24"/>
          <w:szCs w:val="24"/>
        </w:rPr>
        <w:t xml:space="preserve">c) </w:t>
      </w:r>
      <w:r w:rsidR="00B74A73" w:rsidRPr="00991CED">
        <w:rPr>
          <w:rFonts w:eastAsia="Times New Roman" w:cs="Arial"/>
          <w:b/>
          <w:bCs/>
          <w:sz w:val="24"/>
          <w:szCs w:val="24"/>
        </w:rPr>
        <w:t xml:space="preserve">La modificación reglamentaria tiene como finalidad el fortalecimiento de la cultura democrática. </w:t>
      </w:r>
      <w:r w:rsidR="00B74A73" w:rsidRPr="00991CED">
        <w:rPr>
          <w:rFonts w:eastAsia="Times New Roman" w:cs="Arial"/>
          <w:sz w:val="24"/>
          <w:szCs w:val="24"/>
        </w:rPr>
        <w:t>En su sentencia, el Tribunal local destacó que</w:t>
      </w:r>
      <w:r w:rsidR="00676057" w:rsidRPr="00991CED">
        <w:rPr>
          <w:rFonts w:eastAsia="Times New Roman" w:cs="Arial"/>
          <w:sz w:val="24"/>
          <w:szCs w:val="24"/>
        </w:rPr>
        <w:t>, tal como lo razonó el OPLE,</w:t>
      </w:r>
      <w:r w:rsidR="00B74A73" w:rsidRPr="00991CED">
        <w:rPr>
          <w:rFonts w:eastAsia="Times New Roman" w:cs="Arial"/>
          <w:sz w:val="24"/>
          <w:szCs w:val="24"/>
        </w:rPr>
        <w:t xml:space="preserve"> con la reforma reglamentaria se pretendió fortalecer y contribuir al desarrollo de la democracia, porque se estableció la posibilidad de que las sesiones del Consejo general sean celebradas fuera de su sede por razones excepcionales. </w:t>
      </w:r>
    </w:p>
    <w:p w:rsidR="00B74A73" w:rsidRPr="00991CED" w:rsidRDefault="00100AAF" w:rsidP="00B74A73">
      <w:pPr>
        <w:spacing w:before="100" w:beforeAutospacing="1" w:after="100" w:afterAutospacing="1" w:line="360" w:lineRule="auto"/>
        <w:jc w:val="both"/>
        <w:rPr>
          <w:rFonts w:eastAsia="Times New Roman" w:cs="Arial"/>
          <w:sz w:val="24"/>
          <w:szCs w:val="24"/>
        </w:rPr>
      </w:pPr>
      <w:r w:rsidRPr="00991CED">
        <w:rPr>
          <w:rFonts w:eastAsia="Times New Roman" w:cs="Arial"/>
          <w:b/>
          <w:sz w:val="24"/>
          <w:szCs w:val="24"/>
        </w:rPr>
        <w:t xml:space="preserve">d) </w:t>
      </w:r>
      <w:r w:rsidR="00B74A73" w:rsidRPr="00991CED">
        <w:rPr>
          <w:rFonts w:eastAsia="Times New Roman" w:cs="Arial"/>
          <w:b/>
          <w:sz w:val="24"/>
          <w:szCs w:val="24"/>
        </w:rPr>
        <w:t xml:space="preserve">La decisión de cambio de sede está sujeta a requisitos para evitar la arbitrariedad. </w:t>
      </w:r>
      <w:r w:rsidR="00B74A73" w:rsidRPr="00991CED">
        <w:rPr>
          <w:rFonts w:eastAsia="Times New Roman" w:cs="Arial"/>
          <w:sz w:val="24"/>
          <w:szCs w:val="24"/>
        </w:rPr>
        <w:t xml:space="preserve">El Tribunal local señaló que la celebración de sesiones fuera de la sede está sujeta a salvaguardas como el cumplimiento de los siguientes requisitos: a) a propuesta de la presidencia del Consejo General; b) que no se encuentre en desarrollo algún procedimiento electoral; c) existencia de suficiencia presupuestaria, y d) aprobación por mayoría calificada de integrantes del Consejo General. </w:t>
      </w:r>
    </w:p>
    <w:p w:rsidR="00B74A73" w:rsidRPr="00991CED" w:rsidRDefault="00100AAF" w:rsidP="00B74A73">
      <w:pPr>
        <w:spacing w:before="100" w:beforeAutospacing="1" w:after="100" w:afterAutospacing="1" w:line="360" w:lineRule="auto"/>
        <w:jc w:val="both"/>
        <w:rPr>
          <w:rFonts w:eastAsia="Times New Roman" w:cs="Arial"/>
          <w:sz w:val="24"/>
          <w:szCs w:val="24"/>
          <w:lang w:eastAsia="es-MX"/>
        </w:rPr>
      </w:pPr>
      <w:r w:rsidRPr="00991CED">
        <w:rPr>
          <w:rFonts w:eastAsia="Times New Roman" w:cs="Arial"/>
          <w:b/>
          <w:sz w:val="24"/>
          <w:szCs w:val="24"/>
          <w:lang w:eastAsia="es-MX"/>
        </w:rPr>
        <w:t xml:space="preserve">e) </w:t>
      </w:r>
      <w:r w:rsidR="00B74A73" w:rsidRPr="00991CED">
        <w:rPr>
          <w:rFonts w:eastAsia="Times New Roman" w:cs="Arial"/>
          <w:b/>
          <w:sz w:val="24"/>
          <w:szCs w:val="24"/>
          <w:lang w:eastAsia="es-MX"/>
        </w:rPr>
        <w:t>No se perjudican derechos de los partidos políticos.</w:t>
      </w:r>
      <w:r w:rsidR="00B74A73" w:rsidRPr="00991CED">
        <w:rPr>
          <w:rFonts w:eastAsia="Times New Roman" w:cs="Arial"/>
          <w:sz w:val="24"/>
          <w:szCs w:val="24"/>
          <w:lang w:eastAsia="es-MX"/>
        </w:rPr>
        <w:t xml:space="preserve"> El Tribunal responsable destacó que la posibilidad de sesionar fuera de la sede del Consejo General no implica limitación o perjuicio de los derechos de los partidos políticos, porque en la modificación reglamentaria se estableció el deber para garantizar las condiciones indispensables para el desarrollo de las sesiones. </w:t>
      </w:r>
    </w:p>
    <w:p w:rsidR="00B74A73" w:rsidRPr="00991CED" w:rsidRDefault="00B74A73" w:rsidP="00B74A73">
      <w:pPr>
        <w:spacing w:before="100" w:beforeAutospacing="1" w:after="100" w:afterAutospacing="1" w:line="360" w:lineRule="auto"/>
        <w:jc w:val="both"/>
        <w:rPr>
          <w:rFonts w:cs="Arial"/>
          <w:b/>
          <w:sz w:val="24"/>
          <w:szCs w:val="24"/>
        </w:rPr>
      </w:pPr>
      <w:r w:rsidRPr="00991CED">
        <w:rPr>
          <w:rFonts w:cs="Arial"/>
          <w:b/>
          <w:sz w:val="24"/>
          <w:szCs w:val="24"/>
        </w:rPr>
        <w:t xml:space="preserve">Justificación de la inoperancia </w:t>
      </w:r>
      <w:r w:rsidR="00100AAF" w:rsidRPr="00991CED">
        <w:rPr>
          <w:rFonts w:cs="Arial"/>
          <w:b/>
          <w:sz w:val="24"/>
          <w:szCs w:val="24"/>
        </w:rPr>
        <w:t>en el caso concreto</w:t>
      </w:r>
      <w:r w:rsidR="00581256">
        <w:rPr>
          <w:rFonts w:cs="Arial"/>
          <w:b/>
          <w:sz w:val="24"/>
          <w:szCs w:val="24"/>
        </w:rPr>
        <w:t>.</w:t>
      </w:r>
    </w:p>
    <w:p w:rsidR="00B74A73" w:rsidRPr="00991CED" w:rsidRDefault="0008751C" w:rsidP="00B74A73">
      <w:pPr>
        <w:spacing w:before="100" w:beforeAutospacing="1" w:after="100" w:afterAutospacing="1" w:line="360" w:lineRule="auto"/>
        <w:jc w:val="both"/>
        <w:rPr>
          <w:rFonts w:cs="Arial"/>
          <w:b/>
          <w:sz w:val="24"/>
          <w:szCs w:val="24"/>
        </w:rPr>
      </w:pPr>
      <w:r w:rsidRPr="00991CED">
        <w:rPr>
          <w:rFonts w:cs="Arial"/>
          <w:b/>
          <w:sz w:val="24"/>
          <w:szCs w:val="24"/>
        </w:rPr>
        <w:t>i) Argumentación novedosa</w:t>
      </w:r>
      <w:r w:rsidR="00B13E5F" w:rsidRPr="00991CED">
        <w:rPr>
          <w:rFonts w:cs="Arial"/>
          <w:b/>
          <w:sz w:val="24"/>
          <w:szCs w:val="24"/>
        </w:rPr>
        <w:t xml:space="preserve">. </w:t>
      </w:r>
      <w:r w:rsidR="00B74A73" w:rsidRPr="00991CED">
        <w:rPr>
          <w:rFonts w:cs="Arial"/>
          <w:sz w:val="24"/>
          <w:szCs w:val="24"/>
        </w:rPr>
        <w:t>La inoperancia de los conceptos de agravio radica en que el actor expone argumentación novedosa que no fue planteada ante el Tribunal local.</w:t>
      </w:r>
      <w:r w:rsidR="00676057" w:rsidRPr="00991CED">
        <w:rPr>
          <w:rStyle w:val="Refdenotaalpie"/>
          <w:rFonts w:cs="Arial"/>
          <w:sz w:val="24"/>
          <w:szCs w:val="24"/>
        </w:rPr>
        <w:footnoteReference w:id="16"/>
      </w:r>
      <w:r w:rsidR="00B74A73" w:rsidRPr="00991CED">
        <w:rPr>
          <w:rFonts w:cs="Arial"/>
          <w:sz w:val="24"/>
          <w:szCs w:val="24"/>
        </w:rPr>
        <w:t xml:space="preserve"> </w:t>
      </w:r>
    </w:p>
    <w:p w:rsidR="006965D8" w:rsidRPr="00991CED" w:rsidRDefault="00B74A73" w:rsidP="00B74A73">
      <w:pPr>
        <w:spacing w:before="100" w:beforeAutospacing="1" w:after="100" w:afterAutospacing="1" w:line="360" w:lineRule="auto"/>
        <w:jc w:val="both"/>
        <w:rPr>
          <w:rFonts w:eastAsia="Times New Roman" w:cs="Arial"/>
          <w:sz w:val="24"/>
          <w:szCs w:val="24"/>
          <w:lang w:eastAsia="es-MX"/>
        </w:rPr>
      </w:pPr>
      <w:r w:rsidRPr="00991CED">
        <w:rPr>
          <w:rFonts w:cs="Arial"/>
          <w:sz w:val="24"/>
          <w:szCs w:val="24"/>
        </w:rPr>
        <w:t xml:space="preserve">El actor aduce que en </w:t>
      </w:r>
      <w:r w:rsidRPr="00991CED">
        <w:rPr>
          <w:rFonts w:eastAsia="Times New Roman" w:cs="Arial"/>
          <w:sz w:val="24"/>
          <w:szCs w:val="24"/>
          <w:lang w:eastAsia="es-MX"/>
        </w:rPr>
        <w:t>el acuerdo del OPLE no se establec</w:t>
      </w:r>
      <w:r w:rsidR="006965D8" w:rsidRPr="00991CED">
        <w:rPr>
          <w:rFonts w:eastAsia="Times New Roman" w:cs="Arial"/>
          <w:sz w:val="24"/>
          <w:szCs w:val="24"/>
          <w:lang w:eastAsia="es-MX"/>
        </w:rPr>
        <w:t xml:space="preserve">ieron </w:t>
      </w:r>
      <w:r w:rsidRPr="00991CED">
        <w:rPr>
          <w:rFonts w:eastAsia="Times New Roman" w:cs="Arial"/>
          <w:sz w:val="24"/>
          <w:szCs w:val="24"/>
          <w:lang w:eastAsia="es-MX"/>
        </w:rPr>
        <w:t>cuáles ser</w:t>
      </w:r>
      <w:r w:rsidR="006965D8" w:rsidRPr="00991CED">
        <w:rPr>
          <w:rFonts w:eastAsia="Times New Roman" w:cs="Arial"/>
          <w:sz w:val="24"/>
          <w:szCs w:val="24"/>
          <w:lang w:eastAsia="es-MX"/>
        </w:rPr>
        <w:t xml:space="preserve">ían </w:t>
      </w:r>
      <w:r w:rsidRPr="00991CED">
        <w:rPr>
          <w:rFonts w:eastAsia="Times New Roman" w:cs="Arial"/>
          <w:sz w:val="24"/>
          <w:szCs w:val="24"/>
          <w:lang w:eastAsia="es-MX"/>
        </w:rPr>
        <w:t>las razones excepcionales para sesionar fuera de la sede del Consejo General</w:t>
      </w:r>
      <w:r w:rsidR="006965D8" w:rsidRPr="00991CED">
        <w:rPr>
          <w:rFonts w:eastAsia="Times New Roman" w:cs="Arial"/>
          <w:sz w:val="24"/>
          <w:szCs w:val="24"/>
          <w:lang w:eastAsia="es-MX"/>
        </w:rPr>
        <w:t xml:space="preserve"> y sostiene que ese tipo de modificación no son acordes con el desarrollo de la democracia como lo sostuvo la autoridad administrativa electoral. </w:t>
      </w:r>
    </w:p>
    <w:p w:rsidR="00B74A73" w:rsidRPr="00991CED" w:rsidRDefault="006965D8" w:rsidP="00B74A73">
      <w:pPr>
        <w:spacing w:before="100" w:beforeAutospacing="1" w:after="100" w:afterAutospacing="1" w:line="360" w:lineRule="auto"/>
        <w:jc w:val="both"/>
        <w:rPr>
          <w:rFonts w:eastAsia="Times New Roman" w:cs="Arial"/>
          <w:sz w:val="24"/>
          <w:szCs w:val="24"/>
          <w:lang w:eastAsia="es-MX"/>
        </w:rPr>
      </w:pPr>
      <w:r w:rsidRPr="00991CED">
        <w:rPr>
          <w:rFonts w:eastAsia="Times New Roman" w:cs="Arial"/>
          <w:sz w:val="24"/>
          <w:szCs w:val="24"/>
          <w:lang w:eastAsia="es-MX"/>
        </w:rPr>
        <w:t xml:space="preserve">Los conceptos de agravio son inoperantes, porque esa argumentación no fue </w:t>
      </w:r>
      <w:r w:rsidR="00B74A73" w:rsidRPr="00991CED">
        <w:rPr>
          <w:rFonts w:eastAsia="Times New Roman" w:cs="Arial"/>
          <w:sz w:val="24"/>
          <w:szCs w:val="24"/>
          <w:lang w:eastAsia="es-MX"/>
        </w:rPr>
        <w:t>expuest</w:t>
      </w:r>
      <w:r w:rsidRPr="00991CED">
        <w:rPr>
          <w:rFonts w:eastAsia="Times New Roman" w:cs="Arial"/>
          <w:sz w:val="24"/>
          <w:szCs w:val="24"/>
          <w:lang w:eastAsia="es-MX"/>
        </w:rPr>
        <w:t>a</w:t>
      </w:r>
      <w:r w:rsidR="00B74A73" w:rsidRPr="00991CED">
        <w:rPr>
          <w:rFonts w:eastAsia="Times New Roman" w:cs="Arial"/>
          <w:sz w:val="24"/>
          <w:szCs w:val="24"/>
          <w:lang w:eastAsia="es-MX"/>
        </w:rPr>
        <w:t xml:space="preserve"> ante el Tribunal local, por lo que</w:t>
      </w:r>
      <w:r w:rsidR="00676057" w:rsidRPr="00991CED">
        <w:rPr>
          <w:rFonts w:eastAsia="Times New Roman" w:cs="Arial"/>
          <w:sz w:val="24"/>
          <w:szCs w:val="24"/>
          <w:lang w:eastAsia="es-MX"/>
        </w:rPr>
        <w:t xml:space="preserve"> el órgano jurisdiccional </w:t>
      </w:r>
      <w:r w:rsidR="00B74A73" w:rsidRPr="00991CED">
        <w:rPr>
          <w:rFonts w:eastAsia="Times New Roman" w:cs="Arial"/>
          <w:sz w:val="24"/>
          <w:szCs w:val="24"/>
          <w:lang w:eastAsia="es-MX"/>
        </w:rPr>
        <w:t xml:space="preserve">no tuvo la oportunidad de pronunciarse al respecto. </w:t>
      </w:r>
    </w:p>
    <w:p w:rsidR="006965D8" w:rsidRPr="00991CED" w:rsidRDefault="006965D8" w:rsidP="00B74A73">
      <w:pPr>
        <w:spacing w:before="100" w:beforeAutospacing="1" w:after="100" w:afterAutospacing="1" w:line="360" w:lineRule="auto"/>
        <w:jc w:val="both"/>
        <w:rPr>
          <w:rFonts w:eastAsia="Times New Roman" w:cs="Arial"/>
          <w:sz w:val="24"/>
          <w:szCs w:val="24"/>
          <w:lang w:eastAsia="es-MX"/>
        </w:rPr>
      </w:pPr>
      <w:r w:rsidRPr="00991CED">
        <w:rPr>
          <w:rFonts w:eastAsia="Times New Roman" w:cs="Arial"/>
          <w:sz w:val="24"/>
          <w:szCs w:val="24"/>
          <w:lang w:eastAsia="es-MX"/>
        </w:rPr>
        <w:t xml:space="preserve">Es hasta esta instancia que el enjuiciante pretende controvertir las razones que expuso el OPLE para modificar su reglamento de sesiones, siendo que en la instancia local el ahora actor solamente planteó que Instituto local no tenía atribuciones expresas para sesionar en sede alterna y en todo caso consideró que si pretendía sesionar en algún municipio esa actividad la podría desarrollar algún consejo municipal. </w:t>
      </w:r>
    </w:p>
    <w:p w:rsidR="006965D8" w:rsidRPr="00991CED" w:rsidRDefault="006965D8" w:rsidP="00B74A73">
      <w:pPr>
        <w:spacing w:before="100" w:beforeAutospacing="1" w:after="100" w:afterAutospacing="1" w:line="360" w:lineRule="auto"/>
        <w:jc w:val="both"/>
        <w:rPr>
          <w:rFonts w:cs="Arial"/>
          <w:sz w:val="24"/>
          <w:szCs w:val="24"/>
        </w:rPr>
      </w:pPr>
      <w:r w:rsidRPr="00991CED">
        <w:rPr>
          <w:rFonts w:eastAsia="Times New Roman" w:cs="Arial"/>
          <w:sz w:val="24"/>
          <w:szCs w:val="24"/>
          <w:lang w:eastAsia="es-MX"/>
        </w:rPr>
        <w:t>De la lectura de la sentencia controvertida, se advierte que el Tribunal local resolvió precisamente esos dos aspectos, por lo que el actor estaba constreñido a controvertir la argumentación expuesta por el órgano responsable y no como lo pretende hacer renovar o plantear aspectos que no cuestionó en la instancia primigenia.</w:t>
      </w:r>
    </w:p>
    <w:p w:rsidR="00B74A73" w:rsidRPr="00991CED" w:rsidRDefault="00B74A73" w:rsidP="00B74A73">
      <w:pPr>
        <w:spacing w:before="100" w:beforeAutospacing="1" w:after="100" w:afterAutospacing="1" w:line="360" w:lineRule="auto"/>
        <w:jc w:val="both"/>
        <w:rPr>
          <w:rFonts w:cs="Arial"/>
          <w:sz w:val="24"/>
          <w:szCs w:val="24"/>
        </w:rPr>
      </w:pPr>
      <w:r w:rsidRPr="00991CED">
        <w:rPr>
          <w:rFonts w:cs="Arial"/>
          <w:sz w:val="24"/>
          <w:szCs w:val="24"/>
        </w:rPr>
        <w:t xml:space="preserve">En ese sentido, </w:t>
      </w:r>
      <w:r w:rsidR="006965D8" w:rsidRPr="00991CED">
        <w:rPr>
          <w:rFonts w:cs="Arial"/>
          <w:sz w:val="24"/>
          <w:szCs w:val="24"/>
        </w:rPr>
        <w:t xml:space="preserve">los </w:t>
      </w:r>
      <w:r w:rsidRPr="00991CED">
        <w:rPr>
          <w:rFonts w:cs="Arial"/>
          <w:sz w:val="24"/>
          <w:szCs w:val="24"/>
        </w:rPr>
        <w:t>agravio</w:t>
      </w:r>
      <w:r w:rsidR="006965D8" w:rsidRPr="00991CED">
        <w:rPr>
          <w:rFonts w:cs="Arial"/>
          <w:sz w:val="24"/>
          <w:szCs w:val="24"/>
        </w:rPr>
        <w:t>s</w:t>
      </w:r>
      <w:r w:rsidRPr="00991CED">
        <w:rPr>
          <w:rFonts w:cs="Arial"/>
          <w:sz w:val="24"/>
          <w:szCs w:val="24"/>
        </w:rPr>
        <w:t xml:space="preserve"> se considera</w:t>
      </w:r>
      <w:r w:rsidR="006965D8" w:rsidRPr="00991CED">
        <w:rPr>
          <w:rFonts w:cs="Arial"/>
          <w:sz w:val="24"/>
          <w:szCs w:val="24"/>
        </w:rPr>
        <w:t>n</w:t>
      </w:r>
      <w:r w:rsidRPr="00991CED">
        <w:rPr>
          <w:rFonts w:cs="Arial"/>
          <w:sz w:val="24"/>
          <w:szCs w:val="24"/>
        </w:rPr>
        <w:t xml:space="preserve"> inoperante</w:t>
      </w:r>
      <w:r w:rsidR="006965D8" w:rsidRPr="00991CED">
        <w:rPr>
          <w:rFonts w:cs="Arial"/>
          <w:sz w:val="24"/>
          <w:szCs w:val="24"/>
        </w:rPr>
        <w:t>s</w:t>
      </w:r>
      <w:r w:rsidRPr="00991CED">
        <w:rPr>
          <w:rFonts w:cs="Arial"/>
          <w:sz w:val="24"/>
          <w:szCs w:val="24"/>
        </w:rPr>
        <w:t>, porque este medio de impugnación no es una renovación de instancia en la que pueda controvertir cuestiones distintas a las que hizo valer en el juicio local.</w:t>
      </w:r>
    </w:p>
    <w:p w:rsidR="00676057" w:rsidRPr="00991CED" w:rsidRDefault="00B74A73" w:rsidP="00B74A73">
      <w:pPr>
        <w:spacing w:before="100" w:beforeAutospacing="1" w:after="100" w:afterAutospacing="1" w:line="360" w:lineRule="auto"/>
        <w:jc w:val="both"/>
        <w:rPr>
          <w:rFonts w:cs="Arial"/>
          <w:sz w:val="24"/>
          <w:szCs w:val="24"/>
        </w:rPr>
      </w:pPr>
      <w:proofErr w:type="spellStart"/>
      <w:r w:rsidRPr="00991CED">
        <w:rPr>
          <w:rFonts w:cs="Arial"/>
          <w:b/>
          <w:sz w:val="24"/>
          <w:szCs w:val="24"/>
        </w:rPr>
        <w:t>ii</w:t>
      </w:r>
      <w:proofErr w:type="spellEnd"/>
      <w:r w:rsidRPr="00991CED">
        <w:rPr>
          <w:rFonts w:cs="Arial"/>
          <w:b/>
          <w:sz w:val="24"/>
          <w:szCs w:val="24"/>
        </w:rPr>
        <w:t xml:space="preserve">) No </w:t>
      </w:r>
      <w:r w:rsidR="00B13E5F" w:rsidRPr="00991CED">
        <w:rPr>
          <w:rFonts w:cs="Arial"/>
          <w:b/>
          <w:sz w:val="24"/>
          <w:szCs w:val="24"/>
        </w:rPr>
        <w:t xml:space="preserve">se </w:t>
      </w:r>
      <w:r w:rsidRPr="00991CED">
        <w:rPr>
          <w:rFonts w:cs="Arial"/>
          <w:b/>
          <w:sz w:val="24"/>
          <w:szCs w:val="24"/>
        </w:rPr>
        <w:t>controvierte</w:t>
      </w:r>
      <w:r w:rsidR="00B13E5F" w:rsidRPr="00991CED">
        <w:rPr>
          <w:rFonts w:cs="Arial"/>
          <w:b/>
          <w:sz w:val="24"/>
          <w:szCs w:val="24"/>
        </w:rPr>
        <w:t>n</w:t>
      </w:r>
      <w:r w:rsidRPr="00991CED">
        <w:rPr>
          <w:rFonts w:cs="Arial"/>
          <w:b/>
          <w:sz w:val="24"/>
          <w:szCs w:val="24"/>
        </w:rPr>
        <w:t xml:space="preserve"> las razones del Tribunal local. </w:t>
      </w:r>
      <w:r w:rsidRPr="00991CED">
        <w:rPr>
          <w:rFonts w:cs="Arial"/>
          <w:sz w:val="24"/>
          <w:szCs w:val="24"/>
        </w:rPr>
        <w:t>Por otra parte, los conceptos de agravio son inoperantes porque el actor</w:t>
      </w:r>
      <w:r w:rsidR="00676057" w:rsidRPr="00991CED">
        <w:rPr>
          <w:rFonts w:cs="Arial"/>
          <w:sz w:val="24"/>
          <w:szCs w:val="24"/>
        </w:rPr>
        <w:t xml:space="preserve"> insiste en argumentar que el OPLE no tiene atribuciones expresas en la ley para sesionar en una sede alterna, lo cual vincula con una supuesta afectación a los derechos de los partidos políticos. </w:t>
      </w:r>
    </w:p>
    <w:p w:rsidR="00B74A73" w:rsidRPr="00991CED" w:rsidRDefault="00676057" w:rsidP="00B74A73">
      <w:pPr>
        <w:spacing w:before="100" w:beforeAutospacing="1" w:after="100" w:afterAutospacing="1" w:line="360" w:lineRule="auto"/>
        <w:jc w:val="both"/>
        <w:rPr>
          <w:rFonts w:cs="Arial"/>
          <w:sz w:val="24"/>
          <w:szCs w:val="24"/>
        </w:rPr>
      </w:pPr>
      <w:r w:rsidRPr="00991CED">
        <w:rPr>
          <w:rFonts w:cs="Arial"/>
          <w:sz w:val="24"/>
          <w:szCs w:val="24"/>
        </w:rPr>
        <w:t>En este caso, la inoperancia de los conceptos de agravio radica en que el enjuiciante</w:t>
      </w:r>
      <w:r w:rsidR="00B74A73" w:rsidRPr="00991CED">
        <w:rPr>
          <w:rFonts w:cs="Arial"/>
          <w:sz w:val="24"/>
          <w:szCs w:val="24"/>
        </w:rPr>
        <w:t xml:space="preserve"> no controvierte las razones expuestas por el Tribunal local para sostener que el Consejo General sí tenía atribuciones para establecer modalidades en la celebración de sus sesiones</w:t>
      </w:r>
      <w:r w:rsidRPr="00991CED">
        <w:rPr>
          <w:rFonts w:cs="Arial"/>
          <w:sz w:val="24"/>
          <w:szCs w:val="24"/>
        </w:rPr>
        <w:t xml:space="preserve"> y que no existe afectación a los derechos de los partidos políticos. </w:t>
      </w:r>
    </w:p>
    <w:p w:rsidR="00B74A73" w:rsidRPr="00991CED" w:rsidRDefault="00B74A73" w:rsidP="00B74A73">
      <w:pPr>
        <w:spacing w:before="100" w:beforeAutospacing="1" w:after="100" w:afterAutospacing="1" w:line="360" w:lineRule="auto"/>
        <w:jc w:val="both"/>
        <w:rPr>
          <w:rFonts w:cs="Arial"/>
          <w:sz w:val="24"/>
          <w:szCs w:val="24"/>
        </w:rPr>
      </w:pPr>
      <w:r w:rsidRPr="00991CED">
        <w:rPr>
          <w:rFonts w:cs="Arial"/>
          <w:sz w:val="24"/>
          <w:szCs w:val="24"/>
        </w:rPr>
        <w:t xml:space="preserve">Efectivamente el Tribunal local sostuvo que la posibilidad de sesionar fuera de la sede tenía justificación legal, para lo cual sostuvo que </w:t>
      </w:r>
      <w:r w:rsidR="0008751C" w:rsidRPr="00991CED">
        <w:rPr>
          <w:rFonts w:cs="Arial"/>
          <w:sz w:val="24"/>
          <w:szCs w:val="24"/>
        </w:rPr>
        <w:t xml:space="preserve">no existía </w:t>
      </w:r>
      <w:r w:rsidRPr="00991CED">
        <w:rPr>
          <w:rFonts w:cs="Arial"/>
          <w:sz w:val="24"/>
          <w:szCs w:val="24"/>
        </w:rPr>
        <w:t xml:space="preserve">limitación o perjuicio de los derechos de los partidos políticos, porque en la modificación reglamentaria se estableció el deber para garantizar las condiciones indispensables para el desarrollo de las sesiones. </w:t>
      </w:r>
    </w:p>
    <w:p w:rsidR="00A936C9" w:rsidRPr="00991CED" w:rsidRDefault="00A936C9" w:rsidP="00A936C9">
      <w:pPr>
        <w:spacing w:before="100" w:beforeAutospacing="1" w:after="100" w:afterAutospacing="1" w:line="360" w:lineRule="auto"/>
        <w:jc w:val="both"/>
        <w:rPr>
          <w:rFonts w:cs="Arial"/>
          <w:sz w:val="24"/>
          <w:szCs w:val="24"/>
        </w:rPr>
      </w:pPr>
      <w:r w:rsidRPr="00991CED">
        <w:rPr>
          <w:rFonts w:cs="Arial"/>
          <w:sz w:val="24"/>
          <w:szCs w:val="24"/>
        </w:rPr>
        <w:t>El Tribunal local estableció que el OPLE tiene atribuciones para regular sus sesiones, porque en la Ley de Instituciones se establece que el Consejo General del Instituto local tiene facultades para expedir sus reglamentos internos y el de los demás organismos electorales.</w:t>
      </w:r>
      <w:r w:rsidRPr="00991CED">
        <w:rPr>
          <w:rStyle w:val="Refdenotaalpie"/>
          <w:rFonts w:cs="Arial"/>
          <w:sz w:val="24"/>
          <w:szCs w:val="24"/>
        </w:rPr>
        <w:footnoteReference w:id="17"/>
      </w:r>
      <w:r w:rsidRPr="00991CED">
        <w:rPr>
          <w:rFonts w:cs="Arial"/>
          <w:sz w:val="24"/>
          <w:szCs w:val="24"/>
        </w:rPr>
        <w:t xml:space="preserve"> </w:t>
      </w:r>
    </w:p>
    <w:p w:rsidR="00A936C9" w:rsidRPr="00991CED" w:rsidRDefault="00A936C9" w:rsidP="00A936C9">
      <w:pPr>
        <w:spacing w:before="100" w:beforeAutospacing="1" w:after="100" w:afterAutospacing="1" w:line="360" w:lineRule="auto"/>
        <w:jc w:val="both"/>
        <w:rPr>
          <w:rFonts w:cs="Arial"/>
          <w:sz w:val="24"/>
          <w:szCs w:val="24"/>
        </w:rPr>
      </w:pPr>
      <w:r w:rsidRPr="00991CED">
        <w:rPr>
          <w:rFonts w:cs="Arial"/>
          <w:bCs/>
          <w:sz w:val="24"/>
          <w:szCs w:val="24"/>
        </w:rPr>
        <w:t>Así, el órgano jurisdiccional local determinó que e</w:t>
      </w:r>
      <w:r w:rsidRPr="00991CED">
        <w:rPr>
          <w:rFonts w:cs="Arial"/>
          <w:sz w:val="24"/>
          <w:szCs w:val="24"/>
        </w:rPr>
        <w:t>l OPLE actuó conforme a su marco de atribuciones previstas en la Constitución y legislación aplicable, porque el acuerdo controvertido tiene como finalidad regular una modalidad para celebrar sesiones fuera de la sede del Consejo General del OPLE.</w:t>
      </w:r>
    </w:p>
    <w:p w:rsidR="00A936C9" w:rsidRPr="00991CED" w:rsidRDefault="00A936C9" w:rsidP="00A936C9">
      <w:pPr>
        <w:spacing w:before="100" w:beforeAutospacing="1" w:after="100" w:afterAutospacing="1" w:line="360" w:lineRule="auto"/>
        <w:jc w:val="both"/>
        <w:rPr>
          <w:rFonts w:cs="Arial"/>
          <w:sz w:val="24"/>
          <w:szCs w:val="24"/>
        </w:rPr>
      </w:pPr>
      <w:r w:rsidRPr="00991CED">
        <w:rPr>
          <w:rFonts w:cs="Arial"/>
          <w:sz w:val="24"/>
          <w:szCs w:val="24"/>
        </w:rPr>
        <w:t>En ese orden de ideas el Tribunal local consideró que está plenamente justificado que el Consejo General del OPLE de Durango emita normas reglamentarias para prever la posibilidad de celebrar sesiones fuera del domicilio en el que se encuentra su sede.</w:t>
      </w:r>
    </w:p>
    <w:p w:rsidR="00A936C9" w:rsidRPr="00991CED" w:rsidRDefault="00A936C9" w:rsidP="00A936C9">
      <w:pPr>
        <w:spacing w:before="100" w:beforeAutospacing="1" w:after="100" w:afterAutospacing="1" w:line="360" w:lineRule="auto"/>
        <w:jc w:val="both"/>
        <w:rPr>
          <w:rFonts w:cs="Arial"/>
          <w:sz w:val="24"/>
          <w:szCs w:val="24"/>
        </w:rPr>
      </w:pPr>
      <w:r w:rsidRPr="00991CED">
        <w:rPr>
          <w:rFonts w:cs="Arial"/>
          <w:sz w:val="24"/>
          <w:szCs w:val="24"/>
        </w:rPr>
        <w:t xml:space="preserve">El órgano jurisdiccional local estableció que la fijación de una modalidad para que el máximo órgano de dirección de un OPLE sesione fuera de su sede por razones excepcionales plenamente justificadas, se enmarca en las atribuciones explícitas previstas en la ley respecto al desarrollo de las sesiones como forma de actuación de los órganos de dirección, lo cual es acorde con los fines electorales del propio OPLE. </w:t>
      </w:r>
    </w:p>
    <w:p w:rsidR="00A936C9" w:rsidRPr="00991CED" w:rsidRDefault="00A936C9" w:rsidP="00A936C9">
      <w:pPr>
        <w:spacing w:before="100" w:beforeAutospacing="1" w:after="100" w:afterAutospacing="1" w:line="360" w:lineRule="auto"/>
        <w:jc w:val="both"/>
        <w:rPr>
          <w:rFonts w:cs="Arial"/>
          <w:sz w:val="24"/>
          <w:szCs w:val="24"/>
        </w:rPr>
      </w:pPr>
      <w:r w:rsidRPr="00991CED">
        <w:rPr>
          <w:rFonts w:cs="Arial"/>
          <w:sz w:val="24"/>
          <w:szCs w:val="24"/>
        </w:rPr>
        <w:t xml:space="preserve">En conclusión, el Tribunal local consideró que </w:t>
      </w:r>
      <w:r w:rsidRPr="00991CED">
        <w:rPr>
          <w:rFonts w:cs="Arial"/>
          <w:b/>
          <w:sz w:val="24"/>
          <w:szCs w:val="24"/>
        </w:rPr>
        <w:t>sí está dentro de las atribuciones del OPLE el establecimiento de modalidades de celebración de sus sesiones</w:t>
      </w:r>
      <w:r w:rsidRPr="00991CED">
        <w:rPr>
          <w:rFonts w:cs="Arial"/>
          <w:sz w:val="24"/>
          <w:szCs w:val="24"/>
        </w:rPr>
        <w:t xml:space="preserve"> de actuación fuera de su sede.</w:t>
      </w:r>
    </w:p>
    <w:p w:rsidR="00B74A73" w:rsidRPr="00991CED" w:rsidRDefault="00B74A73" w:rsidP="00B74A73">
      <w:pPr>
        <w:spacing w:before="100" w:beforeAutospacing="1" w:after="100" w:afterAutospacing="1" w:line="360" w:lineRule="auto"/>
        <w:jc w:val="both"/>
        <w:rPr>
          <w:rFonts w:cs="Arial"/>
          <w:sz w:val="24"/>
          <w:szCs w:val="24"/>
        </w:rPr>
      </w:pPr>
      <w:r w:rsidRPr="00991CED">
        <w:rPr>
          <w:rFonts w:cs="Arial"/>
          <w:sz w:val="24"/>
          <w:szCs w:val="24"/>
        </w:rPr>
        <w:t>Sin embargo, a pesar de que el Tribuna local expuso las razones por las que consideró que la modificación reglamentaria no</w:t>
      </w:r>
      <w:r w:rsidR="0008751C" w:rsidRPr="00991CED">
        <w:rPr>
          <w:rFonts w:cs="Arial"/>
          <w:sz w:val="24"/>
          <w:szCs w:val="24"/>
        </w:rPr>
        <w:t xml:space="preserve"> vulneraba la ley</w:t>
      </w:r>
      <w:r w:rsidRPr="00991CED">
        <w:rPr>
          <w:rFonts w:cs="Arial"/>
          <w:sz w:val="24"/>
          <w:szCs w:val="24"/>
        </w:rPr>
        <w:t>, el enjuiciante no expone algún argumento para cuestionar esas razones</w:t>
      </w:r>
      <w:r w:rsidR="00A936C9" w:rsidRPr="00991CED">
        <w:rPr>
          <w:rFonts w:cs="Arial"/>
          <w:sz w:val="24"/>
          <w:szCs w:val="24"/>
        </w:rPr>
        <w:t>, sino que se constriñe a repetir argumentación e inclusive expone argumentación novedosa, tal como se ha demostrado.</w:t>
      </w:r>
      <w:r w:rsidRPr="00991CED">
        <w:rPr>
          <w:rFonts w:cs="Arial"/>
          <w:sz w:val="24"/>
          <w:szCs w:val="24"/>
        </w:rPr>
        <w:t xml:space="preserve"> </w:t>
      </w:r>
    </w:p>
    <w:p w:rsidR="00B74A73" w:rsidRPr="00991CED" w:rsidRDefault="00B74A73" w:rsidP="00B74A73">
      <w:pPr>
        <w:spacing w:before="100" w:beforeAutospacing="1" w:after="100" w:afterAutospacing="1" w:line="360" w:lineRule="auto"/>
        <w:jc w:val="both"/>
        <w:rPr>
          <w:rFonts w:cs="Arial"/>
          <w:sz w:val="24"/>
          <w:szCs w:val="24"/>
        </w:rPr>
      </w:pPr>
      <w:r w:rsidRPr="00991CED">
        <w:rPr>
          <w:rFonts w:cs="Arial"/>
          <w:sz w:val="24"/>
          <w:szCs w:val="24"/>
        </w:rPr>
        <w:t xml:space="preserve">Por lo anterior, se consideran inoperantes los conceptos de agravio del actor pues no se controvierten las razones expuestas por el órgano jurisdiccional local relacionadas con la validación de la reforma reglamentaria en la que se establece la posibilidad que el Consejo General sesione en sede alterna. </w:t>
      </w:r>
    </w:p>
    <w:p w:rsidR="008A409A" w:rsidRPr="00991CED" w:rsidRDefault="004A49FB" w:rsidP="008A409A">
      <w:pPr>
        <w:spacing w:before="100" w:beforeAutospacing="1" w:after="100" w:afterAutospacing="1" w:line="372" w:lineRule="auto"/>
        <w:jc w:val="both"/>
        <w:rPr>
          <w:rFonts w:eastAsia="Times New Roman" w:cs="Arial"/>
          <w:sz w:val="24"/>
          <w:szCs w:val="24"/>
          <w:lang w:eastAsia="es-MX"/>
        </w:rPr>
      </w:pPr>
      <w:r w:rsidRPr="00991CED">
        <w:rPr>
          <w:rFonts w:eastAsia="Times New Roman" w:cs="Arial"/>
          <w:sz w:val="24"/>
          <w:szCs w:val="24"/>
          <w:lang w:eastAsia="es-MX"/>
        </w:rPr>
        <w:t xml:space="preserve">Conforme a lo expuesto, se advierte que no </w:t>
      </w:r>
      <w:r w:rsidR="000553DE" w:rsidRPr="00991CED">
        <w:rPr>
          <w:rFonts w:eastAsia="Times New Roman" w:cs="Arial"/>
          <w:sz w:val="24"/>
          <w:szCs w:val="24"/>
          <w:lang w:eastAsia="es-MX"/>
        </w:rPr>
        <w:t>l</w:t>
      </w:r>
      <w:r w:rsidRPr="00991CED">
        <w:rPr>
          <w:rFonts w:eastAsia="Times New Roman" w:cs="Arial"/>
          <w:sz w:val="24"/>
          <w:szCs w:val="24"/>
          <w:lang w:eastAsia="es-MX"/>
        </w:rPr>
        <w:t>e asiste razón al actor, por lo que se debe</w:t>
      </w:r>
      <w:r w:rsidR="008A409A" w:rsidRPr="00991CED">
        <w:rPr>
          <w:rFonts w:eastAsia="Times New Roman" w:cs="Arial"/>
          <w:sz w:val="24"/>
          <w:szCs w:val="24"/>
          <w:lang w:eastAsia="es-MX"/>
        </w:rPr>
        <w:t xml:space="preserve"> confirmar la sentencia impugnada.</w:t>
      </w:r>
    </w:p>
    <w:p w:rsidR="00CA03AC" w:rsidRPr="00991CED" w:rsidRDefault="00CA03AC" w:rsidP="00977D4E">
      <w:pPr>
        <w:spacing w:before="240" w:after="240" w:line="312" w:lineRule="auto"/>
        <w:jc w:val="both"/>
        <w:rPr>
          <w:rFonts w:eastAsia="Times New Roman" w:cs="Arial"/>
          <w:sz w:val="24"/>
          <w:szCs w:val="24"/>
          <w:lang w:val="es-ES" w:eastAsia="es-ES"/>
        </w:rPr>
      </w:pPr>
      <w:r w:rsidRPr="00991CED">
        <w:rPr>
          <w:rFonts w:eastAsia="Times New Roman" w:cs="Arial"/>
          <w:sz w:val="24"/>
          <w:szCs w:val="24"/>
          <w:lang w:val="es-ES" w:eastAsia="es-ES"/>
        </w:rPr>
        <w:t>Por lo anteriormente expuesto y fundado, se</w:t>
      </w:r>
    </w:p>
    <w:p w:rsidR="00CA03AC" w:rsidRPr="00991CED" w:rsidRDefault="00CA03AC" w:rsidP="00977D4E">
      <w:pPr>
        <w:pStyle w:val="Ttulo1"/>
        <w:spacing w:before="100" w:beforeAutospacing="1" w:after="100" w:afterAutospacing="1" w:line="312" w:lineRule="auto"/>
        <w:jc w:val="center"/>
        <w:rPr>
          <w:rFonts w:ascii="Arial" w:eastAsia="Times New Roman" w:hAnsi="Arial" w:cs="Arial"/>
          <w:b/>
          <w:color w:val="auto"/>
          <w:sz w:val="24"/>
          <w:szCs w:val="24"/>
          <w:lang w:eastAsia="es-MX"/>
        </w:rPr>
      </w:pPr>
      <w:bookmarkStart w:id="16" w:name="_Toc484692460"/>
      <w:bookmarkStart w:id="17" w:name="_Toc24222692"/>
      <w:bookmarkStart w:id="18" w:name="_Toc45271800"/>
      <w:r w:rsidRPr="00991CED">
        <w:rPr>
          <w:rFonts w:ascii="Arial" w:eastAsia="Times New Roman" w:hAnsi="Arial" w:cs="Arial"/>
          <w:b/>
          <w:color w:val="auto"/>
          <w:sz w:val="24"/>
          <w:szCs w:val="24"/>
          <w:lang w:eastAsia="es-MX"/>
        </w:rPr>
        <w:t>V</w:t>
      </w:r>
      <w:r w:rsidR="00295C43" w:rsidRPr="00991CED">
        <w:rPr>
          <w:rFonts w:ascii="Arial" w:eastAsia="Times New Roman" w:hAnsi="Arial" w:cs="Arial"/>
          <w:b/>
          <w:color w:val="auto"/>
          <w:sz w:val="24"/>
          <w:szCs w:val="24"/>
          <w:lang w:eastAsia="es-MX"/>
        </w:rPr>
        <w:t>I</w:t>
      </w:r>
      <w:r w:rsidRPr="00991CED">
        <w:rPr>
          <w:rFonts w:ascii="Arial" w:eastAsia="Times New Roman" w:hAnsi="Arial" w:cs="Arial"/>
          <w:b/>
          <w:color w:val="auto"/>
          <w:sz w:val="24"/>
          <w:szCs w:val="24"/>
          <w:lang w:eastAsia="es-MX"/>
        </w:rPr>
        <w:t xml:space="preserve">. </w:t>
      </w:r>
      <w:bookmarkEnd w:id="16"/>
      <w:bookmarkEnd w:id="17"/>
      <w:r w:rsidR="0051360E" w:rsidRPr="00991CED">
        <w:rPr>
          <w:rFonts w:ascii="Arial" w:eastAsia="Times New Roman" w:hAnsi="Arial" w:cs="Arial"/>
          <w:b/>
          <w:color w:val="auto"/>
          <w:sz w:val="24"/>
          <w:szCs w:val="24"/>
          <w:lang w:eastAsia="es-MX"/>
        </w:rPr>
        <w:t>RESUELVE.</w:t>
      </w:r>
      <w:bookmarkEnd w:id="18"/>
    </w:p>
    <w:p w:rsidR="009E7C0D" w:rsidRPr="00991CED" w:rsidRDefault="0051360E" w:rsidP="00977D4E">
      <w:pPr>
        <w:spacing w:before="100" w:beforeAutospacing="1" w:after="100" w:afterAutospacing="1" w:line="312" w:lineRule="auto"/>
        <w:jc w:val="both"/>
        <w:rPr>
          <w:rFonts w:cs="Arial"/>
          <w:bCs/>
          <w:sz w:val="24"/>
          <w:szCs w:val="24"/>
          <w:lang w:val="es-ES"/>
        </w:rPr>
      </w:pPr>
      <w:r w:rsidRPr="00991CED">
        <w:rPr>
          <w:rFonts w:cs="Arial"/>
          <w:b/>
          <w:bCs/>
          <w:sz w:val="24"/>
          <w:szCs w:val="24"/>
          <w:lang w:val="es-ES"/>
        </w:rPr>
        <w:t>ÚNICO</w:t>
      </w:r>
      <w:r w:rsidR="006F0CD8" w:rsidRPr="00991CED">
        <w:rPr>
          <w:rFonts w:cs="Arial"/>
          <w:b/>
          <w:bCs/>
          <w:sz w:val="24"/>
          <w:szCs w:val="24"/>
          <w:lang w:val="es-ES"/>
        </w:rPr>
        <w:t>.</w:t>
      </w:r>
      <w:r w:rsidR="006F0CD8" w:rsidRPr="00991CED">
        <w:rPr>
          <w:rFonts w:cs="Arial"/>
          <w:bCs/>
          <w:sz w:val="24"/>
          <w:szCs w:val="24"/>
          <w:lang w:val="es-ES"/>
        </w:rPr>
        <w:t xml:space="preserve"> </w:t>
      </w:r>
      <w:r w:rsidRPr="00991CED">
        <w:rPr>
          <w:rFonts w:cs="Arial"/>
          <w:bCs/>
          <w:sz w:val="24"/>
          <w:szCs w:val="24"/>
          <w:lang w:val="es-ES"/>
        </w:rPr>
        <w:t>Se</w:t>
      </w:r>
      <w:r w:rsidR="009E7C0D" w:rsidRPr="00991CED">
        <w:rPr>
          <w:rFonts w:cs="Arial"/>
          <w:bCs/>
          <w:sz w:val="24"/>
          <w:szCs w:val="24"/>
          <w:lang w:val="es-ES"/>
        </w:rPr>
        <w:t xml:space="preserve"> </w:t>
      </w:r>
      <w:r w:rsidR="006F5885" w:rsidRPr="00991CED">
        <w:rPr>
          <w:rFonts w:cs="Arial"/>
          <w:b/>
          <w:bCs/>
          <w:sz w:val="24"/>
          <w:szCs w:val="24"/>
          <w:lang w:val="es-ES"/>
        </w:rPr>
        <w:t>c</w:t>
      </w:r>
      <w:r w:rsidRPr="00991CED">
        <w:rPr>
          <w:rFonts w:cs="Arial"/>
          <w:b/>
          <w:bCs/>
          <w:sz w:val="24"/>
          <w:szCs w:val="24"/>
          <w:lang w:val="es-ES"/>
        </w:rPr>
        <w:t xml:space="preserve">onfirma </w:t>
      </w:r>
      <w:r w:rsidRPr="00991CED">
        <w:rPr>
          <w:rFonts w:cs="Arial"/>
          <w:bCs/>
          <w:sz w:val="24"/>
          <w:szCs w:val="24"/>
          <w:lang w:val="es-ES"/>
        </w:rPr>
        <w:t xml:space="preserve">la </w:t>
      </w:r>
      <w:r w:rsidR="001C5AC0" w:rsidRPr="00991CED">
        <w:rPr>
          <w:rFonts w:cs="Arial"/>
          <w:bCs/>
          <w:sz w:val="24"/>
          <w:szCs w:val="24"/>
          <w:lang w:val="es-ES"/>
        </w:rPr>
        <w:t>sentencia</w:t>
      </w:r>
      <w:r w:rsidRPr="00991CED">
        <w:rPr>
          <w:rFonts w:cs="Arial"/>
          <w:bCs/>
          <w:sz w:val="24"/>
          <w:szCs w:val="24"/>
          <w:lang w:val="es-ES"/>
        </w:rPr>
        <w:t xml:space="preserve"> impugnada</w:t>
      </w:r>
      <w:r w:rsidR="009E7C0D" w:rsidRPr="00991CED">
        <w:rPr>
          <w:rFonts w:cs="Arial"/>
          <w:bCs/>
          <w:sz w:val="24"/>
          <w:szCs w:val="24"/>
          <w:lang w:val="es-ES"/>
        </w:rPr>
        <w:t>.</w:t>
      </w:r>
    </w:p>
    <w:p w:rsidR="006F0CD8" w:rsidRPr="00991CED" w:rsidRDefault="006F0CD8" w:rsidP="00977D4E">
      <w:pPr>
        <w:spacing w:before="100" w:beforeAutospacing="1" w:after="100" w:afterAutospacing="1" w:line="336" w:lineRule="auto"/>
        <w:jc w:val="both"/>
        <w:rPr>
          <w:rFonts w:cs="Arial"/>
          <w:bCs/>
          <w:sz w:val="24"/>
          <w:szCs w:val="24"/>
          <w:lang w:val="es-ES"/>
        </w:rPr>
      </w:pPr>
      <w:r w:rsidRPr="00991CED">
        <w:rPr>
          <w:rFonts w:cs="Arial"/>
          <w:b/>
          <w:bCs/>
          <w:sz w:val="24"/>
          <w:szCs w:val="24"/>
          <w:lang w:val="es-ES"/>
        </w:rPr>
        <w:t>Notifíquese</w:t>
      </w:r>
      <w:r w:rsidRPr="00991CED">
        <w:rPr>
          <w:rFonts w:cs="Arial"/>
          <w:bCs/>
          <w:sz w:val="24"/>
          <w:szCs w:val="24"/>
          <w:lang w:val="es-ES"/>
        </w:rPr>
        <w:t xml:space="preserve"> como corresponda.</w:t>
      </w:r>
    </w:p>
    <w:p w:rsidR="007A3E82" w:rsidRPr="00991CED" w:rsidRDefault="007A3E82" w:rsidP="00977D4E">
      <w:pPr>
        <w:spacing w:before="100" w:beforeAutospacing="1" w:after="100" w:afterAutospacing="1" w:line="336" w:lineRule="auto"/>
        <w:jc w:val="both"/>
        <w:rPr>
          <w:rFonts w:cs="Arial"/>
          <w:bCs/>
          <w:sz w:val="24"/>
          <w:szCs w:val="24"/>
          <w:lang w:val="es-ES"/>
        </w:rPr>
      </w:pPr>
      <w:r w:rsidRPr="00991CED">
        <w:rPr>
          <w:rFonts w:cs="Arial"/>
          <w:bCs/>
          <w:sz w:val="24"/>
          <w:szCs w:val="24"/>
          <w:lang w:val="es-ES"/>
        </w:rPr>
        <w:t>En su oportunidad, archívese el presente expediente como asunto concluido y, en su caso, hágase la devolución de la documentación exhibida</w:t>
      </w:r>
    </w:p>
    <w:p w:rsidR="00692022" w:rsidRDefault="00693015" w:rsidP="00692022">
      <w:pPr>
        <w:widowControl w:val="0"/>
        <w:autoSpaceDE w:val="0"/>
        <w:autoSpaceDN w:val="0"/>
        <w:spacing w:before="100" w:beforeAutospacing="1" w:after="100" w:afterAutospacing="1" w:line="336" w:lineRule="auto"/>
        <w:jc w:val="both"/>
        <w:rPr>
          <w:rFonts w:cs="Arial"/>
          <w:bCs/>
          <w:sz w:val="24"/>
          <w:szCs w:val="24"/>
        </w:rPr>
      </w:pPr>
      <w:r w:rsidRPr="00991CED">
        <w:rPr>
          <w:rFonts w:cs="Arial"/>
          <w:sz w:val="24"/>
          <w:szCs w:val="24"/>
        </w:rPr>
        <w:t xml:space="preserve">Así lo </w:t>
      </w:r>
      <w:r w:rsidR="00E528DE">
        <w:rPr>
          <w:rFonts w:cs="Arial"/>
          <w:sz w:val="24"/>
          <w:szCs w:val="24"/>
        </w:rPr>
        <w:t xml:space="preserve">resolvieron </w:t>
      </w:r>
      <w:r w:rsidRPr="00991CED">
        <w:rPr>
          <w:rFonts w:cs="Arial"/>
          <w:sz w:val="24"/>
          <w:szCs w:val="24"/>
        </w:rPr>
        <w:t xml:space="preserve">por </w:t>
      </w:r>
      <w:r w:rsidR="00E528DE">
        <w:rPr>
          <w:rFonts w:cs="Arial"/>
          <w:b/>
          <w:color w:val="000000" w:themeColor="text1"/>
          <w:sz w:val="24"/>
          <w:szCs w:val="24"/>
        </w:rPr>
        <w:t>unanimidad</w:t>
      </w:r>
      <w:r w:rsidRPr="00991CED">
        <w:rPr>
          <w:rFonts w:cs="Arial"/>
          <w:color w:val="000000" w:themeColor="text1"/>
          <w:sz w:val="24"/>
          <w:szCs w:val="24"/>
        </w:rPr>
        <w:t xml:space="preserve"> </w:t>
      </w:r>
      <w:r w:rsidRPr="00991CED">
        <w:rPr>
          <w:rFonts w:cs="Arial"/>
          <w:sz w:val="24"/>
          <w:szCs w:val="24"/>
        </w:rPr>
        <w:t>de votos,</w:t>
      </w:r>
      <w:r w:rsidRPr="00991CED">
        <w:rPr>
          <w:rFonts w:cs="Arial"/>
          <w:b/>
          <w:bCs/>
          <w:sz w:val="24"/>
          <w:szCs w:val="24"/>
        </w:rPr>
        <w:t xml:space="preserve"> </w:t>
      </w:r>
      <w:r w:rsidRPr="00991CED">
        <w:rPr>
          <w:rFonts w:cs="Arial"/>
          <w:sz w:val="24"/>
          <w:szCs w:val="24"/>
        </w:rPr>
        <w:t>la</w:t>
      </w:r>
      <w:r w:rsidR="00D76B86" w:rsidRPr="00991CED">
        <w:rPr>
          <w:rFonts w:cs="Arial"/>
          <w:sz w:val="24"/>
          <w:szCs w:val="24"/>
        </w:rPr>
        <w:t>s</w:t>
      </w:r>
      <w:r w:rsidRPr="00991CED">
        <w:rPr>
          <w:rFonts w:cs="Arial"/>
          <w:sz w:val="24"/>
          <w:szCs w:val="24"/>
        </w:rPr>
        <w:t xml:space="preserve"> Magistrada</w:t>
      </w:r>
      <w:r w:rsidR="00D76B86" w:rsidRPr="00991CED">
        <w:rPr>
          <w:rFonts w:cs="Arial"/>
          <w:sz w:val="24"/>
          <w:szCs w:val="24"/>
        </w:rPr>
        <w:t>s</w:t>
      </w:r>
      <w:r w:rsidRPr="00991CED">
        <w:rPr>
          <w:rFonts w:cs="Arial"/>
          <w:sz w:val="24"/>
          <w:szCs w:val="24"/>
        </w:rPr>
        <w:t xml:space="preserve"> y los Magistrados que integran la Sala Superior del Tribunal Electoral del Poder Judicial de la Federación</w:t>
      </w:r>
      <w:r w:rsidR="00692022" w:rsidRPr="00991CED">
        <w:rPr>
          <w:rFonts w:cs="Arial"/>
          <w:sz w:val="24"/>
          <w:szCs w:val="24"/>
        </w:rPr>
        <w:t xml:space="preserve">. </w:t>
      </w:r>
      <w:r w:rsidR="00692022" w:rsidRPr="00991CED">
        <w:rPr>
          <w:bCs/>
          <w:sz w:val="24"/>
          <w:szCs w:val="24"/>
        </w:rPr>
        <w:t xml:space="preserve">El </w:t>
      </w:r>
      <w:r w:rsidR="00692022" w:rsidRPr="00991CED">
        <w:rPr>
          <w:rFonts w:cs="Arial"/>
          <w:bCs/>
          <w:sz w:val="24"/>
          <w:szCs w:val="24"/>
        </w:rPr>
        <w:t>secretari</w:t>
      </w:r>
      <w:r w:rsidR="00692022" w:rsidRPr="00991CED">
        <w:rPr>
          <w:bCs/>
          <w:sz w:val="24"/>
          <w:szCs w:val="24"/>
        </w:rPr>
        <w:t>o</w:t>
      </w:r>
      <w:r w:rsidR="00692022" w:rsidRPr="00991CED">
        <w:rPr>
          <w:rFonts w:cs="Arial"/>
          <w:bCs/>
          <w:sz w:val="24"/>
          <w:szCs w:val="24"/>
        </w:rPr>
        <w:t xml:space="preserve"> general de acuerdos autoriza y da fe que el presente acuerdo se firma de manera electrónica.</w:t>
      </w:r>
    </w:p>
    <w:p w:rsidR="00E528DE" w:rsidRPr="00991CED" w:rsidRDefault="00E528DE" w:rsidP="00692022">
      <w:pPr>
        <w:widowControl w:val="0"/>
        <w:autoSpaceDE w:val="0"/>
        <w:autoSpaceDN w:val="0"/>
        <w:spacing w:before="100" w:beforeAutospacing="1" w:after="100" w:afterAutospacing="1" w:line="336" w:lineRule="auto"/>
        <w:jc w:val="both"/>
        <w:rPr>
          <w:rFonts w:cs="Arial"/>
          <w:bCs/>
          <w:sz w:val="24"/>
          <w:szCs w:val="24"/>
        </w:rPr>
      </w:pPr>
    </w:p>
    <w:p w:rsidR="00E528DE" w:rsidRDefault="00E528DE" w:rsidP="00E528DE">
      <w:pPr>
        <w:ind w:firstLine="567"/>
        <w:jc w:val="both"/>
        <w:rPr>
          <w:rFonts w:ascii="Univers" w:hAnsi="Univers"/>
          <w:szCs w:val="18"/>
        </w:rPr>
      </w:pPr>
      <w:r>
        <w:rPr>
          <w:rFonts w:ascii="Univers" w:hAnsi="Univers"/>
          <w:szCs w:val="18"/>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bookmarkEnd w:id="0"/>
    <w:p w:rsidR="00692022" w:rsidRPr="00991CED" w:rsidRDefault="00692022" w:rsidP="00692022">
      <w:pPr>
        <w:widowControl w:val="0"/>
        <w:autoSpaceDE w:val="0"/>
        <w:autoSpaceDN w:val="0"/>
        <w:spacing w:before="100" w:beforeAutospacing="1" w:after="100" w:afterAutospacing="1" w:line="360" w:lineRule="auto"/>
        <w:jc w:val="both"/>
        <w:rPr>
          <w:rFonts w:cs="Arial"/>
          <w:bCs/>
          <w:sz w:val="24"/>
          <w:szCs w:val="24"/>
        </w:rPr>
      </w:pPr>
    </w:p>
    <w:sectPr w:rsidR="00692022" w:rsidRPr="00991CED" w:rsidSect="00A1622A">
      <w:headerReference w:type="even" r:id="rId8"/>
      <w:headerReference w:type="default" r:id="rId9"/>
      <w:footerReference w:type="even" r:id="rId10"/>
      <w:footerReference w:type="default" r:id="rId11"/>
      <w:headerReference w:type="first" r:id="rId12"/>
      <w:footerReference w:type="first" r:id="rId13"/>
      <w:pgSz w:w="12240" w:h="18720" w:code="14"/>
      <w:pgMar w:top="3119" w:right="1701" w:bottom="1418" w:left="2835" w:header="1559" w:footer="12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B6A" w:rsidRDefault="00661B6A" w:rsidP="00D41F45">
      <w:r>
        <w:separator/>
      </w:r>
    </w:p>
  </w:endnote>
  <w:endnote w:type="continuationSeparator" w:id="0">
    <w:p w:rsidR="00661B6A" w:rsidRDefault="00661B6A" w:rsidP="00D4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20B0603020202030204"/>
    <w:charset w:val="00"/>
    <w:family w:val="swiss"/>
    <w:pitch w:val="variable"/>
    <w:sig w:usb0="8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0A" w:rsidRDefault="0008520A" w:rsidP="00675766">
    <w:pPr>
      <w:pStyle w:val="NormalWeb"/>
      <w:spacing w:before="120"/>
      <w:jc w:val="center"/>
    </w:pPr>
  </w:p>
  <w:sdt>
    <w:sdtPr>
      <w:rPr>
        <w:rFonts w:ascii="Arial" w:hAnsi="Arial" w:cs="Arial"/>
        <w:b/>
        <w:sz w:val="20"/>
        <w:szCs w:val="20"/>
      </w:rPr>
      <w:id w:val="1558820018"/>
      <w:docPartObj>
        <w:docPartGallery w:val="Page Numbers (Bottom of Page)"/>
        <w:docPartUnique/>
      </w:docPartObj>
    </w:sdtPr>
    <w:sdtEndPr/>
    <w:sdtContent>
      <w:p w:rsidR="0008520A" w:rsidRPr="008A409A" w:rsidRDefault="0008520A" w:rsidP="00675766">
        <w:pPr>
          <w:pStyle w:val="NormalWeb"/>
          <w:spacing w:before="120"/>
          <w:jc w:val="center"/>
          <w:rPr>
            <w:rFonts w:ascii="Arial" w:hAnsi="Arial" w:cs="Arial"/>
            <w:b/>
            <w:sz w:val="20"/>
            <w:szCs w:val="20"/>
          </w:rPr>
        </w:pPr>
        <w:r w:rsidRPr="008A409A">
          <w:rPr>
            <w:rFonts w:ascii="Arial" w:hAnsi="Arial" w:cs="Arial"/>
            <w:b/>
            <w:sz w:val="20"/>
            <w:szCs w:val="20"/>
          </w:rPr>
          <w:fldChar w:fldCharType="begin"/>
        </w:r>
        <w:r w:rsidRPr="008A409A">
          <w:rPr>
            <w:rFonts w:ascii="Arial" w:hAnsi="Arial" w:cs="Arial"/>
            <w:b/>
            <w:sz w:val="20"/>
            <w:szCs w:val="20"/>
          </w:rPr>
          <w:instrText>PAGE   \* MERGEFORMAT</w:instrText>
        </w:r>
        <w:r w:rsidRPr="008A409A">
          <w:rPr>
            <w:rFonts w:ascii="Arial" w:hAnsi="Arial" w:cs="Arial"/>
            <w:b/>
            <w:sz w:val="20"/>
            <w:szCs w:val="20"/>
          </w:rPr>
          <w:fldChar w:fldCharType="separate"/>
        </w:r>
        <w:r w:rsidRPr="008A409A">
          <w:rPr>
            <w:rFonts w:ascii="Arial" w:hAnsi="Arial" w:cs="Arial"/>
            <w:b/>
            <w:noProof/>
            <w:sz w:val="20"/>
            <w:szCs w:val="20"/>
            <w:lang w:val="es-ES"/>
          </w:rPr>
          <w:t>10</w:t>
        </w:r>
        <w:r w:rsidRPr="008A409A">
          <w:rPr>
            <w:rFonts w:ascii="Arial" w:hAnsi="Arial" w:cs="Arial"/>
            <w:b/>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293563"/>
      <w:docPartObj>
        <w:docPartGallery w:val="Page Numbers (Bottom of Page)"/>
        <w:docPartUnique/>
      </w:docPartObj>
    </w:sdtPr>
    <w:sdtEndPr>
      <w:rPr>
        <w:rFonts w:ascii="Arial" w:hAnsi="Arial" w:cs="Arial"/>
        <w:b/>
        <w:sz w:val="20"/>
        <w:szCs w:val="20"/>
      </w:rPr>
    </w:sdtEndPr>
    <w:sdtContent>
      <w:p w:rsidR="0008520A" w:rsidRDefault="0008520A" w:rsidP="00675766">
        <w:pPr>
          <w:pStyle w:val="NormalWeb"/>
          <w:spacing w:before="120"/>
          <w:jc w:val="center"/>
        </w:pPr>
      </w:p>
      <w:p w:rsidR="0008520A" w:rsidRPr="00764CF1" w:rsidRDefault="0008520A" w:rsidP="00675766">
        <w:pPr>
          <w:pStyle w:val="NormalWeb"/>
          <w:spacing w:before="120"/>
          <w:jc w:val="center"/>
          <w:rPr>
            <w:rFonts w:ascii="Arial" w:hAnsi="Arial" w:cs="Arial"/>
            <w:b/>
            <w:sz w:val="20"/>
            <w:szCs w:val="20"/>
          </w:rPr>
        </w:pPr>
        <w:r w:rsidRPr="00764CF1">
          <w:rPr>
            <w:rFonts w:ascii="Arial" w:hAnsi="Arial" w:cs="Arial"/>
            <w:b/>
            <w:sz w:val="20"/>
            <w:szCs w:val="20"/>
          </w:rPr>
          <w:fldChar w:fldCharType="begin"/>
        </w:r>
        <w:r w:rsidRPr="00764CF1">
          <w:rPr>
            <w:rFonts w:ascii="Arial" w:hAnsi="Arial" w:cs="Arial"/>
            <w:b/>
            <w:sz w:val="20"/>
            <w:szCs w:val="20"/>
          </w:rPr>
          <w:instrText>PAGE   \* MERGEFORMAT</w:instrText>
        </w:r>
        <w:r w:rsidRPr="00764CF1">
          <w:rPr>
            <w:rFonts w:ascii="Arial" w:hAnsi="Arial" w:cs="Arial"/>
            <w:b/>
            <w:sz w:val="20"/>
            <w:szCs w:val="20"/>
          </w:rPr>
          <w:fldChar w:fldCharType="separate"/>
        </w:r>
        <w:r w:rsidRPr="00764CF1">
          <w:rPr>
            <w:rFonts w:ascii="Arial" w:hAnsi="Arial" w:cs="Arial"/>
            <w:b/>
            <w:noProof/>
            <w:sz w:val="20"/>
            <w:szCs w:val="20"/>
            <w:lang w:val="es-ES"/>
          </w:rPr>
          <w:t>9</w:t>
        </w:r>
        <w:r w:rsidRPr="00764CF1">
          <w:rPr>
            <w:rFonts w:ascii="Arial" w:hAnsi="Arial" w:cs="Arial"/>
            <w:b/>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0A" w:rsidRPr="00222671" w:rsidRDefault="0008520A" w:rsidP="00675766">
    <w:pPr>
      <w:pStyle w:val="NormalWeb"/>
      <w:jc w:val="right"/>
      <w:rPr>
        <w:rFonts w:cs="Arial"/>
        <w:b/>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B6A" w:rsidRDefault="00661B6A" w:rsidP="00D41F45">
      <w:r>
        <w:separator/>
      </w:r>
    </w:p>
  </w:footnote>
  <w:footnote w:type="continuationSeparator" w:id="0">
    <w:p w:rsidR="00661B6A" w:rsidRDefault="00661B6A" w:rsidP="00D41F45">
      <w:r>
        <w:continuationSeparator/>
      </w:r>
    </w:p>
  </w:footnote>
  <w:footnote w:id="1">
    <w:p w:rsidR="0008520A" w:rsidRPr="00B937A1" w:rsidRDefault="0008520A" w:rsidP="00B937A1">
      <w:pPr>
        <w:pStyle w:val="Textonotapie"/>
        <w:jc w:val="both"/>
        <w:rPr>
          <w:rFonts w:cs="Arial"/>
          <w:sz w:val="18"/>
          <w:szCs w:val="18"/>
        </w:rPr>
      </w:pPr>
      <w:r w:rsidRPr="00B937A1">
        <w:rPr>
          <w:rStyle w:val="Refdenotaalpie"/>
          <w:rFonts w:cs="Arial"/>
          <w:sz w:val="18"/>
          <w:szCs w:val="18"/>
        </w:rPr>
        <w:footnoteRef/>
      </w:r>
      <w:r w:rsidRPr="00B937A1">
        <w:rPr>
          <w:rFonts w:cs="Arial"/>
          <w:sz w:val="18"/>
          <w:szCs w:val="18"/>
        </w:rPr>
        <w:t xml:space="preserve"> </w:t>
      </w:r>
      <w:r w:rsidRPr="00B937A1">
        <w:rPr>
          <w:rFonts w:cs="Arial"/>
          <w:b/>
          <w:sz w:val="18"/>
          <w:szCs w:val="18"/>
        </w:rPr>
        <w:t>Secretariado</w:t>
      </w:r>
      <w:r w:rsidRPr="00B937A1">
        <w:rPr>
          <w:rFonts w:cs="Arial"/>
          <w:sz w:val="18"/>
          <w:szCs w:val="18"/>
        </w:rPr>
        <w:t>: Isaías Trejo Sánchez y Daniel Alejandro García López.</w:t>
      </w:r>
    </w:p>
  </w:footnote>
  <w:footnote w:id="2">
    <w:p w:rsidR="0008520A" w:rsidRPr="00B937A1" w:rsidRDefault="0008520A" w:rsidP="00B937A1">
      <w:pPr>
        <w:pStyle w:val="Textonotapie"/>
        <w:jc w:val="both"/>
        <w:rPr>
          <w:sz w:val="18"/>
          <w:szCs w:val="18"/>
        </w:rPr>
      </w:pPr>
      <w:r w:rsidRPr="00B937A1">
        <w:rPr>
          <w:rStyle w:val="Refdenotaalpie"/>
          <w:sz w:val="18"/>
          <w:szCs w:val="18"/>
        </w:rPr>
        <w:footnoteRef/>
      </w:r>
      <w:r w:rsidRPr="00B937A1">
        <w:rPr>
          <w:sz w:val="18"/>
          <w:szCs w:val="18"/>
        </w:rPr>
        <w:t xml:space="preserve"> </w:t>
      </w:r>
      <w:r w:rsidRPr="00B937A1">
        <w:rPr>
          <w:rFonts w:cs="Arial"/>
          <w:sz w:val="18"/>
          <w:szCs w:val="18"/>
        </w:rPr>
        <w:t>En lo subsecuente las fechas harán referencia al año dos mil veinte, salvo que se especifique año diverso</w:t>
      </w:r>
      <w:r w:rsidRPr="00B937A1">
        <w:rPr>
          <w:sz w:val="18"/>
          <w:szCs w:val="18"/>
        </w:rPr>
        <w:t>.</w:t>
      </w:r>
    </w:p>
  </w:footnote>
  <w:footnote w:id="3">
    <w:p w:rsidR="0008520A" w:rsidRPr="00B937A1" w:rsidRDefault="0008520A" w:rsidP="00B937A1">
      <w:pPr>
        <w:pStyle w:val="Textonotapie"/>
        <w:jc w:val="both"/>
        <w:rPr>
          <w:rFonts w:cs="Arial"/>
          <w:sz w:val="18"/>
          <w:szCs w:val="18"/>
        </w:rPr>
      </w:pPr>
      <w:r w:rsidRPr="00B937A1">
        <w:rPr>
          <w:rStyle w:val="Refdenotaalpie"/>
          <w:sz w:val="18"/>
          <w:szCs w:val="18"/>
        </w:rPr>
        <w:footnoteRef/>
      </w:r>
      <w:r w:rsidRPr="00B937A1">
        <w:rPr>
          <w:sz w:val="18"/>
          <w:szCs w:val="18"/>
        </w:rPr>
        <w:t xml:space="preserve"> </w:t>
      </w:r>
      <w:r w:rsidRPr="00B937A1">
        <w:rPr>
          <w:rFonts w:cs="Arial"/>
          <w:sz w:val="18"/>
          <w:szCs w:val="18"/>
        </w:rPr>
        <w:t>Con fundamento en lo dispuesto por los artículos 41, párrafo segundo, base VI y 99, párrafos segundo y cuarto, fracción IV, de la Constitución; 184, 186, fracción III, inciso b) y 189, fracción I, inciso d), de la Ley Orgánica; 4 y 87, párrafo 1, inciso a) de la Ley de Medios.</w:t>
      </w:r>
    </w:p>
  </w:footnote>
  <w:footnote w:id="4">
    <w:p w:rsidR="00CB22AB" w:rsidRDefault="00CB22AB">
      <w:pPr>
        <w:pStyle w:val="Textonotapie"/>
      </w:pPr>
      <w:r>
        <w:rPr>
          <w:rStyle w:val="Refdenotaalpie"/>
        </w:rPr>
        <w:footnoteRef/>
      </w:r>
      <w:r>
        <w:t xml:space="preserve"> El pasado</w:t>
      </w:r>
      <w:r w:rsidR="006326D6">
        <w:t xml:space="preserve"> primero</w:t>
      </w:r>
      <w:r>
        <w:t xml:space="preserve"> de julio. </w:t>
      </w:r>
    </w:p>
  </w:footnote>
  <w:footnote w:id="5">
    <w:p w:rsidR="00051931" w:rsidRPr="00EA312E" w:rsidRDefault="00051931" w:rsidP="00051931">
      <w:pPr>
        <w:pStyle w:val="Textonotapie"/>
      </w:pPr>
      <w:r w:rsidRPr="00EA312E">
        <w:rPr>
          <w:rStyle w:val="Refdenotaalpie"/>
        </w:rPr>
        <w:footnoteRef/>
      </w:r>
      <w:r w:rsidRPr="00EA312E">
        <w:t xml:space="preserve"> Artículo</w:t>
      </w:r>
      <w:r>
        <w:t xml:space="preserve"> </w:t>
      </w:r>
      <w:r w:rsidRPr="00EA312E">
        <w:t>66</w:t>
      </w:r>
      <w:r>
        <w:t>, párrafo segundo de</w:t>
      </w:r>
      <w:r w:rsidRPr="00EA312E">
        <w:t xml:space="preserve"> la Constitución local</w:t>
      </w:r>
    </w:p>
  </w:footnote>
  <w:footnote w:id="6">
    <w:p w:rsidR="00051931" w:rsidRPr="00E528DE" w:rsidRDefault="00051931" w:rsidP="00051931">
      <w:pPr>
        <w:pStyle w:val="Textonotapie"/>
        <w:jc w:val="both"/>
      </w:pPr>
      <w:r>
        <w:rPr>
          <w:rStyle w:val="Refdenotaalpie"/>
        </w:rPr>
        <w:footnoteRef/>
      </w:r>
      <w:r>
        <w:t xml:space="preserve"> </w:t>
      </w:r>
      <w:r w:rsidRPr="00E528DE">
        <w:t>En el caso concreto, esa primera actividad de organización del procedimiento electoral debe tener verificativo en la primera semana del mes de noviembre de esta anualidad, por lo que se encuadra en la hipótesis de asuntos a desarrollarse en este año</w:t>
      </w:r>
    </w:p>
  </w:footnote>
  <w:footnote w:id="7">
    <w:p w:rsidR="00F364B1" w:rsidRPr="00EA312E" w:rsidRDefault="00F364B1" w:rsidP="00F364B1">
      <w:pPr>
        <w:pStyle w:val="Textonotapie"/>
      </w:pPr>
      <w:r w:rsidRPr="00EA312E">
        <w:rPr>
          <w:rStyle w:val="Refdenotaalpie"/>
        </w:rPr>
        <w:footnoteRef/>
      </w:r>
      <w:r w:rsidRPr="00EA312E">
        <w:t xml:space="preserve"> </w:t>
      </w:r>
      <w:r w:rsidRPr="00EA312E">
        <w:rPr>
          <w:rFonts w:eastAsia="Times New Roman" w:cs="Arial"/>
          <w:lang w:val="es-ES"/>
        </w:rPr>
        <w:t>Artículo 1, primer párrafo, inciso f), del Acuerdo 6/2020.</w:t>
      </w:r>
    </w:p>
  </w:footnote>
  <w:footnote w:id="8">
    <w:p w:rsidR="0008520A" w:rsidRPr="00DE22FB" w:rsidRDefault="0008520A" w:rsidP="00B937A1">
      <w:pPr>
        <w:pStyle w:val="Textonotapie"/>
        <w:jc w:val="both"/>
        <w:rPr>
          <w:rFonts w:cs="Times New Roman"/>
        </w:rPr>
      </w:pPr>
      <w:r w:rsidRPr="00B937A1">
        <w:rPr>
          <w:rStyle w:val="Refdenotaalpie"/>
          <w:sz w:val="18"/>
          <w:szCs w:val="18"/>
        </w:rPr>
        <w:footnoteRef/>
      </w:r>
      <w:r w:rsidRPr="00B937A1">
        <w:rPr>
          <w:sz w:val="18"/>
          <w:szCs w:val="18"/>
        </w:rPr>
        <w:t xml:space="preserve"> </w:t>
      </w:r>
      <w:r w:rsidRPr="00DE22FB">
        <w:rPr>
          <w:rFonts w:cs="Arial"/>
        </w:rPr>
        <w:t>Artículos 7, párrafo 2; 8; 9, párrafo 1; 13, párrafo 1, inciso b); 79, párrafo 1, 80, párrafo 1, inciso f), de la Ley de Medios.</w:t>
      </w:r>
    </w:p>
  </w:footnote>
  <w:footnote w:id="9">
    <w:p w:rsidR="00E2698F" w:rsidRPr="00B937A1" w:rsidRDefault="00E2698F" w:rsidP="00B937A1">
      <w:pPr>
        <w:pStyle w:val="Textonotapie"/>
        <w:jc w:val="both"/>
        <w:rPr>
          <w:sz w:val="18"/>
          <w:szCs w:val="18"/>
        </w:rPr>
      </w:pPr>
      <w:r w:rsidRPr="00B937A1">
        <w:rPr>
          <w:rStyle w:val="Refdenotaalpie"/>
          <w:sz w:val="18"/>
          <w:szCs w:val="18"/>
        </w:rPr>
        <w:footnoteRef/>
      </w:r>
      <w:r w:rsidRPr="00B937A1">
        <w:rPr>
          <w:sz w:val="18"/>
          <w:szCs w:val="18"/>
        </w:rPr>
        <w:t xml:space="preserve"> El “Acuerdo de fecha dos de abril de 2020, que emite la Comisión de Administración del Tribunal Electoral del Estado de Durango, relativo a suspensión de labores”, establece la suspensión de labores de Tribunal durante el periodo comprendido del lunes seis al viernes diez de abril, por lo que no trascurrirán los plazos de judiciales respecto a asuntos de su competencia en dicho lapso.</w:t>
      </w:r>
    </w:p>
  </w:footnote>
  <w:footnote w:id="10">
    <w:p w:rsidR="0008520A" w:rsidRPr="00B937A1" w:rsidRDefault="0008520A" w:rsidP="00B937A1">
      <w:pPr>
        <w:pStyle w:val="Textonotapie"/>
        <w:jc w:val="both"/>
        <w:rPr>
          <w:sz w:val="18"/>
          <w:szCs w:val="18"/>
        </w:rPr>
      </w:pPr>
      <w:r w:rsidRPr="00B937A1">
        <w:rPr>
          <w:rStyle w:val="Refdenotaalpie"/>
          <w:sz w:val="18"/>
          <w:szCs w:val="18"/>
        </w:rPr>
        <w:footnoteRef/>
      </w:r>
      <w:r w:rsidRPr="00B937A1">
        <w:rPr>
          <w:sz w:val="18"/>
          <w:szCs w:val="18"/>
        </w:rPr>
        <w:t xml:space="preserve"> De conformidad con el artículo 88, párrafo 1, de la Ley de Medios.</w:t>
      </w:r>
    </w:p>
  </w:footnote>
  <w:footnote w:id="11">
    <w:p w:rsidR="0008520A" w:rsidRPr="00B937A1" w:rsidRDefault="0008520A" w:rsidP="00B937A1">
      <w:pPr>
        <w:pStyle w:val="Textonotapie"/>
        <w:jc w:val="both"/>
        <w:rPr>
          <w:sz w:val="18"/>
          <w:szCs w:val="18"/>
        </w:rPr>
      </w:pPr>
      <w:r w:rsidRPr="00B937A1">
        <w:rPr>
          <w:rStyle w:val="Refdenotaalpie"/>
          <w:sz w:val="18"/>
          <w:szCs w:val="18"/>
        </w:rPr>
        <w:footnoteRef/>
      </w:r>
      <w:r w:rsidRPr="00B937A1">
        <w:rPr>
          <w:sz w:val="18"/>
          <w:szCs w:val="18"/>
        </w:rPr>
        <w:t xml:space="preserve"> En la legislación local no se advierte que proceda ningún medio de defensa o recurso para controvertir la sentencias emitidas por el Tribunal local.</w:t>
      </w:r>
    </w:p>
  </w:footnote>
  <w:footnote w:id="12">
    <w:p w:rsidR="00570A00" w:rsidRPr="00581256" w:rsidRDefault="00570A00" w:rsidP="00B937A1">
      <w:pPr>
        <w:pStyle w:val="Textonotapie"/>
        <w:jc w:val="both"/>
        <w:rPr>
          <w:rFonts w:cs="Arial"/>
          <w:b/>
          <w:sz w:val="18"/>
          <w:szCs w:val="18"/>
        </w:rPr>
      </w:pPr>
      <w:r w:rsidRPr="00B937A1">
        <w:rPr>
          <w:rStyle w:val="Refdenotaalpie"/>
          <w:sz w:val="18"/>
          <w:szCs w:val="18"/>
        </w:rPr>
        <w:footnoteRef/>
      </w:r>
      <w:r w:rsidRPr="00B937A1">
        <w:rPr>
          <w:sz w:val="18"/>
          <w:szCs w:val="18"/>
        </w:rPr>
        <w:t xml:space="preserve"> </w:t>
      </w:r>
      <w:r w:rsidRPr="00581256">
        <w:rPr>
          <w:rFonts w:cs="Arial"/>
          <w:sz w:val="18"/>
          <w:szCs w:val="18"/>
        </w:rPr>
        <w:t>Resulta aplicable la jurisprudencia 2/97 de rubro:</w:t>
      </w:r>
      <w:r w:rsidRPr="00581256">
        <w:rPr>
          <w:rFonts w:cs="Arial"/>
          <w:b/>
          <w:sz w:val="18"/>
          <w:szCs w:val="18"/>
        </w:rPr>
        <w:t xml:space="preserve"> “JUICIO DE REVISIÓN CONSTITUCIONAL ELECTORAL. INTERPRETACIÓN DEL REQUISITO DE PROCEDENCIA PREVISTO EN EL ARTÍCULO 86, PÁRRAFO 1, INCISO B), DE LA LEY DE LA MATERIA”.</w:t>
      </w:r>
    </w:p>
  </w:footnote>
  <w:footnote w:id="13">
    <w:p w:rsidR="00575EFF" w:rsidRPr="00F06AE1" w:rsidRDefault="00575EFF" w:rsidP="00575EFF">
      <w:pPr>
        <w:pStyle w:val="Textonotapie"/>
        <w:jc w:val="both"/>
        <w:rPr>
          <w:rFonts w:cs="Arial"/>
          <w:sz w:val="18"/>
          <w:szCs w:val="18"/>
        </w:rPr>
      </w:pPr>
      <w:r>
        <w:rPr>
          <w:rStyle w:val="Refdenotaalpie"/>
        </w:rPr>
        <w:footnoteRef/>
      </w:r>
      <w:r>
        <w:t xml:space="preserve"> </w:t>
      </w:r>
      <w:r w:rsidRPr="00F06AE1">
        <w:rPr>
          <w:rFonts w:cs="Arial"/>
          <w:sz w:val="18"/>
          <w:szCs w:val="18"/>
        </w:rPr>
        <w:t xml:space="preserve">Artículo 86, párrafo 1, inciso c), de la Ley General y Jurisprudencia 15/2002, de rubro </w:t>
      </w:r>
      <w:r w:rsidRPr="00F06AE1">
        <w:rPr>
          <w:rFonts w:cs="Arial"/>
          <w:b/>
          <w:sz w:val="18"/>
          <w:szCs w:val="18"/>
        </w:rPr>
        <w:t>VIOLACIÓN DETERMINANTE EN EL JUICIO DE REVISIÓN CONSTITUCIONAL ELECTORAL. SURTIMIENTO DE TAL REQUISITO</w:t>
      </w:r>
      <w:r w:rsidRPr="00F06AE1">
        <w:rPr>
          <w:rFonts w:cs="Arial"/>
          <w:sz w:val="18"/>
          <w:szCs w:val="18"/>
        </w:rPr>
        <w:t>. Revista del Tribunal Electoral del Poder Judicial de la Federación, Suplemento 6, Año 2003, páginas 70 y 71</w:t>
      </w:r>
      <w:r>
        <w:rPr>
          <w:rFonts w:cs="Arial"/>
          <w:sz w:val="18"/>
          <w:szCs w:val="18"/>
        </w:rPr>
        <w:t>.</w:t>
      </w:r>
    </w:p>
  </w:footnote>
  <w:footnote w:id="14">
    <w:p w:rsidR="00575EFF" w:rsidRPr="001507DE" w:rsidRDefault="00575EFF" w:rsidP="00575EFF">
      <w:pPr>
        <w:pStyle w:val="Textonotapie"/>
        <w:jc w:val="both"/>
        <w:rPr>
          <w:rFonts w:cs="Arial"/>
          <w:sz w:val="18"/>
          <w:szCs w:val="18"/>
        </w:rPr>
      </w:pPr>
      <w:r>
        <w:rPr>
          <w:rStyle w:val="Refdenotaalpie"/>
        </w:rPr>
        <w:footnoteRef/>
      </w:r>
      <w:r>
        <w:t xml:space="preserve"> </w:t>
      </w:r>
      <w:r w:rsidRPr="001507DE">
        <w:rPr>
          <w:rFonts w:cs="Arial"/>
          <w:sz w:val="18"/>
          <w:szCs w:val="18"/>
        </w:rPr>
        <w:t xml:space="preserve">Criterio sustentado en los juicios </w:t>
      </w:r>
      <w:r w:rsidRPr="00BA3584">
        <w:rPr>
          <w:rFonts w:cs="Arial"/>
          <w:sz w:val="18"/>
          <w:szCs w:val="18"/>
        </w:rPr>
        <w:t>SUP-JRC-2/2019 y SUP-JRC-3/2018, SUP-JRC-17/2010</w:t>
      </w:r>
      <w:r>
        <w:rPr>
          <w:rFonts w:cs="Arial"/>
          <w:sz w:val="18"/>
          <w:szCs w:val="18"/>
        </w:rPr>
        <w:t>,</w:t>
      </w:r>
      <w:r w:rsidRPr="00BA3584">
        <w:rPr>
          <w:rFonts w:cs="Arial"/>
          <w:sz w:val="18"/>
          <w:szCs w:val="18"/>
        </w:rPr>
        <w:t xml:space="preserve"> SUP-JRC-2/2010</w:t>
      </w:r>
      <w:r>
        <w:rPr>
          <w:rFonts w:cs="Arial"/>
          <w:sz w:val="18"/>
          <w:szCs w:val="18"/>
        </w:rPr>
        <w:t xml:space="preserve">, </w:t>
      </w:r>
      <w:hyperlink r:id="rId1" w:tgtFrame="_blank" w:history="1">
        <w:r w:rsidRPr="001507DE">
          <w:rPr>
            <w:rFonts w:cs="Arial"/>
            <w:sz w:val="18"/>
            <w:szCs w:val="18"/>
          </w:rPr>
          <w:t>SUP-JRC-68/2009</w:t>
        </w:r>
      </w:hyperlink>
      <w:r>
        <w:rPr>
          <w:rFonts w:cs="Arial"/>
          <w:sz w:val="18"/>
          <w:szCs w:val="18"/>
        </w:rPr>
        <w:t xml:space="preserve"> y </w:t>
      </w:r>
      <w:hyperlink r:id="rId2" w:tgtFrame="_blank" w:history="1">
        <w:r w:rsidRPr="004A0B08">
          <w:rPr>
            <w:rFonts w:cs="Arial"/>
            <w:sz w:val="18"/>
            <w:szCs w:val="18"/>
          </w:rPr>
          <w:t>SUP-JRC-146/2008</w:t>
        </w:r>
      </w:hyperlink>
      <w:r>
        <w:rPr>
          <w:rFonts w:cs="Arial"/>
          <w:sz w:val="18"/>
          <w:szCs w:val="18"/>
        </w:rPr>
        <w:t>.</w:t>
      </w:r>
    </w:p>
  </w:footnote>
  <w:footnote w:id="15">
    <w:p w:rsidR="00B937A1" w:rsidRPr="00B937A1" w:rsidRDefault="00B937A1" w:rsidP="00B937A1">
      <w:pPr>
        <w:pStyle w:val="Textonotapie"/>
        <w:jc w:val="both"/>
        <w:rPr>
          <w:rFonts w:cs="Arial"/>
          <w:b/>
          <w:sz w:val="18"/>
          <w:szCs w:val="18"/>
        </w:rPr>
      </w:pPr>
      <w:r w:rsidRPr="00B937A1">
        <w:rPr>
          <w:rStyle w:val="Refdenotaalpie"/>
          <w:rFonts w:cs="Arial"/>
          <w:sz w:val="18"/>
          <w:szCs w:val="18"/>
        </w:rPr>
        <w:footnoteRef/>
      </w:r>
      <w:r w:rsidRPr="00B937A1">
        <w:rPr>
          <w:rFonts w:cs="Arial"/>
          <w:sz w:val="18"/>
          <w:szCs w:val="18"/>
        </w:rPr>
        <w:t xml:space="preserve"> Jurisprudencia 4/2000 </w:t>
      </w:r>
      <w:r w:rsidRPr="00B937A1">
        <w:rPr>
          <w:rFonts w:cs="Arial"/>
          <w:b/>
          <w:sz w:val="18"/>
          <w:szCs w:val="18"/>
        </w:rPr>
        <w:t xml:space="preserve">“AGRAVIOS, SU EXAMEN EN CONJUNTO O SEPARADO, NO CAUSA LESIÓN.” </w:t>
      </w:r>
      <w:r w:rsidRPr="00B937A1">
        <w:rPr>
          <w:rFonts w:cs="Arial"/>
          <w:sz w:val="18"/>
          <w:szCs w:val="18"/>
        </w:rPr>
        <w:t>Justicia Electoral. Revista del Tribunal Electoral del Poder Judicial de la Federación, Suplemento 4, Año 2001, páginas 5 y 6.</w:t>
      </w:r>
    </w:p>
  </w:footnote>
  <w:footnote w:id="16">
    <w:p w:rsidR="00676057" w:rsidRPr="00676057" w:rsidRDefault="00676057" w:rsidP="00676057">
      <w:pPr>
        <w:pStyle w:val="Textonotapie"/>
        <w:jc w:val="both"/>
      </w:pPr>
      <w:r>
        <w:rPr>
          <w:rStyle w:val="Refdenotaalpie"/>
        </w:rPr>
        <w:footnoteRef/>
      </w:r>
      <w:r>
        <w:t xml:space="preserve"> Ante el Tribunal local el ahora enjuiciante solamente planteó dos argumentos: </w:t>
      </w:r>
      <w:r w:rsidRPr="00676057">
        <w:rPr>
          <w:b/>
        </w:rPr>
        <w:t>i)</w:t>
      </w:r>
      <w:r>
        <w:t xml:space="preserve"> que la modificación reglamentaria era indebida porque el OPLE no tiene atribuciones para cambiar su sede y </w:t>
      </w:r>
      <w:proofErr w:type="spellStart"/>
      <w:r w:rsidRPr="00676057">
        <w:rPr>
          <w:b/>
        </w:rPr>
        <w:t>ii</w:t>
      </w:r>
      <w:proofErr w:type="spellEnd"/>
      <w:r w:rsidRPr="00676057">
        <w:rPr>
          <w:b/>
        </w:rPr>
        <w:t>)</w:t>
      </w:r>
      <w:r>
        <w:t xml:space="preserve"> </w:t>
      </w:r>
      <w:r w:rsidRPr="00676057">
        <w:t>las gestiones que pretende realizar el Consejo General del IEPC, al sesionar en lugar distinto a la capital del estado, las pueden realizar los Consejos Municipales.</w:t>
      </w:r>
    </w:p>
    <w:p w:rsidR="00676057" w:rsidRDefault="00676057">
      <w:pPr>
        <w:pStyle w:val="Textonotapie"/>
      </w:pPr>
    </w:p>
  </w:footnote>
  <w:footnote w:id="17">
    <w:p w:rsidR="00A936C9" w:rsidRPr="00B937A1" w:rsidRDefault="00A936C9" w:rsidP="00A936C9">
      <w:pPr>
        <w:pStyle w:val="Textonotapie"/>
        <w:jc w:val="both"/>
        <w:rPr>
          <w:sz w:val="18"/>
          <w:szCs w:val="18"/>
        </w:rPr>
      </w:pPr>
      <w:r w:rsidRPr="00B937A1">
        <w:rPr>
          <w:rStyle w:val="Refdenotaalpie"/>
          <w:sz w:val="18"/>
          <w:szCs w:val="18"/>
        </w:rPr>
        <w:footnoteRef/>
      </w:r>
      <w:r w:rsidRPr="00B937A1">
        <w:rPr>
          <w:sz w:val="18"/>
          <w:szCs w:val="18"/>
        </w:rPr>
        <w:t xml:space="preserve"> Artículo 88, fracción XXIV, de la Ley de Instituciones.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0A" w:rsidRPr="00D76C43" w:rsidRDefault="0008520A" w:rsidP="00675766">
    <w:pPr>
      <w:pStyle w:val="Textoindependiente"/>
      <w:rPr>
        <w:rFonts w:ascii="Arial" w:hAnsi="Arial" w:cs="Arial"/>
        <w:b/>
        <w:color w:val="000000" w:themeColor="text1"/>
        <w:sz w:val="24"/>
      </w:rPr>
    </w:pPr>
    <w:r w:rsidRPr="00D76C43">
      <w:rPr>
        <w:rFonts w:ascii="Arial" w:hAnsi="Arial" w:cs="Arial"/>
        <w:b/>
        <w:color w:val="000000" w:themeColor="text1"/>
        <w:sz w:val="24"/>
      </w:rPr>
      <w:t>SUP-JRC-6/2020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0A" w:rsidRPr="00D76C43" w:rsidRDefault="00E528DE" w:rsidP="00942796">
    <w:pPr>
      <w:pStyle w:val="Textoindependiente"/>
      <w:jc w:val="right"/>
      <w:rPr>
        <w:rFonts w:ascii="Arial" w:hAnsi="Arial" w:cs="Arial"/>
        <w:b/>
        <w:color w:val="000000" w:themeColor="text1"/>
        <w:sz w:val="24"/>
      </w:rPr>
    </w:pPr>
    <w:r>
      <w:rPr>
        <w:noProof/>
      </w:rPr>
      <w:drawing>
        <wp:anchor distT="0" distB="0" distL="114300" distR="114300" simplePos="0" relativeHeight="251661312" behindDoc="0" locked="0" layoutInCell="1" allowOverlap="1" wp14:anchorId="310F58DD" wp14:editId="34D0EC3B">
          <wp:simplePos x="0" y="0"/>
          <wp:positionH relativeFrom="leftMargin">
            <wp:posOffset>422275</wp:posOffset>
          </wp:positionH>
          <wp:positionV relativeFrom="paragraph">
            <wp:posOffset>-487207</wp:posOffset>
          </wp:positionV>
          <wp:extent cx="1377950" cy="1192530"/>
          <wp:effectExtent l="0" t="0" r="0" b="762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20A" w:rsidRPr="00D76C43">
      <w:rPr>
        <w:rFonts w:ascii="Arial" w:hAnsi="Arial" w:cs="Arial"/>
        <w:b/>
        <w:color w:val="000000" w:themeColor="text1"/>
        <w:sz w:val="24"/>
      </w:rPr>
      <w:t>SUP-JRC-6/2020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8DE" w:rsidRDefault="00E528DE">
    <w:pPr>
      <w:pStyle w:val="Encabezado"/>
    </w:pPr>
    <w:r>
      <w:rPr>
        <w:noProof/>
      </w:rPr>
      <w:drawing>
        <wp:anchor distT="0" distB="0" distL="114300" distR="114300" simplePos="0" relativeHeight="251659264" behindDoc="0" locked="0" layoutInCell="1" allowOverlap="1" wp14:anchorId="310F58DD" wp14:editId="34D0EC3B">
          <wp:simplePos x="0" y="0"/>
          <wp:positionH relativeFrom="leftMargin">
            <wp:posOffset>422275</wp:posOffset>
          </wp:positionH>
          <wp:positionV relativeFrom="paragraph">
            <wp:posOffset>-489112</wp:posOffset>
          </wp:positionV>
          <wp:extent cx="1377950" cy="1192530"/>
          <wp:effectExtent l="0" t="0" r="0" b="762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82C817"/>
    <w:multiLevelType w:val="hybridMultilevel"/>
    <w:tmpl w:val="84076C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5DE0D72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02A65147"/>
    <w:multiLevelType w:val="hybridMultilevel"/>
    <w:tmpl w:val="90B61704"/>
    <w:lvl w:ilvl="0" w:tplc="2A00927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DB716F"/>
    <w:multiLevelType w:val="hybridMultilevel"/>
    <w:tmpl w:val="15B8ADCA"/>
    <w:lvl w:ilvl="0" w:tplc="94FAD054">
      <w:start w:val="1"/>
      <w:numFmt w:val="decimal"/>
      <w:pStyle w:val="NUMERADO"/>
      <w:lvlText w:val="%1."/>
      <w:lvlJc w:val="left"/>
      <w:pPr>
        <w:ind w:left="3196" w:hanging="360"/>
      </w:pPr>
      <w:rPr>
        <w:b w:val="0"/>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 w15:restartNumberingAfterBreak="0">
    <w:nsid w:val="06174503"/>
    <w:multiLevelType w:val="multilevel"/>
    <w:tmpl w:val="C7DAACAC"/>
    <w:lvl w:ilvl="0">
      <w:start w:val="1"/>
      <w:numFmt w:val="bullet"/>
      <w:lvlText w:val=""/>
      <w:lvlJc w:val="left"/>
      <w:pPr>
        <w:ind w:left="720" w:hanging="360"/>
      </w:pPr>
      <w:rPr>
        <w:rFonts w:ascii="Symbol" w:hAnsi="Symbol" w:hint="default"/>
      </w:rPr>
    </w:lvl>
    <w:lvl w:ilvl="1">
      <w:start w:val="1"/>
      <w:numFmt w:val="bullet"/>
      <w:lvlText w:val="o"/>
      <w:lvlJc w:val="left"/>
      <w:pPr>
        <w:ind w:left="1094" w:hanging="37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764111"/>
    <w:multiLevelType w:val="hybridMultilevel"/>
    <w:tmpl w:val="F7E81D32"/>
    <w:lvl w:ilvl="0" w:tplc="AAFABDA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5C28D5"/>
    <w:multiLevelType w:val="hybridMultilevel"/>
    <w:tmpl w:val="42DED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EB6D95"/>
    <w:multiLevelType w:val="hybridMultilevel"/>
    <w:tmpl w:val="7FC8A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9E5454"/>
    <w:multiLevelType w:val="hybridMultilevel"/>
    <w:tmpl w:val="45BA6832"/>
    <w:lvl w:ilvl="0" w:tplc="846A67EA">
      <w:start w:val="1"/>
      <w:numFmt w:val="decimal"/>
      <w:lvlText w:val="%1."/>
      <w:lvlJc w:val="left"/>
      <w:pPr>
        <w:ind w:left="644" w:hanging="360"/>
      </w:pPr>
      <w:rPr>
        <w:rFonts w:ascii="Univers" w:hAnsi="Univers" w:hint="default"/>
        <w:b/>
        <w:sz w:val="20"/>
        <w:szCs w:val="20"/>
      </w:rPr>
    </w:lvl>
    <w:lvl w:ilvl="1" w:tplc="080A0019">
      <w:start w:val="1"/>
      <w:numFmt w:val="lowerLetter"/>
      <w:lvlText w:val="%2."/>
      <w:lvlJc w:val="left"/>
      <w:pPr>
        <w:ind w:left="-3238" w:hanging="360"/>
      </w:pPr>
    </w:lvl>
    <w:lvl w:ilvl="2" w:tplc="FEC0A69A">
      <w:start w:val="1"/>
      <w:numFmt w:val="lowerLetter"/>
      <w:lvlText w:val="%3)"/>
      <w:lvlJc w:val="left"/>
      <w:pPr>
        <w:ind w:left="-2338" w:hanging="360"/>
      </w:pPr>
      <w:rPr>
        <w:rFonts w:hint="default"/>
      </w:rPr>
    </w:lvl>
    <w:lvl w:ilvl="3" w:tplc="080A000F" w:tentative="1">
      <w:start w:val="1"/>
      <w:numFmt w:val="decimal"/>
      <w:lvlText w:val="%4."/>
      <w:lvlJc w:val="left"/>
      <w:pPr>
        <w:ind w:left="-1798" w:hanging="360"/>
      </w:pPr>
    </w:lvl>
    <w:lvl w:ilvl="4" w:tplc="080A0019" w:tentative="1">
      <w:start w:val="1"/>
      <w:numFmt w:val="lowerLetter"/>
      <w:lvlText w:val="%5."/>
      <w:lvlJc w:val="left"/>
      <w:pPr>
        <w:ind w:left="-1078" w:hanging="360"/>
      </w:pPr>
    </w:lvl>
    <w:lvl w:ilvl="5" w:tplc="080A001B" w:tentative="1">
      <w:start w:val="1"/>
      <w:numFmt w:val="lowerRoman"/>
      <w:lvlText w:val="%6."/>
      <w:lvlJc w:val="right"/>
      <w:pPr>
        <w:ind w:left="-358" w:hanging="180"/>
      </w:pPr>
    </w:lvl>
    <w:lvl w:ilvl="6" w:tplc="080A000F" w:tentative="1">
      <w:start w:val="1"/>
      <w:numFmt w:val="decimal"/>
      <w:lvlText w:val="%7."/>
      <w:lvlJc w:val="left"/>
      <w:pPr>
        <w:ind w:left="362" w:hanging="360"/>
      </w:pPr>
    </w:lvl>
    <w:lvl w:ilvl="7" w:tplc="080A0019" w:tentative="1">
      <w:start w:val="1"/>
      <w:numFmt w:val="lowerLetter"/>
      <w:lvlText w:val="%8."/>
      <w:lvlJc w:val="left"/>
      <w:pPr>
        <w:ind w:left="1082" w:hanging="360"/>
      </w:pPr>
    </w:lvl>
    <w:lvl w:ilvl="8" w:tplc="080A001B" w:tentative="1">
      <w:start w:val="1"/>
      <w:numFmt w:val="lowerRoman"/>
      <w:lvlText w:val="%9."/>
      <w:lvlJc w:val="right"/>
      <w:pPr>
        <w:ind w:left="1802" w:hanging="180"/>
      </w:pPr>
    </w:lvl>
  </w:abstractNum>
  <w:abstractNum w:abstractNumId="9" w15:restartNumberingAfterBreak="0">
    <w:nsid w:val="30143469"/>
    <w:multiLevelType w:val="hybridMultilevel"/>
    <w:tmpl w:val="C5EED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C6235B"/>
    <w:multiLevelType w:val="hybridMultilevel"/>
    <w:tmpl w:val="11C4F4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13588C"/>
    <w:multiLevelType w:val="hybridMultilevel"/>
    <w:tmpl w:val="66C649DC"/>
    <w:lvl w:ilvl="0" w:tplc="D2ACC5AC">
      <w:start w:val="1"/>
      <w:numFmt w:val="upp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B234E4"/>
    <w:multiLevelType w:val="hybridMultilevel"/>
    <w:tmpl w:val="98384BBA"/>
    <w:lvl w:ilvl="0" w:tplc="CFD483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151FC3"/>
    <w:multiLevelType w:val="hybridMultilevel"/>
    <w:tmpl w:val="96AA5C08"/>
    <w:lvl w:ilvl="0" w:tplc="F22E60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55473A"/>
    <w:multiLevelType w:val="hybridMultilevel"/>
    <w:tmpl w:val="6CCC34A0"/>
    <w:lvl w:ilvl="0" w:tplc="09E627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A64292"/>
    <w:multiLevelType w:val="hybridMultilevel"/>
    <w:tmpl w:val="4D60E2C2"/>
    <w:lvl w:ilvl="0" w:tplc="5FA499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083CA8"/>
    <w:multiLevelType w:val="hybridMultilevel"/>
    <w:tmpl w:val="130CFBB0"/>
    <w:lvl w:ilvl="0" w:tplc="579C7A28">
      <w:start w:val="1"/>
      <w:numFmt w:val="decimal"/>
      <w:lvlText w:val="%1."/>
      <w:lvlJc w:val="left"/>
      <w:pPr>
        <w:ind w:left="502" w:hanging="360"/>
      </w:pPr>
      <w:rPr>
        <w:b/>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5234531"/>
    <w:multiLevelType w:val="hybridMultilevel"/>
    <w:tmpl w:val="2AC416AE"/>
    <w:lvl w:ilvl="0" w:tplc="2116A5E0">
      <w:start w:val="6"/>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68832F87"/>
    <w:multiLevelType w:val="hybridMultilevel"/>
    <w:tmpl w:val="F806945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74EA0489"/>
    <w:multiLevelType w:val="hybridMultilevel"/>
    <w:tmpl w:val="709EC776"/>
    <w:lvl w:ilvl="0" w:tplc="705C14BE">
      <w:start w:val="1"/>
      <w:numFmt w:val="decimal"/>
      <w:pStyle w:val="numerados"/>
      <w:lvlText w:val="%1."/>
      <w:lvlJc w:val="left"/>
      <w:pPr>
        <w:ind w:left="502" w:hanging="360"/>
      </w:pPr>
      <w:rPr>
        <w:rFonts w:hint="default"/>
        <w:b/>
        <w:sz w:val="28"/>
        <w:szCs w:val="28"/>
      </w:rPr>
    </w:lvl>
    <w:lvl w:ilvl="1" w:tplc="E51E34C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B46918"/>
    <w:multiLevelType w:val="hybridMultilevel"/>
    <w:tmpl w:val="02D040B8"/>
    <w:lvl w:ilvl="0" w:tplc="483CB5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D87A65"/>
    <w:multiLevelType w:val="hybridMultilevel"/>
    <w:tmpl w:val="F9A01650"/>
    <w:lvl w:ilvl="0" w:tplc="17A0ACAE">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5"/>
  </w:num>
  <w:num w:numId="2">
    <w:abstractNumId w:val="3"/>
  </w:num>
  <w:num w:numId="3">
    <w:abstractNumId w:val="20"/>
  </w:num>
  <w:num w:numId="4">
    <w:abstractNumId w:val="19"/>
  </w:num>
  <w:num w:numId="5">
    <w:abstractNumId w:val="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6"/>
  </w:num>
  <w:num w:numId="9">
    <w:abstractNumId w:val="10"/>
  </w:num>
  <w:num w:numId="10">
    <w:abstractNumId w:val="15"/>
  </w:num>
  <w:num w:numId="11">
    <w:abstractNumId w:val="21"/>
  </w:num>
  <w:num w:numId="12">
    <w:abstractNumId w:val="4"/>
  </w:num>
  <w:num w:numId="13">
    <w:abstractNumId w:val="11"/>
  </w:num>
  <w:num w:numId="14">
    <w:abstractNumId w:val="2"/>
  </w:num>
  <w:num w:numId="15">
    <w:abstractNumId w:val="7"/>
  </w:num>
  <w:num w:numId="16">
    <w:abstractNumId w:val="13"/>
  </w:num>
  <w:num w:numId="17">
    <w:abstractNumId w:val="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2"/>
  </w:num>
  <w:num w:numId="22">
    <w:abstractNumId w:val="14"/>
  </w:num>
  <w:num w:numId="23">
    <w:abstractNumId w:val="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1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45"/>
    <w:rsid w:val="00000B53"/>
    <w:rsid w:val="000015EC"/>
    <w:rsid w:val="00003EE5"/>
    <w:rsid w:val="000042EF"/>
    <w:rsid w:val="00005520"/>
    <w:rsid w:val="00007E88"/>
    <w:rsid w:val="00007EE9"/>
    <w:rsid w:val="000100DC"/>
    <w:rsid w:val="00010E4F"/>
    <w:rsid w:val="00011070"/>
    <w:rsid w:val="0001223A"/>
    <w:rsid w:val="00017F89"/>
    <w:rsid w:val="0002087D"/>
    <w:rsid w:val="00021460"/>
    <w:rsid w:val="000246A0"/>
    <w:rsid w:val="00027159"/>
    <w:rsid w:val="00027D9E"/>
    <w:rsid w:val="00036EC0"/>
    <w:rsid w:val="00041315"/>
    <w:rsid w:val="00042AB1"/>
    <w:rsid w:val="00044850"/>
    <w:rsid w:val="00044D9B"/>
    <w:rsid w:val="00047235"/>
    <w:rsid w:val="00050958"/>
    <w:rsid w:val="00051931"/>
    <w:rsid w:val="00052F0E"/>
    <w:rsid w:val="000553DE"/>
    <w:rsid w:val="000562E9"/>
    <w:rsid w:val="00057320"/>
    <w:rsid w:val="00060F0F"/>
    <w:rsid w:val="00061408"/>
    <w:rsid w:val="00070C9B"/>
    <w:rsid w:val="00070D1D"/>
    <w:rsid w:val="0007327A"/>
    <w:rsid w:val="00075895"/>
    <w:rsid w:val="00075BFB"/>
    <w:rsid w:val="00076ECA"/>
    <w:rsid w:val="000840BE"/>
    <w:rsid w:val="0008520A"/>
    <w:rsid w:val="0008751C"/>
    <w:rsid w:val="00087CFE"/>
    <w:rsid w:val="00087DE1"/>
    <w:rsid w:val="000906B6"/>
    <w:rsid w:val="0009668B"/>
    <w:rsid w:val="00097C5E"/>
    <w:rsid w:val="00097D6C"/>
    <w:rsid w:val="000A0750"/>
    <w:rsid w:val="000A2BBB"/>
    <w:rsid w:val="000A3850"/>
    <w:rsid w:val="000A48B6"/>
    <w:rsid w:val="000A54A7"/>
    <w:rsid w:val="000A5D36"/>
    <w:rsid w:val="000B23CE"/>
    <w:rsid w:val="000B2A4A"/>
    <w:rsid w:val="000B4977"/>
    <w:rsid w:val="000B4C3C"/>
    <w:rsid w:val="000B5631"/>
    <w:rsid w:val="000B5732"/>
    <w:rsid w:val="000C017A"/>
    <w:rsid w:val="000C1F49"/>
    <w:rsid w:val="000C517C"/>
    <w:rsid w:val="000C77B3"/>
    <w:rsid w:val="000C7D19"/>
    <w:rsid w:val="000D06E9"/>
    <w:rsid w:val="000D085C"/>
    <w:rsid w:val="000D0B19"/>
    <w:rsid w:val="000D0B87"/>
    <w:rsid w:val="000D10CB"/>
    <w:rsid w:val="000D257D"/>
    <w:rsid w:val="000D2D72"/>
    <w:rsid w:val="000D5433"/>
    <w:rsid w:val="000D687B"/>
    <w:rsid w:val="000D7DA8"/>
    <w:rsid w:val="000E34D4"/>
    <w:rsid w:val="000E666B"/>
    <w:rsid w:val="000E6ACA"/>
    <w:rsid w:val="000E74A7"/>
    <w:rsid w:val="000E7FF7"/>
    <w:rsid w:val="000F0244"/>
    <w:rsid w:val="000F1CA6"/>
    <w:rsid w:val="000F1E0C"/>
    <w:rsid w:val="000F3C8B"/>
    <w:rsid w:val="000F49CC"/>
    <w:rsid w:val="000F4F90"/>
    <w:rsid w:val="000F6C93"/>
    <w:rsid w:val="000F7D4A"/>
    <w:rsid w:val="001003CF"/>
    <w:rsid w:val="00100AAF"/>
    <w:rsid w:val="00106B4F"/>
    <w:rsid w:val="001078AF"/>
    <w:rsid w:val="00111D1F"/>
    <w:rsid w:val="00112C47"/>
    <w:rsid w:val="00113177"/>
    <w:rsid w:val="001138AE"/>
    <w:rsid w:val="001209C8"/>
    <w:rsid w:val="0012122D"/>
    <w:rsid w:val="00121623"/>
    <w:rsid w:val="001217D0"/>
    <w:rsid w:val="0012361E"/>
    <w:rsid w:val="00125C6A"/>
    <w:rsid w:val="0014019B"/>
    <w:rsid w:val="00143738"/>
    <w:rsid w:val="00146BDC"/>
    <w:rsid w:val="0015110E"/>
    <w:rsid w:val="0015303D"/>
    <w:rsid w:val="00157917"/>
    <w:rsid w:val="00160A8D"/>
    <w:rsid w:val="00163330"/>
    <w:rsid w:val="001723F9"/>
    <w:rsid w:val="00174CB7"/>
    <w:rsid w:val="00181377"/>
    <w:rsid w:val="00182AFD"/>
    <w:rsid w:val="00184C2E"/>
    <w:rsid w:val="00184CBD"/>
    <w:rsid w:val="00185564"/>
    <w:rsid w:val="001866A3"/>
    <w:rsid w:val="001878BD"/>
    <w:rsid w:val="00191696"/>
    <w:rsid w:val="001933A8"/>
    <w:rsid w:val="00196185"/>
    <w:rsid w:val="0019684A"/>
    <w:rsid w:val="001977BD"/>
    <w:rsid w:val="00197AC5"/>
    <w:rsid w:val="001A0218"/>
    <w:rsid w:val="001A172C"/>
    <w:rsid w:val="001A1817"/>
    <w:rsid w:val="001A58A3"/>
    <w:rsid w:val="001A5F3E"/>
    <w:rsid w:val="001A6544"/>
    <w:rsid w:val="001B0B7C"/>
    <w:rsid w:val="001B0F3E"/>
    <w:rsid w:val="001B1E10"/>
    <w:rsid w:val="001B3565"/>
    <w:rsid w:val="001B431D"/>
    <w:rsid w:val="001B4DC8"/>
    <w:rsid w:val="001C095C"/>
    <w:rsid w:val="001C0984"/>
    <w:rsid w:val="001C1F4B"/>
    <w:rsid w:val="001C41CA"/>
    <w:rsid w:val="001C5AC0"/>
    <w:rsid w:val="001D026D"/>
    <w:rsid w:val="001D4C9F"/>
    <w:rsid w:val="001D582D"/>
    <w:rsid w:val="001E0628"/>
    <w:rsid w:val="001E157D"/>
    <w:rsid w:val="001E24AE"/>
    <w:rsid w:val="001E3A86"/>
    <w:rsid w:val="001E4802"/>
    <w:rsid w:val="001F0579"/>
    <w:rsid w:val="001F57EB"/>
    <w:rsid w:val="001F67B2"/>
    <w:rsid w:val="00205B2E"/>
    <w:rsid w:val="0021243F"/>
    <w:rsid w:val="002164DF"/>
    <w:rsid w:val="00216B53"/>
    <w:rsid w:val="00217097"/>
    <w:rsid w:val="00220688"/>
    <w:rsid w:val="002234C8"/>
    <w:rsid w:val="00224D7D"/>
    <w:rsid w:val="00225C21"/>
    <w:rsid w:val="00226751"/>
    <w:rsid w:val="00227296"/>
    <w:rsid w:val="002321CC"/>
    <w:rsid w:val="00232228"/>
    <w:rsid w:val="00232369"/>
    <w:rsid w:val="0023434D"/>
    <w:rsid w:val="00243554"/>
    <w:rsid w:val="00244D6F"/>
    <w:rsid w:val="002455B7"/>
    <w:rsid w:val="002460BE"/>
    <w:rsid w:val="00247A9D"/>
    <w:rsid w:val="002508B3"/>
    <w:rsid w:val="0025415E"/>
    <w:rsid w:val="002543A7"/>
    <w:rsid w:val="0025721C"/>
    <w:rsid w:val="00257825"/>
    <w:rsid w:val="00257FC1"/>
    <w:rsid w:val="00260888"/>
    <w:rsid w:val="00262454"/>
    <w:rsid w:val="0026623A"/>
    <w:rsid w:val="00267585"/>
    <w:rsid w:val="002702EF"/>
    <w:rsid w:val="0027143F"/>
    <w:rsid w:val="0027157E"/>
    <w:rsid w:val="00271D6A"/>
    <w:rsid w:val="00272EDD"/>
    <w:rsid w:val="00273B6A"/>
    <w:rsid w:val="00275D2A"/>
    <w:rsid w:val="002768DB"/>
    <w:rsid w:val="00287CC9"/>
    <w:rsid w:val="0029208C"/>
    <w:rsid w:val="00294575"/>
    <w:rsid w:val="00295A66"/>
    <w:rsid w:val="00295C43"/>
    <w:rsid w:val="002A035F"/>
    <w:rsid w:val="002A2C2E"/>
    <w:rsid w:val="002A4245"/>
    <w:rsid w:val="002A4725"/>
    <w:rsid w:val="002A4835"/>
    <w:rsid w:val="002A7312"/>
    <w:rsid w:val="002A79EA"/>
    <w:rsid w:val="002B3415"/>
    <w:rsid w:val="002B4B76"/>
    <w:rsid w:val="002B53DA"/>
    <w:rsid w:val="002B7543"/>
    <w:rsid w:val="002C1AD4"/>
    <w:rsid w:val="002C34FF"/>
    <w:rsid w:val="002C516B"/>
    <w:rsid w:val="002D1733"/>
    <w:rsid w:val="002D272F"/>
    <w:rsid w:val="002D504F"/>
    <w:rsid w:val="002D75E7"/>
    <w:rsid w:val="002E2809"/>
    <w:rsid w:val="002E2FC4"/>
    <w:rsid w:val="002E3483"/>
    <w:rsid w:val="002E40EA"/>
    <w:rsid w:val="002E482A"/>
    <w:rsid w:val="002E515E"/>
    <w:rsid w:val="002E5B40"/>
    <w:rsid w:val="002E601E"/>
    <w:rsid w:val="002E7775"/>
    <w:rsid w:val="002F32E6"/>
    <w:rsid w:val="002F3D0B"/>
    <w:rsid w:val="002F4ED5"/>
    <w:rsid w:val="002F5485"/>
    <w:rsid w:val="002F5C85"/>
    <w:rsid w:val="002F63B8"/>
    <w:rsid w:val="003018C8"/>
    <w:rsid w:val="00301C5A"/>
    <w:rsid w:val="00301FEA"/>
    <w:rsid w:val="00304034"/>
    <w:rsid w:val="00304267"/>
    <w:rsid w:val="00313674"/>
    <w:rsid w:val="00315F5A"/>
    <w:rsid w:val="00317E5C"/>
    <w:rsid w:val="00321C8A"/>
    <w:rsid w:val="00322627"/>
    <w:rsid w:val="003234D4"/>
    <w:rsid w:val="00323F5E"/>
    <w:rsid w:val="003257E9"/>
    <w:rsid w:val="003273FB"/>
    <w:rsid w:val="003279D1"/>
    <w:rsid w:val="00330F6D"/>
    <w:rsid w:val="00332AC9"/>
    <w:rsid w:val="003363B5"/>
    <w:rsid w:val="00340664"/>
    <w:rsid w:val="00341A4A"/>
    <w:rsid w:val="003425DF"/>
    <w:rsid w:val="0034263E"/>
    <w:rsid w:val="00342B03"/>
    <w:rsid w:val="00346F9E"/>
    <w:rsid w:val="00347F18"/>
    <w:rsid w:val="0035570B"/>
    <w:rsid w:val="0035638E"/>
    <w:rsid w:val="003604F7"/>
    <w:rsid w:val="00360C86"/>
    <w:rsid w:val="00362154"/>
    <w:rsid w:val="003622C8"/>
    <w:rsid w:val="003642EB"/>
    <w:rsid w:val="00371D82"/>
    <w:rsid w:val="0037360F"/>
    <w:rsid w:val="0037405D"/>
    <w:rsid w:val="00375DB6"/>
    <w:rsid w:val="003761B6"/>
    <w:rsid w:val="003767BF"/>
    <w:rsid w:val="00376FE9"/>
    <w:rsid w:val="00377DD6"/>
    <w:rsid w:val="00382CBC"/>
    <w:rsid w:val="00383AC7"/>
    <w:rsid w:val="003843C6"/>
    <w:rsid w:val="00385D13"/>
    <w:rsid w:val="003863E7"/>
    <w:rsid w:val="00392829"/>
    <w:rsid w:val="00392F53"/>
    <w:rsid w:val="003941C8"/>
    <w:rsid w:val="00394AE9"/>
    <w:rsid w:val="00394DCF"/>
    <w:rsid w:val="003A0F5D"/>
    <w:rsid w:val="003A312E"/>
    <w:rsid w:val="003A3C3F"/>
    <w:rsid w:val="003B2B45"/>
    <w:rsid w:val="003B39DD"/>
    <w:rsid w:val="003B474A"/>
    <w:rsid w:val="003B58D1"/>
    <w:rsid w:val="003B5AC5"/>
    <w:rsid w:val="003C2448"/>
    <w:rsid w:val="003C6868"/>
    <w:rsid w:val="003C69EE"/>
    <w:rsid w:val="003C77D1"/>
    <w:rsid w:val="003D076C"/>
    <w:rsid w:val="003D2CD3"/>
    <w:rsid w:val="003D6E92"/>
    <w:rsid w:val="003E1B44"/>
    <w:rsid w:val="003E1F29"/>
    <w:rsid w:val="003E3320"/>
    <w:rsid w:val="003E35B1"/>
    <w:rsid w:val="003E42EB"/>
    <w:rsid w:val="003E49BE"/>
    <w:rsid w:val="003E5006"/>
    <w:rsid w:val="003F1679"/>
    <w:rsid w:val="003F6DD7"/>
    <w:rsid w:val="004001F6"/>
    <w:rsid w:val="00400709"/>
    <w:rsid w:val="00402307"/>
    <w:rsid w:val="0040298F"/>
    <w:rsid w:val="00404680"/>
    <w:rsid w:val="004145BD"/>
    <w:rsid w:val="004209B8"/>
    <w:rsid w:val="004215D2"/>
    <w:rsid w:val="00421FD8"/>
    <w:rsid w:val="004237CB"/>
    <w:rsid w:val="00423EC4"/>
    <w:rsid w:val="0042453E"/>
    <w:rsid w:val="00424624"/>
    <w:rsid w:val="0042649D"/>
    <w:rsid w:val="0042667E"/>
    <w:rsid w:val="00426844"/>
    <w:rsid w:val="004274D9"/>
    <w:rsid w:val="0043101B"/>
    <w:rsid w:val="004359A7"/>
    <w:rsid w:val="004373D0"/>
    <w:rsid w:val="00437A97"/>
    <w:rsid w:val="00444419"/>
    <w:rsid w:val="004445AC"/>
    <w:rsid w:val="00445D34"/>
    <w:rsid w:val="00446475"/>
    <w:rsid w:val="004511EA"/>
    <w:rsid w:val="0045293F"/>
    <w:rsid w:val="00452D08"/>
    <w:rsid w:val="00453078"/>
    <w:rsid w:val="00453D41"/>
    <w:rsid w:val="0045440F"/>
    <w:rsid w:val="0045490B"/>
    <w:rsid w:val="00455C98"/>
    <w:rsid w:val="00456B21"/>
    <w:rsid w:val="00457EDB"/>
    <w:rsid w:val="00461C80"/>
    <w:rsid w:val="0046373B"/>
    <w:rsid w:val="004643AE"/>
    <w:rsid w:val="0046504A"/>
    <w:rsid w:val="00467661"/>
    <w:rsid w:val="00474697"/>
    <w:rsid w:val="004753A5"/>
    <w:rsid w:val="00475F4F"/>
    <w:rsid w:val="00477427"/>
    <w:rsid w:val="0048037E"/>
    <w:rsid w:val="00481FAF"/>
    <w:rsid w:val="00484B8D"/>
    <w:rsid w:val="00484D03"/>
    <w:rsid w:val="00490D1D"/>
    <w:rsid w:val="004A3CFF"/>
    <w:rsid w:val="004A44EB"/>
    <w:rsid w:val="004A49FB"/>
    <w:rsid w:val="004A4A7E"/>
    <w:rsid w:val="004A4E60"/>
    <w:rsid w:val="004A5565"/>
    <w:rsid w:val="004A6DE7"/>
    <w:rsid w:val="004A7210"/>
    <w:rsid w:val="004B301D"/>
    <w:rsid w:val="004B3ABA"/>
    <w:rsid w:val="004B3DA2"/>
    <w:rsid w:val="004B4C20"/>
    <w:rsid w:val="004B6390"/>
    <w:rsid w:val="004C046B"/>
    <w:rsid w:val="004C0D4C"/>
    <w:rsid w:val="004C3C6C"/>
    <w:rsid w:val="004C438C"/>
    <w:rsid w:val="004C4A92"/>
    <w:rsid w:val="004C7265"/>
    <w:rsid w:val="004D294C"/>
    <w:rsid w:val="004D3D61"/>
    <w:rsid w:val="004D749B"/>
    <w:rsid w:val="004D7D2E"/>
    <w:rsid w:val="004D7F33"/>
    <w:rsid w:val="004E03E2"/>
    <w:rsid w:val="004E055E"/>
    <w:rsid w:val="004E1405"/>
    <w:rsid w:val="004E4765"/>
    <w:rsid w:val="004E60F3"/>
    <w:rsid w:val="004E7849"/>
    <w:rsid w:val="004F36E4"/>
    <w:rsid w:val="004F44DD"/>
    <w:rsid w:val="004F7A66"/>
    <w:rsid w:val="00500E8A"/>
    <w:rsid w:val="00501A3C"/>
    <w:rsid w:val="005034E6"/>
    <w:rsid w:val="00503CBE"/>
    <w:rsid w:val="00512951"/>
    <w:rsid w:val="005129E7"/>
    <w:rsid w:val="0051360E"/>
    <w:rsid w:val="0051538B"/>
    <w:rsid w:val="005156F2"/>
    <w:rsid w:val="00515F0D"/>
    <w:rsid w:val="00524756"/>
    <w:rsid w:val="00524A7D"/>
    <w:rsid w:val="0052562A"/>
    <w:rsid w:val="0053530F"/>
    <w:rsid w:val="00540D00"/>
    <w:rsid w:val="005421C2"/>
    <w:rsid w:val="00543204"/>
    <w:rsid w:val="00545AEB"/>
    <w:rsid w:val="00545AF4"/>
    <w:rsid w:val="00546AA0"/>
    <w:rsid w:val="00547E86"/>
    <w:rsid w:val="005510F8"/>
    <w:rsid w:val="005602B5"/>
    <w:rsid w:val="005620B8"/>
    <w:rsid w:val="0056502F"/>
    <w:rsid w:val="00566ADC"/>
    <w:rsid w:val="00567545"/>
    <w:rsid w:val="00570A00"/>
    <w:rsid w:val="00571989"/>
    <w:rsid w:val="005727CA"/>
    <w:rsid w:val="00575EFF"/>
    <w:rsid w:val="00581256"/>
    <w:rsid w:val="005835D7"/>
    <w:rsid w:val="00586A53"/>
    <w:rsid w:val="005876F1"/>
    <w:rsid w:val="00587EA2"/>
    <w:rsid w:val="00591CEF"/>
    <w:rsid w:val="00592AF0"/>
    <w:rsid w:val="00593DB2"/>
    <w:rsid w:val="005974FF"/>
    <w:rsid w:val="005A0B34"/>
    <w:rsid w:val="005A282A"/>
    <w:rsid w:val="005A326E"/>
    <w:rsid w:val="005A3608"/>
    <w:rsid w:val="005A3E78"/>
    <w:rsid w:val="005A793F"/>
    <w:rsid w:val="005B24FA"/>
    <w:rsid w:val="005B54E7"/>
    <w:rsid w:val="005B55DE"/>
    <w:rsid w:val="005C0D8D"/>
    <w:rsid w:val="005C43B1"/>
    <w:rsid w:val="005C5613"/>
    <w:rsid w:val="005C60D5"/>
    <w:rsid w:val="005C63BF"/>
    <w:rsid w:val="005D255B"/>
    <w:rsid w:val="005D34FF"/>
    <w:rsid w:val="005D718E"/>
    <w:rsid w:val="005E4259"/>
    <w:rsid w:val="005F2E8D"/>
    <w:rsid w:val="005F4C53"/>
    <w:rsid w:val="005F63C2"/>
    <w:rsid w:val="005F6557"/>
    <w:rsid w:val="005F7A24"/>
    <w:rsid w:val="005F7DE2"/>
    <w:rsid w:val="00600182"/>
    <w:rsid w:val="00601204"/>
    <w:rsid w:val="006016C5"/>
    <w:rsid w:val="00606D5B"/>
    <w:rsid w:val="0060783C"/>
    <w:rsid w:val="006107D5"/>
    <w:rsid w:val="00611191"/>
    <w:rsid w:val="006118E7"/>
    <w:rsid w:val="0061338C"/>
    <w:rsid w:val="00613C1C"/>
    <w:rsid w:val="00614DF1"/>
    <w:rsid w:val="00614F4D"/>
    <w:rsid w:val="00615782"/>
    <w:rsid w:val="0061616F"/>
    <w:rsid w:val="006205AB"/>
    <w:rsid w:val="00620B41"/>
    <w:rsid w:val="00620C55"/>
    <w:rsid w:val="00622418"/>
    <w:rsid w:val="00624D27"/>
    <w:rsid w:val="0062626D"/>
    <w:rsid w:val="00626405"/>
    <w:rsid w:val="006276C1"/>
    <w:rsid w:val="006307D2"/>
    <w:rsid w:val="00630F40"/>
    <w:rsid w:val="006326D6"/>
    <w:rsid w:val="00633204"/>
    <w:rsid w:val="00633241"/>
    <w:rsid w:val="006332F7"/>
    <w:rsid w:val="00633984"/>
    <w:rsid w:val="00633987"/>
    <w:rsid w:val="00634DC5"/>
    <w:rsid w:val="00635AAD"/>
    <w:rsid w:val="006361E0"/>
    <w:rsid w:val="00644764"/>
    <w:rsid w:val="0064634D"/>
    <w:rsid w:val="006500D7"/>
    <w:rsid w:val="006519B9"/>
    <w:rsid w:val="00652AA9"/>
    <w:rsid w:val="006530C3"/>
    <w:rsid w:val="00655DAB"/>
    <w:rsid w:val="00656B86"/>
    <w:rsid w:val="0066182E"/>
    <w:rsid w:val="00661B6A"/>
    <w:rsid w:val="00662D93"/>
    <w:rsid w:val="006656B4"/>
    <w:rsid w:val="00667A15"/>
    <w:rsid w:val="006727D2"/>
    <w:rsid w:val="00673976"/>
    <w:rsid w:val="00674854"/>
    <w:rsid w:val="00674C79"/>
    <w:rsid w:val="00675766"/>
    <w:rsid w:val="00676057"/>
    <w:rsid w:val="00676EE0"/>
    <w:rsid w:val="00677BFE"/>
    <w:rsid w:val="00680444"/>
    <w:rsid w:val="00681C7A"/>
    <w:rsid w:val="0068289D"/>
    <w:rsid w:val="00683B5D"/>
    <w:rsid w:val="0068508A"/>
    <w:rsid w:val="006854A0"/>
    <w:rsid w:val="00685A82"/>
    <w:rsid w:val="00691AAB"/>
    <w:rsid w:val="00692022"/>
    <w:rsid w:val="00693015"/>
    <w:rsid w:val="00693730"/>
    <w:rsid w:val="006946E6"/>
    <w:rsid w:val="006965D8"/>
    <w:rsid w:val="006A79E4"/>
    <w:rsid w:val="006B07F6"/>
    <w:rsid w:val="006B284E"/>
    <w:rsid w:val="006B4DD9"/>
    <w:rsid w:val="006C1C22"/>
    <w:rsid w:val="006C2719"/>
    <w:rsid w:val="006C2F12"/>
    <w:rsid w:val="006C5958"/>
    <w:rsid w:val="006C62CA"/>
    <w:rsid w:val="006D17DD"/>
    <w:rsid w:val="006D1938"/>
    <w:rsid w:val="006D226B"/>
    <w:rsid w:val="006D2916"/>
    <w:rsid w:val="006D6EF2"/>
    <w:rsid w:val="006D703C"/>
    <w:rsid w:val="006D7EF8"/>
    <w:rsid w:val="006E2A69"/>
    <w:rsid w:val="006E332C"/>
    <w:rsid w:val="006E7C9C"/>
    <w:rsid w:val="006E7EE7"/>
    <w:rsid w:val="006F0CD8"/>
    <w:rsid w:val="006F1EE7"/>
    <w:rsid w:val="006F4313"/>
    <w:rsid w:val="006F5885"/>
    <w:rsid w:val="006F5DB7"/>
    <w:rsid w:val="006F7A5A"/>
    <w:rsid w:val="0070099F"/>
    <w:rsid w:val="007017F1"/>
    <w:rsid w:val="0070435E"/>
    <w:rsid w:val="007068B1"/>
    <w:rsid w:val="0071049F"/>
    <w:rsid w:val="00710D38"/>
    <w:rsid w:val="00711E7A"/>
    <w:rsid w:val="00712986"/>
    <w:rsid w:val="007145BD"/>
    <w:rsid w:val="0071746C"/>
    <w:rsid w:val="00720DBA"/>
    <w:rsid w:val="00721859"/>
    <w:rsid w:val="007233EA"/>
    <w:rsid w:val="00723D89"/>
    <w:rsid w:val="00723E80"/>
    <w:rsid w:val="007247C2"/>
    <w:rsid w:val="00726096"/>
    <w:rsid w:val="00732263"/>
    <w:rsid w:val="00735C6F"/>
    <w:rsid w:val="00735E31"/>
    <w:rsid w:val="0074070D"/>
    <w:rsid w:val="00750249"/>
    <w:rsid w:val="00754202"/>
    <w:rsid w:val="00754A85"/>
    <w:rsid w:val="00762D95"/>
    <w:rsid w:val="0076328B"/>
    <w:rsid w:val="00764CF1"/>
    <w:rsid w:val="00764D4E"/>
    <w:rsid w:val="007651FC"/>
    <w:rsid w:val="007652E8"/>
    <w:rsid w:val="007755BC"/>
    <w:rsid w:val="00775D2A"/>
    <w:rsid w:val="007765F1"/>
    <w:rsid w:val="0077789E"/>
    <w:rsid w:val="007821C4"/>
    <w:rsid w:val="00786546"/>
    <w:rsid w:val="007A1513"/>
    <w:rsid w:val="007A3E82"/>
    <w:rsid w:val="007A5996"/>
    <w:rsid w:val="007A677E"/>
    <w:rsid w:val="007B0DDD"/>
    <w:rsid w:val="007B37DD"/>
    <w:rsid w:val="007B7317"/>
    <w:rsid w:val="007C51AB"/>
    <w:rsid w:val="007C5574"/>
    <w:rsid w:val="007C72FE"/>
    <w:rsid w:val="007D0673"/>
    <w:rsid w:val="007D0D9C"/>
    <w:rsid w:val="007D6CAC"/>
    <w:rsid w:val="007E300A"/>
    <w:rsid w:val="007E47CC"/>
    <w:rsid w:val="007E4B9B"/>
    <w:rsid w:val="007E4E78"/>
    <w:rsid w:val="007E7EAB"/>
    <w:rsid w:val="007F2B71"/>
    <w:rsid w:val="007F421A"/>
    <w:rsid w:val="007F4406"/>
    <w:rsid w:val="007F6BBA"/>
    <w:rsid w:val="00802885"/>
    <w:rsid w:val="00805826"/>
    <w:rsid w:val="00805899"/>
    <w:rsid w:val="008065E1"/>
    <w:rsid w:val="00807624"/>
    <w:rsid w:val="00811A52"/>
    <w:rsid w:val="00815544"/>
    <w:rsid w:val="00817CC5"/>
    <w:rsid w:val="00823CF0"/>
    <w:rsid w:val="0082567C"/>
    <w:rsid w:val="00825F11"/>
    <w:rsid w:val="008270C9"/>
    <w:rsid w:val="008309D7"/>
    <w:rsid w:val="0083173B"/>
    <w:rsid w:val="00834F3B"/>
    <w:rsid w:val="008355BB"/>
    <w:rsid w:val="00837984"/>
    <w:rsid w:val="0084122E"/>
    <w:rsid w:val="008460B4"/>
    <w:rsid w:val="00846C33"/>
    <w:rsid w:val="00846D0F"/>
    <w:rsid w:val="00847BA5"/>
    <w:rsid w:val="00847D2A"/>
    <w:rsid w:val="008512FD"/>
    <w:rsid w:val="0085179E"/>
    <w:rsid w:val="008541EB"/>
    <w:rsid w:val="00855E0C"/>
    <w:rsid w:val="00856145"/>
    <w:rsid w:val="00856621"/>
    <w:rsid w:val="00857F51"/>
    <w:rsid w:val="0086157A"/>
    <w:rsid w:val="00862D56"/>
    <w:rsid w:val="00863F0D"/>
    <w:rsid w:val="00864790"/>
    <w:rsid w:val="00864CEC"/>
    <w:rsid w:val="00866874"/>
    <w:rsid w:val="008676E0"/>
    <w:rsid w:val="00870F2E"/>
    <w:rsid w:val="00871C23"/>
    <w:rsid w:val="00872BD8"/>
    <w:rsid w:val="00873EE0"/>
    <w:rsid w:val="00875B7E"/>
    <w:rsid w:val="00881587"/>
    <w:rsid w:val="008828B2"/>
    <w:rsid w:val="00883763"/>
    <w:rsid w:val="0089218E"/>
    <w:rsid w:val="0089344B"/>
    <w:rsid w:val="00894146"/>
    <w:rsid w:val="008A009E"/>
    <w:rsid w:val="008A140D"/>
    <w:rsid w:val="008A1DE4"/>
    <w:rsid w:val="008A38D8"/>
    <w:rsid w:val="008A409A"/>
    <w:rsid w:val="008B07E4"/>
    <w:rsid w:val="008B16A5"/>
    <w:rsid w:val="008B3D32"/>
    <w:rsid w:val="008B61A5"/>
    <w:rsid w:val="008B7B15"/>
    <w:rsid w:val="008C156E"/>
    <w:rsid w:val="008C2810"/>
    <w:rsid w:val="008C29F2"/>
    <w:rsid w:val="008C3A2E"/>
    <w:rsid w:val="008C7DEF"/>
    <w:rsid w:val="008D035E"/>
    <w:rsid w:val="008D1478"/>
    <w:rsid w:val="008D227D"/>
    <w:rsid w:val="008D2C77"/>
    <w:rsid w:val="008D3704"/>
    <w:rsid w:val="008D3E7B"/>
    <w:rsid w:val="008D4339"/>
    <w:rsid w:val="008D753D"/>
    <w:rsid w:val="008E2706"/>
    <w:rsid w:val="008E4432"/>
    <w:rsid w:val="008E4EDF"/>
    <w:rsid w:val="008E5450"/>
    <w:rsid w:val="008E5695"/>
    <w:rsid w:val="008E75F4"/>
    <w:rsid w:val="008F1828"/>
    <w:rsid w:val="008F2695"/>
    <w:rsid w:val="008F66C2"/>
    <w:rsid w:val="009029E3"/>
    <w:rsid w:val="00905362"/>
    <w:rsid w:val="00910113"/>
    <w:rsid w:val="00910A18"/>
    <w:rsid w:val="009111B6"/>
    <w:rsid w:val="00915125"/>
    <w:rsid w:val="00922E8D"/>
    <w:rsid w:val="00924F8A"/>
    <w:rsid w:val="00925A6C"/>
    <w:rsid w:val="00926471"/>
    <w:rsid w:val="009328CA"/>
    <w:rsid w:val="009350CB"/>
    <w:rsid w:val="009366CF"/>
    <w:rsid w:val="009369EB"/>
    <w:rsid w:val="009377E3"/>
    <w:rsid w:val="00942796"/>
    <w:rsid w:val="009432D9"/>
    <w:rsid w:val="0095126C"/>
    <w:rsid w:val="009526C8"/>
    <w:rsid w:val="00957BC0"/>
    <w:rsid w:val="00957E32"/>
    <w:rsid w:val="00963C45"/>
    <w:rsid w:val="00963E32"/>
    <w:rsid w:val="00965D93"/>
    <w:rsid w:val="0097283D"/>
    <w:rsid w:val="0097352F"/>
    <w:rsid w:val="00975C51"/>
    <w:rsid w:val="00977D4E"/>
    <w:rsid w:val="00980647"/>
    <w:rsid w:val="00981D43"/>
    <w:rsid w:val="00981ED1"/>
    <w:rsid w:val="009821E4"/>
    <w:rsid w:val="00983062"/>
    <w:rsid w:val="009838D0"/>
    <w:rsid w:val="00986E8C"/>
    <w:rsid w:val="00990864"/>
    <w:rsid w:val="00991CED"/>
    <w:rsid w:val="0099784E"/>
    <w:rsid w:val="009A2994"/>
    <w:rsid w:val="009A2CE0"/>
    <w:rsid w:val="009A371E"/>
    <w:rsid w:val="009B2E5F"/>
    <w:rsid w:val="009B4D17"/>
    <w:rsid w:val="009B62E2"/>
    <w:rsid w:val="009C0BFC"/>
    <w:rsid w:val="009C3BA6"/>
    <w:rsid w:val="009C55B7"/>
    <w:rsid w:val="009D1163"/>
    <w:rsid w:val="009D2A15"/>
    <w:rsid w:val="009D2ECE"/>
    <w:rsid w:val="009D451D"/>
    <w:rsid w:val="009D596C"/>
    <w:rsid w:val="009E24CD"/>
    <w:rsid w:val="009E2F3B"/>
    <w:rsid w:val="009E3634"/>
    <w:rsid w:val="009E7C0D"/>
    <w:rsid w:val="009F23EF"/>
    <w:rsid w:val="009F329B"/>
    <w:rsid w:val="009F51ED"/>
    <w:rsid w:val="009F6102"/>
    <w:rsid w:val="009F7D0B"/>
    <w:rsid w:val="00A02619"/>
    <w:rsid w:val="00A026A9"/>
    <w:rsid w:val="00A04BB0"/>
    <w:rsid w:val="00A111EE"/>
    <w:rsid w:val="00A141F3"/>
    <w:rsid w:val="00A1622A"/>
    <w:rsid w:val="00A20D34"/>
    <w:rsid w:val="00A21198"/>
    <w:rsid w:val="00A215F5"/>
    <w:rsid w:val="00A228CE"/>
    <w:rsid w:val="00A22ACF"/>
    <w:rsid w:val="00A23BC4"/>
    <w:rsid w:val="00A2664F"/>
    <w:rsid w:val="00A26902"/>
    <w:rsid w:val="00A26DAF"/>
    <w:rsid w:val="00A30710"/>
    <w:rsid w:val="00A31B6E"/>
    <w:rsid w:val="00A31FD9"/>
    <w:rsid w:val="00A35567"/>
    <w:rsid w:val="00A358DA"/>
    <w:rsid w:val="00A36A78"/>
    <w:rsid w:val="00A37CF3"/>
    <w:rsid w:val="00A37E22"/>
    <w:rsid w:val="00A41AEF"/>
    <w:rsid w:val="00A427B5"/>
    <w:rsid w:val="00A42E61"/>
    <w:rsid w:val="00A434A6"/>
    <w:rsid w:val="00A448CB"/>
    <w:rsid w:val="00A461B4"/>
    <w:rsid w:val="00A4769A"/>
    <w:rsid w:val="00A502FE"/>
    <w:rsid w:val="00A52423"/>
    <w:rsid w:val="00A55823"/>
    <w:rsid w:val="00A636DC"/>
    <w:rsid w:val="00A638DD"/>
    <w:rsid w:val="00A64CE3"/>
    <w:rsid w:val="00A64E47"/>
    <w:rsid w:val="00A70161"/>
    <w:rsid w:val="00A73B3C"/>
    <w:rsid w:val="00A769D4"/>
    <w:rsid w:val="00A772CC"/>
    <w:rsid w:val="00A8409F"/>
    <w:rsid w:val="00A84C76"/>
    <w:rsid w:val="00A91F12"/>
    <w:rsid w:val="00A9239D"/>
    <w:rsid w:val="00A936C9"/>
    <w:rsid w:val="00A938A0"/>
    <w:rsid w:val="00A95229"/>
    <w:rsid w:val="00A96EBC"/>
    <w:rsid w:val="00A97087"/>
    <w:rsid w:val="00A97656"/>
    <w:rsid w:val="00AA26C6"/>
    <w:rsid w:val="00AA2919"/>
    <w:rsid w:val="00AA3138"/>
    <w:rsid w:val="00AA6E15"/>
    <w:rsid w:val="00AA7267"/>
    <w:rsid w:val="00AA7C48"/>
    <w:rsid w:val="00AB15B4"/>
    <w:rsid w:val="00AB1898"/>
    <w:rsid w:val="00AB434F"/>
    <w:rsid w:val="00AC18C0"/>
    <w:rsid w:val="00AC1E68"/>
    <w:rsid w:val="00AC329F"/>
    <w:rsid w:val="00AC4DCF"/>
    <w:rsid w:val="00AC5D09"/>
    <w:rsid w:val="00AD0528"/>
    <w:rsid w:val="00AD4584"/>
    <w:rsid w:val="00AD498F"/>
    <w:rsid w:val="00AD5D14"/>
    <w:rsid w:val="00AD6841"/>
    <w:rsid w:val="00AE0470"/>
    <w:rsid w:val="00AE0C0E"/>
    <w:rsid w:val="00AE0C74"/>
    <w:rsid w:val="00AE104A"/>
    <w:rsid w:val="00AE3B0A"/>
    <w:rsid w:val="00AE78D7"/>
    <w:rsid w:val="00AF3647"/>
    <w:rsid w:val="00AF5452"/>
    <w:rsid w:val="00AF66BD"/>
    <w:rsid w:val="00AF711C"/>
    <w:rsid w:val="00B046D4"/>
    <w:rsid w:val="00B04ABE"/>
    <w:rsid w:val="00B06ABE"/>
    <w:rsid w:val="00B108D4"/>
    <w:rsid w:val="00B11438"/>
    <w:rsid w:val="00B1158B"/>
    <w:rsid w:val="00B11C00"/>
    <w:rsid w:val="00B13E5F"/>
    <w:rsid w:val="00B16A6A"/>
    <w:rsid w:val="00B20D17"/>
    <w:rsid w:val="00B22FBC"/>
    <w:rsid w:val="00B34752"/>
    <w:rsid w:val="00B351CB"/>
    <w:rsid w:val="00B41200"/>
    <w:rsid w:val="00B42032"/>
    <w:rsid w:val="00B45E32"/>
    <w:rsid w:val="00B4609B"/>
    <w:rsid w:val="00B4634D"/>
    <w:rsid w:val="00B469E4"/>
    <w:rsid w:val="00B47398"/>
    <w:rsid w:val="00B54297"/>
    <w:rsid w:val="00B5680D"/>
    <w:rsid w:val="00B63325"/>
    <w:rsid w:val="00B70243"/>
    <w:rsid w:val="00B702C7"/>
    <w:rsid w:val="00B7096F"/>
    <w:rsid w:val="00B715D6"/>
    <w:rsid w:val="00B716DF"/>
    <w:rsid w:val="00B74A73"/>
    <w:rsid w:val="00B7768C"/>
    <w:rsid w:val="00B834C3"/>
    <w:rsid w:val="00B8409C"/>
    <w:rsid w:val="00B86E32"/>
    <w:rsid w:val="00B873BF"/>
    <w:rsid w:val="00B87FF3"/>
    <w:rsid w:val="00B90493"/>
    <w:rsid w:val="00B908E5"/>
    <w:rsid w:val="00B913FE"/>
    <w:rsid w:val="00B91D4F"/>
    <w:rsid w:val="00B927A8"/>
    <w:rsid w:val="00B937A1"/>
    <w:rsid w:val="00B947EC"/>
    <w:rsid w:val="00B9534E"/>
    <w:rsid w:val="00B953CB"/>
    <w:rsid w:val="00B95C73"/>
    <w:rsid w:val="00B9674A"/>
    <w:rsid w:val="00BA421C"/>
    <w:rsid w:val="00BA6D1B"/>
    <w:rsid w:val="00BA74F2"/>
    <w:rsid w:val="00BB00ED"/>
    <w:rsid w:val="00BB23E2"/>
    <w:rsid w:val="00BB2C85"/>
    <w:rsid w:val="00BB3323"/>
    <w:rsid w:val="00BB39ED"/>
    <w:rsid w:val="00BB5492"/>
    <w:rsid w:val="00BC28A9"/>
    <w:rsid w:val="00BC416A"/>
    <w:rsid w:val="00BC58C0"/>
    <w:rsid w:val="00BC5E12"/>
    <w:rsid w:val="00BC62B2"/>
    <w:rsid w:val="00BD160D"/>
    <w:rsid w:val="00BD2760"/>
    <w:rsid w:val="00BD4948"/>
    <w:rsid w:val="00BD6BFA"/>
    <w:rsid w:val="00BD6CE0"/>
    <w:rsid w:val="00BD780B"/>
    <w:rsid w:val="00BE4BC1"/>
    <w:rsid w:val="00BE52EE"/>
    <w:rsid w:val="00BE7235"/>
    <w:rsid w:val="00BF1A93"/>
    <w:rsid w:val="00BF30E2"/>
    <w:rsid w:val="00BF4EE8"/>
    <w:rsid w:val="00BF585E"/>
    <w:rsid w:val="00C02C48"/>
    <w:rsid w:val="00C07DE1"/>
    <w:rsid w:val="00C144D2"/>
    <w:rsid w:val="00C14783"/>
    <w:rsid w:val="00C15527"/>
    <w:rsid w:val="00C15681"/>
    <w:rsid w:val="00C15CB2"/>
    <w:rsid w:val="00C17942"/>
    <w:rsid w:val="00C17BE7"/>
    <w:rsid w:val="00C2038A"/>
    <w:rsid w:val="00C227B0"/>
    <w:rsid w:val="00C257A8"/>
    <w:rsid w:val="00C26800"/>
    <w:rsid w:val="00C31D30"/>
    <w:rsid w:val="00C332C3"/>
    <w:rsid w:val="00C349ED"/>
    <w:rsid w:val="00C4171F"/>
    <w:rsid w:val="00C462BA"/>
    <w:rsid w:val="00C46E61"/>
    <w:rsid w:val="00C46F0E"/>
    <w:rsid w:val="00C5075F"/>
    <w:rsid w:val="00C5167C"/>
    <w:rsid w:val="00C52028"/>
    <w:rsid w:val="00C54E6A"/>
    <w:rsid w:val="00C570FA"/>
    <w:rsid w:val="00C61D91"/>
    <w:rsid w:val="00C62EDD"/>
    <w:rsid w:val="00C635C8"/>
    <w:rsid w:val="00C6380A"/>
    <w:rsid w:val="00C67F0D"/>
    <w:rsid w:val="00C70A7D"/>
    <w:rsid w:val="00C70AB0"/>
    <w:rsid w:val="00C73DF2"/>
    <w:rsid w:val="00C82FAE"/>
    <w:rsid w:val="00C83E2C"/>
    <w:rsid w:val="00C868F1"/>
    <w:rsid w:val="00C870A0"/>
    <w:rsid w:val="00C90447"/>
    <w:rsid w:val="00C95056"/>
    <w:rsid w:val="00C96084"/>
    <w:rsid w:val="00C96BA0"/>
    <w:rsid w:val="00C96DB5"/>
    <w:rsid w:val="00CA03AC"/>
    <w:rsid w:val="00CA0A2B"/>
    <w:rsid w:val="00CA147A"/>
    <w:rsid w:val="00CA255C"/>
    <w:rsid w:val="00CA3DF0"/>
    <w:rsid w:val="00CA4E45"/>
    <w:rsid w:val="00CA5B7F"/>
    <w:rsid w:val="00CA606F"/>
    <w:rsid w:val="00CA7175"/>
    <w:rsid w:val="00CA7F46"/>
    <w:rsid w:val="00CB1EE0"/>
    <w:rsid w:val="00CB22AB"/>
    <w:rsid w:val="00CB283D"/>
    <w:rsid w:val="00CB28B2"/>
    <w:rsid w:val="00CB2972"/>
    <w:rsid w:val="00CB3082"/>
    <w:rsid w:val="00CB3663"/>
    <w:rsid w:val="00CB5EC0"/>
    <w:rsid w:val="00CB6081"/>
    <w:rsid w:val="00CB73A1"/>
    <w:rsid w:val="00CC669F"/>
    <w:rsid w:val="00CC69E2"/>
    <w:rsid w:val="00CD1323"/>
    <w:rsid w:val="00CD173A"/>
    <w:rsid w:val="00CD1944"/>
    <w:rsid w:val="00CD3B3D"/>
    <w:rsid w:val="00CD430B"/>
    <w:rsid w:val="00CD4693"/>
    <w:rsid w:val="00CD5170"/>
    <w:rsid w:val="00CD5B83"/>
    <w:rsid w:val="00CD5E07"/>
    <w:rsid w:val="00CE1594"/>
    <w:rsid w:val="00CE267F"/>
    <w:rsid w:val="00CE38CC"/>
    <w:rsid w:val="00CE463E"/>
    <w:rsid w:val="00CE6299"/>
    <w:rsid w:val="00CE72BE"/>
    <w:rsid w:val="00CE76C3"/>
    <w:rsid w:val="00CF41B3"/>
    <w:rsid w:val="00CF7745"/>
    <w:rsid w:val="00D00082"/>
    <w:rsid w:val="00D036B9"/>
    <w:rsid w:val="00D03911"/>
    <w:rsid w:val="00D03EA2"/>
    <w:rsid w:val="00D06525"/>
    <w:rsid w:val="00D06B4B"/>
    <w:rsid w:val="00D12318"/>
    <w:rsid w:val="00D12F34"/>
    <w:rsid w:val="00D15B84"/>
    <w:rsid w:val="00D17D75"/>
    <w:rsid w:val="00D200FA"/>
    <w:rsid w:val="00D21284"/>
    <w:rsid w:val="00D242D4"/>
    <w:rsid w:val="00D276AC"/>
    <w:rsid w:val="00D27739"/>
    <w:rsid w:val="00D31A33"/>
    <w:rsid w:val="00D31CFC"/>
    <w:rsid w:val="00D36E16"/>
    <w:rsid w:val="00D37044"/>
    <w:rsid w:val="00D37234"/>
    <w:rsid w:val="00D41F45"/>
    <w:rsid w:val="00D44A06"/>
    <w:rsid w:val="00D4790B"/>
    <w:rsid w:val="00D518BE"/>
    <w:rsid w:val="00D53985"/>
    <w:rsid w:val="00D53E91"/>
    <w:rsid w:val="00D54D2A"/>
    <w:rsid w:val="00D55206"/>
    <w:rsid w:val="00D60582"/>
    <w:rsid w:val="00D606B8"/>
    <w:rsid w:val="00D612E5"/>
    <w:rsid w:val="00D62E6B"/>
    <w:rsid w:val="00D649D2"/>
    <w:rsid w:val="00D6620B"/>
    <w:rsid w:val="00D67229"/>
    <w:rsid w:val="00D711A4"/>
    <w:rsid w:val="00D7565B"/>
    <w:rsid w:val="00D76B86"/>
    <w:rsid w:val="00D76C43"/>
    <w:rsid w:val="00D77230"/>
    <w:rsid w:val="00D77BB5"/>
    <w:rsid w:val="00D80119"/>
    <w:rsid w:val="00D804CD"/>
    <w:rsid w:val="00D826B2"/>
    <w:rsid w:val="00D82CEB"/>
    <w:rsid w:val="00D841C9"/>
    <w:rsid w:val="00D84FCA"/>
    <w:rsid w:val="00D91824"/>
    <w:rsid w:val="00D942DD"/>
    <w:rsid w:val="00D94551"/>
    <w:rsid w:val="00D94DFE"/>
    <w:rsid w:val="00D953C2"/>
    <w:rsid w:val="00D95D62"/>
    <w:rsid w:val="00DA1A7C"/>
    <w:rsid w:val="00DA2092"/>
    <w:rsid w:val="00DA3108"/>
    <w:rsid w:val="00DA3186"/>
    <w:rsid w:val="00DA5940"/>
    <w:rsid w:val="00DA60C3"/>
    <w:rsid w:val="00DB2C5B"/>
    <w:rsid w:val="00DB3902"/>
    <w:rsid w:val="00DB4ADA"/>
    <w:rsid w:val="00DB5088"/>
    <w:rsid w:val="00DC47D1"/>
    <w:rsid w:val="00DC6A4B"/>
    <w:rsid w:val="00DD6F62"/>
    <w:rsid w:val="00DE22FB"/>
    <w:rsid w:val="00DE29CC"/>
    <w:rsid w:val="00DE3700"/>
    <w:rsid w:val="00DF0109"/>
    <w:rsid w:val="00DF03E6"/>
    <w:rsid w:val="00DF1A37"/>
    <w:rsid w:val="00DF3A1E"/>
    <w:rsid w:val="00DF3AF6"/>
    <w:rsid w:val="00DF3DA4"/>
    <w:rsid w:val="00DF48D4"/>
    <w:rsid w:val="00DF6E60"/>
    <w:rsid w:val="00E00344"/>
    <w:rsid w:val="00E01A48"/>
    <w:rsid w:val="00E01D5F"/>
    <w:rsid w:val="00E056D9"/>
    <w:rsid w:val="00E05AD1"/>
    <w:rsid w:val="00E064C9"/>
    <w:rsid w:val="00E12326"/>
    <w:rsid w:val="00E13890"/>
    <w:rsid w:val="00E13D66"/>
    <w:rsid w:val="00E1455B"/>
    <w:rsid w:val="00E1544B"/>
    <w:rsid w:val="00E20503"/>
    <w:rsid w:val="00E20909"/>
    <w:rsid w:val="00E2209B"/>
    <w:rsid w:val="00E25F9E"/>
    <w:rsid w:val="00E2698F"/>
    <w:rsid w:val="00E302C3"/>
    <w:rsid w:val="00E32C68"/>
    <w:rsid w:val="00E33F5C"/>
    <w:rsid w:val="00E34938"/>
    <w:rsid w:val="00E35CE1"/>
    <w:rsid w:val="00E37E50"/>
    <w:rsid w:val="00E42CBD"/>
    <w:rsid w:val="00E445CA"/>
    <w:rsid w:val="00E477EF"/>
    <w:rsid w:val="00E47816"/>
    <w:rsid w:val="00E5147C"/>
    <w:rsid w:val="00E51DEB"/>
    <w:rsid w:val="00E528DE"/>
    <w:rsid w:val="00E55CA6"/>
    <w:rsid w:val="00E61EDC"/>
    <w:rsid w:val="00E62112"/>
    <w:rsid w:val="00E64006"/>
    <w:rsid w:val="00E66B47"/>
    <w:rsid w:val="00E70990"/>
    <w:rsid w:val="00E73875"/>
    <w:rsid w:val="00E73B2F"/>
    <w:rsid w:val="00E74607"/>
    <w:rsid w:val="00E8003F"/>
    <w:rsid w:val="00E8182E"/>
    <w:rsid w:val="00E81B65"/>
    <w:rsid w:val="00E84D45"/>
    <w:rsid w:val="00E87734"/>
    <w:rsid w:val="00E87B4F"/>
    <w:rsid w:val="00E94412"/>
    <w:rsid w:val="00E9689E"/>
    <w:rsid w:val="00EA1366"/>
    <w:rsid w:val="00EA1458"/>
    <w:rsid w:val="00EA1A30"/>
    <w:rsid w:val="00EA3286"/>
    <w:rsid w:val="00EA670E"/>
    <w:rsid w:val="00EA7749"/>
    <w:rsid w:val="00EB0379"/>
    <w:rsid w:val="00EB0AFD"/>
    <w:rsid w:val="00EB20B0"/>
    <w:rsid w:val="00EB3C50"/>
    <w:rsid w:val="00EB4116"/>
    <w:rsid w:val="00EB44AE"/>
    <w:rsid w:val="00EB6DB4"/>
    <w:rsid w:val="00EB7272"/>
    <w:rsid w:val="00EC2C5A"/>
    <w:rsid w:val="00EC323D"/>
    <w:rsid w:val="00EC3768"/>
    <w:rsid w:val="00EC68C1"/>
    <w:rsid w:val="00EC7BA3"/>
    <w:rsid w:val="00ED04BE"/>
    <w:rsid w:val="00ED05EF"/>
    <w:rsid w:val="00ED317A"/>
    <w:rsid w:val="00ED3425"/>
    <w:rsid w:val="00ED37AA"/>
    <w:rsid w:val="00ED3C97"/>
    <w:rsid w:val="00EE49F9"/>
    <w:rsid w:val="00EE5D04"/>
    <w:rsid w:val="00EE6CB9"/>
    <w:rsid w:val="00EF1B6F"/>
    <w:rsid w:val="00EF35E4"/>
    <w:rsid w:val="00EF3694"/>
    <w:rsid w:val="00EF5F11"/>
    <w:rsid w:val="00EF62E2"/>
    <w:rsid w:val="00F05FF9"/>
    <w:rsid w:val="00F14B0F"/>
    <w:rsid w:val="00F15BC2"/>
    <w:rsid w:val="00F16631"/>
    <w:rsid w:val="00F22258"/>
    <w:rsid w:val="00F22BB4"/>
    <w:rsid w:val="00F23C48"/>
    <w:rsid w:val="00F259EA"/>
    <w:rsid w:val="00F26B3E"/>
    <w:rsid w:val="00F26E8E"/>
    <w:rsid w:val="00F26F02"/>
    <w:rsid w:val="00F27528"/>
    <w:rsid w:val="00F27C72"/>
    <w:rsid w:val="00F30F72"/>
    <w:rsid w:val="00F30FC5"/>
    <w:rsid w:val="00F31262"/>
    <w:rsid w:val="00F31976"/>
    <w:rsid w:val="00F334EC"/>
    <w:rsid w:val="00F34697"/>
    <w:rsid w:val="00F364B1"/>
    <w:rsid w:val="00F460C3"/>
    <w:rsid w:val="00F47408"/>
    <w:rsid w:val="00F52252"/>
    <w:rsid w:val="00F53160"/>
    <w:rsid w:val="00F53F20"/>
    <w:rsid w:val="00F5605E"/>
    <w:rsid w:val="00F56978"/>
    <w:rsid w:val="00F56E03"/>
    <w:rsid w:val="00F6036B"/>
    <w:rsid w:val="00F615C7"/>
    <w:rsid w:val="00F648E3"/>
    <w:rsid w:val="00F70333"/>
    <w:rsid w:val="00F712E9"/>
    <w:rsid w:val="00F74AEA"/>
    <w:rsid w:val="00F75614"/>
    <w:rsid w:val="00F758BA"/>
    <w:rsid w:val="00F76FE8"/>
    <w:rsid w:val="00F822A9"/>
    <w:rsid w:val="00F82D7E"/>
    <w:rsid w:val="00F8339D"/>
    <w:rsid w:val="00F86641"/>
    <w:rsid w:val="00F91540"/>
    <w:rsid w:val="00F933B7"/>
    <w:rsid w:val="00F96408"/>
    <w:rsid w:val="00FA07B7"/>
    <w:rsid w:val="00FA113E"/>
    <w:rsid w:val="00FA2C97"/>
    <w:rsid w:val="00FA3025"/>
    <w:rsid w:val="00FA64D9"/>
    <w:rsid w:val="00FA71A2"/>
    <w:rsid w:val="00FB1B8D"/>
    <w:rsid w:val="00FB27BF"/>
    <w:rsid w:val="00FB3406"/>
    <w:rsid w:val="00FB46B5"/>
    <w:rsid w:val="00FB4BFC"/>
    <w:rsid w:val="00FB76B7"/>
    <w:rsid w:val="00FC0060"/>
    <w:rsid w:val="00FC1104"/>
    <w:rsid w:val="00FC2C82"/>
    <w:rsid w:val="00FC3615"/>
    <w:rsid w:val="00FC59EB"/>
    <w:rsid w:val="00FC6DBD"/>
    <w:rsid w:val="00FD0F9F"/>
    <w:rsid w:val="00FD3F27"/>
    <w:rsid w:val="00FD41B0"/>
    <w:rsid w:val="00FE31A3"/>
    <w:rsid w:val="00FE3220"/>
    <w:rsid w:val="00FE4F7C"/>
    <w:rsid w:val="00FE55A2"/>
    <w:rsid w:val="00FE7464"/>
    <w:rsid w:val="00FE7740"/>
    <w:rsid w:val="00FF3136"/>
    <w:rsid w:val="00FF4826"/>
    <w:rsid w:val="00FF60C2"/>
    <w:rsid w:val="00FF6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13EDF"/>
  <w15:chartTrackingRefBased/>
  <w15:docId w15:val="{8EF3B8DF-9C03-4F03-AC6E-6BC966B7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F45"/>
    <w:pPr>
      <w:spacing w:after="0" w:line="240" w:lineRule="auto"/>
    </w:pPr>
    <w:rPr>
      <w:rFonts w:ascii="Arial" w:hAnsi="Arial"/>
      <w:sz w:val="20"/>
      <w:szCs w:val="20"/>
    </w:rPr>
  </w:style>
  <w:style w:type="paragraph" w:styleId="Ttulo1">
    <w:name w:val="heading 1"/>
    <w:basedOn w:val="Normal"/>
    <w:next w:val="Normal"/>
    <w:link w:val="Ttulo1Car"/>
    <w:qFormat/>
    <w:rsid w:val="002E2F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Centrado"/>
    <w:basedOn w:val="Normal"/>
    <w:next w:val="Normal"/>
    <w:link w:val="Ttulo2Car"/>
    <w:uiPriority w:val="9"/>
    <w:unhideWhenUsed/>
    <w:qFormat/>
    <w:rsid w:val="007E30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dere"/>
    <w:basedOn w:val="Normal"/>
    <w:next w:val="Normal"/>
    <w:link w:val="Ttulo3Car"/>
    <w:uiPriority w:val="9"/>
    <w:unhideWhenUsed/>
    <w:qFormat/>
    <w:rsid w:val="00D76B86"/>
    <w:pPr>
      <w:keepNext/>
      <w:spacing w:before="240" w:after="60"/>
      <w:jc w:val="both"/>
      <w:outlineLvl w:val="2"/>
    </w:pPr>
    <w:rPr>
      <w:rFonts w:eastAsia="Times New Roman" w:cs="Times New Roman"/>
      <w:b/>
      <w:bCs/>
      <w:sz w:val="24"/>
      <w:szCs w:val="26"/>
      <w:lang w:eastAsia="es-ES"/>
    </w:rPr>
  </w:style>
  <w:style w:type="paragraph" w:styleId="Ttulo4">
    <w:name w:val="heading 4"/>
    <w:basedOn w:val="Normal"/>
    <w:next w:val="Normal"/>
    <w:link w:val="Ttulo4Car"/>
    <w:qFormat/>
    <w:rsid w:val="00D76B86"/>
    <w:pPr>
      <w:keepNext/>
      <w:spacing w:before="240" w:after="60"/>
      <w:outlineLvl w:val="3"/>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41F45"/>
    <w:pPr>
      <w:tabs>
        <w:tab w:val="center" w:pos="4252"/>
        <w:tab w:val="right" w:pos="8504"/>
      </w:tabs>
    </w:pPr>
  </w:style>
  <w:style w:type="character" w:customStyle="1" w:styleId="EncabezadoCar">
    <w:name w:val="Encabezado Car"/>
    <w:basedOn w:val="Fuentedeprrafopredeter"/>
    <w:link w:val="Encabezado"/>
    <w:uiPriority w:val="99"/>
    <w:rsid w:val="00D41F45"/>
    <w:rPr>
      <w:rFonts w:ascii="Arial" w:hAnsi="Arial"/>
      <w:sz w:val="20"/>
      <w:szCs w:val="20"/>
    </w:rPr>
  </w:style>
  <w:style w:type="paragraph" w:styleId="Piedepgina">
    <w:name w:val="footer"/>
    <w:basedOn w:val="Normal"/>
    <w:link w:val="PiedepginaCar"/>
    <w:uiPriority w:val="99"/>
    <w:rsid w:val="00D41F45"/>
    <w:pPr>
      <w:tabs>
        <w:tab w:val="center" w:pos="4252"/>
        <w:tab w:val="right" w:pos="8504"/>
      </w:tabs>
    </w:pPr>
  </w:style>
  <w:style w:type="character" w:customStyle="1" w:styleId="PiedepginaCar">
    <w:name w:val="Pie de página Car"/>
    <w:basedOn w:val="Fuentedeprrafopredeter"/>
    <w:link w:val="Piedepgina"/>
    <w:uiPriority w:val="99"/>
    <w:rsid w:val="00D41F45"/>
    <w:rPr>
      <w:rFonts w:ascii="Arial" w:hAnsi="Arial"/>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ftre"/>
    <w:link w:val="4GChar"/>
    <w:uiPriority w:val="99"/>
    <w:qFormat/>
    <w:rsid w:val="00D41F4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D41F45"/>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41F45"/>
    <w:rPr>
      <w:rFonts w:ascii="Arial" w:hAnsi="Arial"/>
      <w:sz w:val="20"/>
      <w:szCs w:val="20"/>
    </w:rPr>
  </w:style>
  <w:style w:type="table" w:styleId="Tablaconcuadrcula">
    <w:name w:val="Table Grid"/>
    <w:basedOn w:val="Tablanormal"/>
    <w:uiPriority w:val="39"/>
    <w:rsid w:val="00D41F4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Footnote,List Paragraph2,List Paragraph1,Colorful List - Accent 11,Lista vistosa - Énfasis 11,Parrafo 1,Lista multicolor - Énfasis 11,Cuadrícula media 1 - Énfasis 21,Dot pt,No Spacing1,Indicator Text"/>
    <w:basedOn w:val="Normal"/>
    <w:link w:val="PrrafodelistaCar"/>
    <w:uiPriority w:val="34"/>
    <w:qFormat/>
    <w:rsid w:val="00D41F45"/>
    <w:pPr>
      <w:ind w:left="708"/>
    </w:pPr>
  </w:style>
  <w:style w:type="paragraph" w:customStyle="1" w:styleId="NUMERADO">
    <w:name w:val="NUMERADO"/>
    <w:basedOn w:val="Normal"/>
    <w:autoRedefine/>
    <w:qFormat/>
    <w:rsid w:val="00870F2E"/>
    <w:pPr>
      <w:numPr>
        <w:numId w:val="2"/>
      </w:numPr>
      <w:spacing w:before="240" w:after="240" w:line="360" w:lineRule="auto"/>
      <w:ind w:left="0" w:firstLine="0"/>
      <w:jc w:val="both"/>
    </w:pPr>
    <w:rPr>
      <w:rFonts w:ascii="Univers" w:eastAsia="Times New Roman" w:hAnsi="Univers" w:cs="Arial"/>
      <w:sz w:val="28"/>
      <w:szCs w:val="28"/>
      <w:lang w:eastAsia="es-MX"/>
    </w:rPr>
  </w:style>
  <w:style w:type="character" w:customStyle="1" w:styleId="apple-converted-space">
    <w:name w:val="apple-converted-space"/>
    <w:basedOn w:val="Fuentedeprrafopredeter"/>
    <w:rsid w:val="004C7265"/>
  </w:style>
  <w:style w:type="paragraph" w:styleId="Textodeglobo">
    <w:name w:val="Balloon Text"/>
    <w:basedOn w:val="Normal"/>
    <w:link w:val="TextodegloboCar"/>
    <w:uiPriority w:val="99"/>
    <w:semiHidden/>
    <w:unhideWhenUsed/>
    <w:rsid w:val="00FA11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113E"/>
    <w:rPr>
      <w:rFonts w:ascii="Segoe UI" w:hAnsi="Segoe UI" w:cs="Segoe UI"/>
      <w:sz w:val="18"/>
      <w:szCs w:val="18"/>
    </w:rPr>
  </w:style>
  <w:style w:type="table" w:customStyle="1" w:styleId="Tablaconcuadrcula3">
    <w:name w:val="Tabla con cuadrícula3"/>
    <w:basedOn w:val="Tablanormal"/>
    <w:next w:val="Tablaconcuadrcula"/>
    <w:uiPriority w:val="39"/>
    <w:rsid w:val="0086479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2E2FC4"/>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E2FC4"/>
    <w:pPr>
      <w:spacing w:line="259" w:lineRule="auto"/>
      <w:outlineLvl w:val="9"/>
    </w:pPr>
    <w:rPr>
      <w:lang w:eastAsia="es-MX"/>
    </w:rPr>
  </w:style>
  <w:style w:type="character" w:customStyle="1" w:styleId="Ttulo2Car">
    <w:name w:val="Título 2 Car"/>
    <w:aliases w:val="Centrado Car"/>
    <w:basedOn w:val="Fuentedeprrafopredeter"/>
    <w:link w:val="Ttulo2"/>
    <w:uiPriority w:val="9"/>
    <w:rsid w:val="007E300A"/>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9838D0"/>
    <w:pPr>
      <w:tabs>
        <w:tab w:val="right" w:leader="dot" w:pos="7694"/>
      </w:tabs>
    </w:pPr>
    <w:rPr>
      <w:rFonts w:eastAsia="Times New Roman" w:cs="Arial"/>
      <w:b/>
      <w:noProof/>
      <w:sz w:val="18"/>
      <w:szCs w:val="18"/>
      <w:lang w:eastAsia="es-MX"/>
    </w:rPr>
  </w:style>
  <w:style w:type="paragraph" w:styleId="TDC2">
    <w:name w:val="toc 2"/>
    <w:basedOn w:val="Normal"/>
    <w:next w:val="Normal"/>
    <w:autoRedefine/>
    <w:uiPriority w:val="39"/>
    <w:unhideWhenUsed/>
    <w:rsid w:val="007E300A"/>
    <w:pPr>
      <w:spacing w:after="100"/>
      <w:ind w:left="200"/>
    </w:pPr>
  </w:style>
  <w:style w:type="character" w:styleId="Hipervnculo">
    <w:name w:val="Hyperlink"/>
    <w:basedOn w:val="Fuentedeprrafopredeter"/>
    <w:uiPriority w:val="99"/>
    <w:unhideWhenUsed/>
    <w:rsid w:val="007E300A"/>
    <w:rPr>
      <w:color w:val="0563C1" w:themeColor="hyperlink"/>
      <w:u w:val="single"/>
    </w:rPr>
  </w:style>
  <w:style w:type="paragraph" w:customStyle="1" w:styleId="numerados">
    <w:name w:val="numerados"/>
    <w:basedOn w:val="Normal"/>
    <w:qFormat/>
    <w:rsid w:val="00965D93"/>
    <w:pPr>
      <w:numPr>
        <w:numId w:val="4"/>
      </w:numPr>
      <w:spacing w:after="240" w:line="360" w:lineRule="auto"/>
      <w:jc w:val="both"/>
    </w:pPr>
    <w:rPr>
      <w:rFonts w:ascii="Univers" w:eastAsia="Times New Roman" w:hAnsi="Univers" w:cs="Times New Roman"/>
      <w:sz w:val="28"/>
      <w:szCs w:val="28"/>
    </w:rPr>
  </w:style>
  <w:style w:type="table" w:customStyle="1" w:styleId="Tablaconcuadrcula1">
    <w:name w:val="Tabla con cuadrícula1"/>
    <w:basedOn w:val="Tablanormal"/>
    <w:next w:val="Tablaconcuadrcula"/>
    <w:uiPriority w:val="39"/>
    <w:rsid w:val="00097C5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5F4C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1,Normal (Web) Car Car,Normal (Web) Car1 Car Car,Normal (Web) Car Car Car Car Car Car Car Car Car Car Car,Normal (Web) Car Car Car Car Car Car, Car Car Car, Car Car Car Car Car,Car,Car Car,Normal (Web) Car Car Car Car Car,C"/>
    <w:basedOn w:val="Normal"/>
    <w:link w:val="NormalWebCar"/>
    <w:uiPriority w:val="99"/>
    <w:unhideWhenUsed/>
    <w:qFormat/>
    <w:rsid w:val="00F8339D"/>
    <w:pPr>
      <w:spacing w:before="100" w:beforeAutospacing="1" w:after="100" w:afterAutospacing="1"/>
    </w:pPr>
    <w:rPr>
      <w:rFonts w:ascii="Times New Roman" w:eastAsia="Times New Roman" w:hAnsi="Times New Roman" w:cs="Times New Roman"/>
      <w:sz w:val="24"/>
      <w:szCs w:val="24"/>
      <w:lang w:eastAsia="es-MX"/>
    </w:rPr>
  </w:style>
  <w:style w:type="table" w:customStyle="1" w:styleId="Tablaconcuadrcula32">
    <w:name w:val="Tabla con cuadrícula32"/>
    <w:basedOn w:val="Tablanormal"/>
    <w:next w:val="Tablaconcuadrcula"/>
    <w:uiPriority w:val="39"/>
    <w:rsid w:val="00B702C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Normal (Web) Car1 Car,Normal (Web) Car Car Car,Normal (Web) Car1 Car Car Car,Normal (Web) Car Car Car Car Car Car Car Car Car Car Car Car,Normal (Web) Car Car Car Car Car Car Car, Car Car Car Car, Car Car Car Car Car Car,Car Car1,C Car"/>
    <w:link w:val="NormalWeb"/>
    <w:uiPriority w:val="99"/>
    <w:rsid w:val="001D582D"/>
    <w:rPr>
      <w:rFonts w:ascii="Times New Roman" w:eastAsia="Times New Roman" w:hAnsi="Times New Roman" w:cs="Times New Roman"/>
      <w:sz w:val="24"/>
      <w:szCs w:val="24"/>
      <w:lang w:eastAsia="es-MX"/>
    </w:rPr>
  </w:style>
  <w:style w:type="paragraph" w:customStyle="1" w:styleId="Normalsentencia">
    <w:name w:val="Normal sentencia"/>
    <w:basedOn w:val="Normal"/>
    <w:link w:val="NormalsentenciaCar"/>
    <w:qFormat/>
    <w:rsid w:val="000D257D"/>
    <w:pPr>
      <w:spacing w:before="360" w:after="240" w:line="360" w:lineRule="auto"/>
      <w:ind w:firstLine="709"/>
      <w:jc w:val="both"/>
    </w:pPr>
    <w:rPr>
      <w:rFonts w:ascii="Univers" w:eastAsia="Times New Roman" w:hAnsi="Univers" w:cs="Arial"/>
      <w:sz w:val="28"/>
      <w:szCs w:val="22"/>
      <w:lang w:val="es-ES" w:eastAsia="es-ES"/>
    </w:rPr>
  </w:style>
  <w:style w:type="character" w:customStyle="1" w:styleId="NormalsentenciaCar">
    <w:name w:val="Normal sentencia Car"/>
    <w:basedOn w:val="Fuentedeprrafopredeter"/>
    <w:link w:val="Normalsentencia"/>
    <w:rsid w:val="000D257D"/>
    <w:rPr>
      <w:rFonts w:ascii="Univers" w:eastAsia="Times New Roman" w:hAnsi="Univers" w:cs="Arial"/>
      <w:sz w:val="2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31FD9"/>
    <w:pPr>
      <w:jc w:val="both"/>
    </w:pPr>
    <w:rPr>
      <w:rFonts w:asciiTheme="minorHAnsi" w:hAnsiTheme="minorHAnsi"/>
      <w:sz w:val="22"/>
      <w:szCs w:val="22"/>
      <w:vertAlign w:val="superscript"/>
    </w:rPr>
  </w:style>
  <w:style w:type="character" w:styleId="Refdecomentario">
    <w:name w:val="annotation reference"/>
    <w:basedOn w:val="Fuentedeprrafopredeter"/>
    <w:uiPriority w:val="99"/>
    <w:semiHidden/>
    <w:unhideWhenUsed/>
    <w:rsid w:val="00087DE1"/>
    <w:rPr>
      <w:sz w:val="16"/>
      <w:szCs w:val="16"/>
    </w:rPr>
  </w:style>
  <w:style w:type="paragraph" w:styleId="Textocomentario">
    <w:name w:val="annotation text"/>
    <w:basedOn w:val="Normal"/>
    <w:link w:val="TextocomentarioCar"/>
    <w:uiPriority w:val="99"/>
    <w:semiHidden/>
    <w:unhideWhenUsed/>
    <w:rsid w:val="00087DE1"/>
  </w:style>
  <w:style w:type="character" w:customStyle="1" w:styleId="TextocomentarioCar">
    <w:name w:val="Texto comentario Car"/>
    <w:basedOn w:val="Fuentedeprrafopredeter"/>
    <w:link w:val="Textocomentario"/>
    <w:uiPriority w:val="99"/>
    <w:semiHidden/>
    <w:rsid w:val="00087DE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087DE1"/>
    <w:rPr>
      <w:b/>
      <w:bCs/>
    </w:rPr>
  </w:style>
  <w:style w:type="character" w:customStyle="1" w:styleId="AsuntodelcomentarioCar">
    <w:name w:val="Asunto del comentario Car"/>
    <w:basedOn w:val="TextocomentarioCar"/>
    <w:link w:val="Asuntodelcomentario"/>
    <w:uiPriority w:val="99"/>
    <w:semiHidden/>
    <w:rsid w:val="00087DE1"/>
    <w:rPr>
      <w:rFonts w:ascii="Arial" w:hAnsi="Arial"/>
      <w:b/>
      <w:bCs/>
      <w:sz w:val="20"/>
      <w:szCs w:val="20"/>
    </w:rPr>
  </w:style>
  <w:style w:type="character" w:customStyle="1" w:styleId="PrrafodelistaCar">
    <w:name w:val="Párrafo de lista Car"/>
    <w:aliases w:val="CNBV Parrafo1 Car,Párrafo de lista1 Car,Footnote Car,List Paragraph2 Car,List Paragraph1 Car,Colorful List - Accent 11 Car,Lista vistosa - Énfasis 11 Car,Parrafo 1 Car,Lista multicolor - Énfasis 11 Car,Dot pt Car,No Spacing1 Car"/>
    <w:link w:val="Prrafodelista"/>
    <w:uiPriority w:val="34"/>
    <w:rsid w:val="00477427"/>
    <w:rPr>
      <w:rFonts w:ascii="Arial" w:hAnsi="Arial"/>
      <w:sz w:val="20"/>
      <w:szCs w:val="20"/>
    </w:rPr>
  </w:style>
  <w:style w:type="character" w:styleId="Textoennegrita">
    <w:name w:val="Strong"/>
    <w:basedOn w:val="Fuentedeprrafopredeter"/>
    <w:uiPriority w:val="22"/>
    <w:qFormat/>
    <w:rsid w:val="00D37044"/>
    <w:rPr>
      <w:b/>
      <w:bCs/>
    </w:rPr>
  </w:style>
  <w:style w:type="paragraph" w:customStyle="1" w:styleId="Default">
    <w:name w:val="Default"/>
    <w:rsid w:val="004C0D4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Revisin">
    <w:name w:val="Revision"/>
    <w:hidden/>
    <w:uiPriority w:val="99"/>
    <w:semiHidden/>
    <w:rsid w:val="00B947EC"/>
    <w:pPr>
      <w:spacing w:after="0" w:line="240" w:lineRule="auto"/>
    </w:pPr>
    <w:rPr>
      <w:rFonts w:ascii="Arial" w:hAnsi="Arial"/>
      <w:sz w:val="20"/>
      <w:szCs w:val="20"/>
    </w:rPr>
  </w:style>
  <w:style w:type="character" w:styleId="Mencinsinresolver">
    <w:name w:val="Unresolved Mention"/>
    <w:basedOn w:val="Fuentedeprrafopredeter"/>
    <w:uiPriority w:val="99"/>
    <w:semiHidden/>
    <w:unhideWhenUsed/>
    <w:rsid w:val="00A55823"/>
    <w:rPr>
      <w:color w:val="605E5C"/>
      <w:shd w:val="clear" w:color="auto" w:fill="E1DFDD"/>
    </w:rPr>
  </w:style>
  <w:style w:type="table" w:customStyle="1" w:styleId="TableNormal">
    <w:name w:val="Table Normal"/>
    <w:uiPriority w:val="2"/>
    <w:semiHidden/>
    <w:unhideWhenUsed/>
    <w:qFormat/>
    <w:rsid w:val="00D76B8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6B86"/>
    <w:pPr>
      <w:widowControl w:val="0"/>
    </w:pPr>
    <w:rPr>
      <w:rFonts w:asciiTheme="minorHAnsi" w:hAnsiTheme="minorHAnsi"/>
      <w:sz w:val="22"/>
      <w:szCs w:val="22"/>
      <w:lang w:val="en-US"/>
    </w:rPr>
  </w:style>
  <w:style w:type="character" w:customStyle="1" w:styleId="Ttulo3Car">
    <w:name w:val="Título 3 Car"/>
    <w:aliases w:val="dere Car"/>
    <w:basedOn w:val="Fuentedeprrafopredeter"/>
    <w:link w:val="Ttulo3"/>
    <w:uiPriority w:val="9"/>
    <w:rsid w:val="00D76B86"/>
    <w:rPr>
      <w:rFonts w:ascii="Arial" w:eastAsia="Times New Roman" w:hAnsi="Arial" w:cs="Times New Roman"/>
      <w:b/>
      <w:bCs/>
      <w:sz w:val="24"/>
      <w:szCs w:val="26"/>
      <w:lang w:eastAsia="es-ES"/>
    </w:rPr>
  </w:style>
  <w:style w:type="character" w:customStyle="1" w:styleId="Ttulo4Car">
    <w:name w:val="Título 4 Car"/>
    <w:basedOn w:val="Fuentedeprrafopredeter"/>
    <w:link w:val="Ttulo4"/>
    <w:rsid w:val="00D76B86"/>
    <w:rPr>
      <w:rFonts w:ascii="Times New Roman" w:eastAsia="Times New Roman" w:hAnsi="Times New Roman" w:cs="Times New Roman"/>
      <w:b/>
      <w:bCs/>
      <w:sz w:val="28"/>
      <w:szCs w:val="28"/>
      <w:lang w:eastAsia="es-ES"/>
    </w:rPr>
  </w:style>
  <w:style w:type="paragraph" w:styleId="Textoindependiente">
    <w:name w:val="Body Text"/>
    <w:basedOn w:val="Normal"/>
    <w:link w:val="TextoindependienteCar"/>
    <w:rsid w:val="00D76B86"/>
    <w:pPr>
      <w:spacing w:line="360" w:lineRule="auto"/>
      <w:jc w:val="both"/>
    </w:pPr>
    <w:rPr>
      <w:rFonts w:ascii="Univers" w:eastAsia="Times New Roman" w:hAnsi="Univers" w:cs="Times New Roman"/>
      <w:sz w:val="28"/>
      <w:szCs w:val="24"/>
      <w:lang w:eastAsia="es-ES"/>
    </w:rPr>
  </w:style>
  <w:style w:type="character" w:customStyle="1" w:styleId="TextoindependienteCar">
    <w:name w:val="Texto independiente Car"/>
    <w:basedOn w:val="Fuentedeprrafopredeter"/>
    <w:link w:val="Textoindependiente"/>
    <w:rsid w:val="00D76B86"/>
    <w:rPr>
      <w:rFonts w:ascii="Univers" w:eastAsia="Times New Roman" w:hAnsi="Univers" w:cs="Times New Roman"/>
      <w:sz w:val="28"/>
      <w:szCs w:val="24"/>
      <w:lang w:eastAsia="es-ES"/>
    </w:rPr>
  </w:style>
  <w:style w:type="character" w:styleId="Nmerodepgina">
    <w:name w:val="page number"/>
    <w:basedOn w:val="Fuentedeprrafopredeter"/>
    <w:rsid w:val="00D76B86"/>
  </w:style>
  <w:style w:type="character" w:customStyle="1" w:styleId="apple-style-span">
    <w:name w:val="apple-style-span"/>
    <w:basedOn w:val="Fuentedeprrafopredeter"/>
    <w:rsid w:val="00D76B86"/>
  </w:style>
  <w:style w:type="paragraph" w:customStyle="1" w:styleId="proemio">
    <w:name w:val="proemio"/>
    <w:basedOn w:val="Normal"/>
    <w:uiPriority w:val="99"/>
    <w:rsid w:val="00D76B86"/>
    <w:pPr>
      <w:spacing w:before="360" w:after="360"/>
      <w:ind w:left="2835"/>
      <w:jc w:val="both"/>
    </w:pPr>
    <w:rPr>
      <w:rFonts w:ascii="Times New Roman" w:eastAsia="Times New Roman" w:hAnsi="Times New Roman" w:cs="Times New Roman"/>
      <w:b/>
      <w:caps/>
      <w:sz w:val="28"/>
      <w:szCs w:val="24"/>
      <w:lang w:eastAsia="es-ES"/>
    </w:rPr>
  </w:style>
  <w:style w:type="paragraph" w:customStyle="1" w:styleId="General">
    <w:name w:val="General"/>
    <w:basedOn w:val="Normal"/>
    <w:link w:val="GeneralCar"/>
    <w:qFormat/>
    <w:rsid w:val="00D76B86"/>
    <w:pPr>
      <w:spacing w:line="360" w:lineRule="auto"/>
      <w:ind w:firstLine="709"/>
      <w:jc w:val="both"/>
    </w:pPr>
    <w:rPr>
      <w:rFonts w:ascii="Times New Roman" w:eastAsia="Times New Roman" w:hAnsi="Times New Roman" w:cs="Times New Roman"/>
      <w:sz w:val="28"/>
      <w:szCs w:val="24"/>
      <w:lang w:val="es-ES" w:eastAsia="es-ES"/>
    </w:rPr>
  </w:style>
  <w:style w:type="character" w:customStyle="1" w:styleId="GeneralCar">
    <w:name w:val="General Car"/>
    <w:link w:val="General"/>
    <w:locked/>
    <w:rsid w:val="00D76B86"/>
    <w:rPr>
      <w:rFonts w:ascii="Times New Roman" w:eastAsia="Times New Roman" w:hAnsi="Times New Roman" w:cs="Times New Roman"/>
      <w:sz w:val="28"/>
      <w:szCs w:val="24"/>
      <w:lang w:val="es-ES" w:eastAsia="es-ES"/>
    </w:rPr>
  </w:style>
  <w:style w:type="paragraph" w:styleId="Sinespaciado">
    <w:name w:val="No Spacing"/>
    <w:uiPriority w:val="1"/>
    <w:qFormat/>
    <w:rsid w:val="00D76B86"/>
    <w:pPr>
      <w:spacing w:after="0" w:line="240" w:lineRule="auto"/>
    </w:pPr>
    <w:rPr>
      <w:rFonts w:ascii="Arial" w:eastAsia="Times New Roman" w:hAnsi="Arial" w:cs="Times New Roman"/>
      <w:sz w:val="28"/>
      <w:szCs w:val="24"/>
      <w:lang w:eastAsia="es-ES"/>
    </w:rPr>
  </w:style>
  <w:style w:type="paragraph" w:customStyle="1" w:styleId="TEXTOLIBRE">
    <w:name w:val="TEXTO LIBRE"/>
    <w:basedOn w:val="Normal"/>
    <w:rsid w:val="00D76B86"/>
    <w:pPr>
      <w:spacing w:before="120" w:after="120" w:line="360" w:lineRule="auto"/>
      <w:ind w:firstLine="709"/>
      <w:jc w:val="both"/>
    </w:pPr>
    <w:rPr>
      <w:rFonts w:ascii="Times New Roman" w:eastAsia="Times New Roman" w:hAnsi="Times New Roman" w:cs="Times New Roman"/>
      <w:sz w:val="28"/>
      <w:szCs w:val="24"/>
      <w:lang w:eastAsia="es-ES"/>
    </w:rPr>
  </w:style>
  <w:style w:type="character" w:customStyle="1" w:styleId="lbl-encabezado-negro">
    <w:name w:val="lbl-encabezado-negro"/>
    <w:rsid w:val="00D76B86"/>
  </w:style>
  <w:style w:type="paragraph" w:styleId="TDC3">
    <w:name w:val="toc 3"/>
    <w:basedOn w:val="Normal"/>
    <w:next w:val="Normal"/>
    <w:autoRedefine/>
    <w:uiPriority w:val="39"/>
    <w:unhideWhenUsed/>
    <w:rsid w:val="00D76B86"/>
    <w:pPr>
      <w:ind w:left="560"/>
    </w:pPr>
    <w:rPr>
      <w:rFonts w:eastAsia="Times New Roman" w:cs="Times New Roman"/>
      <w:sz w:val="28"/>
      <w:szCs w:val="24"/>
      <w:lang w:eastAsia="es-ES"/>
    </w:rPr>
  </w:style>
  <w:style w:type="character" w:customStyle="1" w:styleId="FontStyle20">
    <w:name w:val="Font Style20"/>
    <w:uiPriority w:val="99"/>
    <w:rsid w:val="00D76B86"/>
    <w:rPr>
      <w:rFonts w:ascii="Arial" w:hAnsi="Arial" w:cs="Arial"/>
      <w:sz w:val="24"/>
      <w:szCs w:val="24"/>
    </w:rPr>
  </w:style>
  <w:style w:type="paragraph" w:customStyle="1" w:styleId="Style5">
    <w:name w:val="Style5"/>
    <w:basedOn w:val="Normal"/>
    <w:uiPriority w:val="99"/>
    <w:rsid w:val="00D76B86"/>
    <w:pPr>
      <w:widowControl w:val="0"/>
      <w:autoSpaceDE w:val="0"/>
      <w:autoSpaceDN w:val="0"/>
      <w:adjustRightInd w:val="0"/>
      <w:spacing w:line="440" w:lineRule="exact"/>
      <w:jc w:val="both"/>
    </w:pPr>
    <w:rPr>
      <w:rFonts w:eastAsia="Times New Roman" w:cs="Arial"/>
      <w:sz w:val="24"/>
      <w:szCs w:val="24"/>
      <w:lang w:eastAsia="es-MX"/>
    </w:rPr>
  </w:style>
  <w:style w:type="character" w:customStyle="1" w:styleId="FontStyle21">
    <w:name w:val="Font Style21"/>
    <w:uiPriority w:val="99"/>
    <w:rsid w:val="00D76B86"/>
    <w:rPr>
      <w:rFonts w:ascii="Arial" w:hAnsi="Arial" w:cs="Arial"/>
      <w:i/>
      <w:iCs/>
      <w:sz w:val="18"/>
      <w:szCs w:val="18"/>
    </w:rPr>
  </w:style>
  <w:style w:type="paragraph" w:customStyle="1" w:styleId="Transcripcin">
    <w:name w:val="Transcripción"/>
    <w:autoRedefine/>
    <w:qFormat/>
    <w:rsid w:val="00D76B86"/>
    <w:pPr>
      <w:spacing w:before="100" w:beforeAutospacing="1" w:after="100" w:afterAutospacing="1" w:line="360" w:lineRule="auto"/>
      <w:jc w:val="both"/>
    </w:pPr>
    <w:rPr>
      <w:rFonts w:ascii="Arial" w:hAnsi="Arial" w:cs="Arial"/>
      <w:bCs/>
      <w:color w:val="000000"/>
      <w:sz w:val="24"/>
      <w:szCs w:val="36"/>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D76B86"/>
    <w:pPr>
      <w:spacing w:before="200" w:after="160" w:line="240" w:lineRule="exact"/>
    </w:pPr>
    <w:rPr>
      <w:rFonts w:asciiTheme="minorHAnsi" w:hAnsiTheme="minorHAnsi"/>
      <w:sz w:val="22"/>
      <w:szCs w:val="22"/>
      <w:vertAlign w:val="superscript"/>
    </w:rPr>
  </w:style>
  <w:style w:type="paragraph" w:styleId="Lista">
    <w:name w:val="List"/>
    <w:basedOn w:val="Normal"/>
    <w:uiPriority w:val="99"/>
    <w:unhideWhenUsed/>
    <w:rsid w:val="00D76B86"/>
    <w:pPr>
      <w:ind w:left="283" w:hanging="283"/>
      <w:contextualSpacing/>
    </w:pPr>
    <w:rPr>
      <w:rFonts w:eastAsia="Times New Roman" w:cs="Times New Roman"/>
      <w:sz w:val="28"/>
      <w:szCs w:val="24"/>
      <w:lang w:eastAsia="es-ES"/>
    </w:rPr>
  </w:style>
  <w:style w:type="paragraph" w:styleId="Lista3">
    <w:name w:val="List 3"/>
    <w:basedOn w:val="Normal"/>
    <w:uiPriority w:val="99"/>
    <w:unhideWhenUsed/>
    <w:rsid w:val="00D76B86"/>
    <w:pPr>
      <w:ind w:left="849" w:hanging="283"/>
      <w:contextualSpacing/>
    </w:pPr>
    <w:rPr>
      <w:rFonts w:eastAsia="Times New Roman" w:cs="Times New Roman"/>
      <w:sz w:val="28"/>
      <w:szCs w:val="24"/>
      <w:lang w:eastAsia="es-ES"/>
    </w:rPr>
  </w:style>
  <w:style w:type="paragraph" w:styleId="Listaconvietas3">
    <w:name w:val="List Bullet 3"/>
    <w:basedOn w:val="Normal"/>
    <w:uiPriority w:val="99"/>
    <w:unhideWhenUsed/>
    <w:rsid w:val="00D76B86"/>
    <w:pPr>
      <w:numPr>
        <w:numId w:val="17"/>
      </w:numPr>
      <w:contextualSpacing/>
    </w:pPr>
    <w:rPr>
      <w:rFonts w:eastAsia="Times New Roman" w:cs="Times New Roman"/>
      <w:sz w:val="28"/>
      <w:szCs w:val="24"/>
      <w:lang w:eastAsia="es-ES"/>
    </w:rPr>
  </w:style>
  <w:style w:type="paragraph" w:styleId="Continuarlista">
    <w:name w:val="List Continue"/>
    <w:basedOn w:val="Normal"/>
    <w:uiPriority w:val="99"/>
    <w:unhideWhenUsed/>
    <w:rsid w:val="00D76B86"/>
    <w:pPr>
      <w:spacing w:after="120"/>
      <w:ind w:left="283"/>
      <w:contextualSpacing/>
    </w:pPr>
    <w:rPr>
      <w:rFonts w:eastAsia="Times New Roman" w:cs="Times New Roman"/>
      <w:sz w:val="28"/>
      <w:szCs w:val="24"/>
      <w:lang w:eastAsia="es-ES"/>
    </w:rPr>
  </w:style>
  <w:style w:type="paragraph" w:styleId="Continuarlista2">
    <w:name w:val="List Continue 2"/>
    <w:basedOn w:val="Normal"/>
    <w:uiPriority w:val="99"/>
    <w:unhideWhenUsed/>
    <w:rsid w:val="00D76B86"/>
    <w:pPr>
      <w:spacing w:after="120"/>
      <w:ind w:left="566"/>
      <w:contextualSpacing/>
    </w:pPr>
    <w:rPr>
      <w:rFonts w:eastAsia="Times New Roman" w:cs="Times New Roman"/>
      <w:sz w:val="28"/>
      <w:szCs w:val="24"/>
      <w:lang w:eastAsia="es-ES"/>
    </w:rPr>
  </w:style>
  <w:style w:type="paragraph" w:styleId="Continuarlista3">
    <w:name w:val="List Continue 3"/>
    <w:basedOn w:val="Normal"/>
    <w:uiPriority w:val="99"/>
    <w:unhideWhenUsed/>
    <w:rsid w:val="00D76B86"/>
    <w:pPr>
      <w:spacing w:after="120"/>
      <w:ind w:left="849"/>
      <w:contextualSpacing/>
    </w:pPr>
    <w:rPr>
      <w:rFonts w:eastAsia="Times New Roman" w:cs="Times New Roman"/>
      <w:sz w:val="28"/>
      <w:szCs w:val="24"/>
      <w:lang w:eastAsia="es-ES"/>
    </w:rPr>
  </w:style>
  <w:style w:type="paragraph" w:styleId="Sangradetextonormal">
    <w:name w:val="Body Text Indent"/>
    <w:basedOn w:val="Normal"/>
    <w:link w:val="SangradetextonormalCar"/>
    <w:uiPriority w:val="99"/>
    <w:semiHidden/>
    <w:unhideWhenUsed/>
    <w:rsid w:val="00D76B86"/>
    <w:pPr>
      <w:spacing w:after="120"/>
      <w:ind w:left="283"/>
    </w:pPr>
    <w:rPr>
      <w:rFonts w:eastAsia="Times New Roman" w:cs="Times New Roman"/>
      <w:sz w:val="28"/>
      <w:szCs w:val="24"/>
      <w:lang w:eastAsia="es-ES"/>
    </w:rPr>
  </w:style>
  <w:style w:type="character" w:customStyle="1" w:styleId="SangradetextonormalCar">
    <w:name w:val="Sangría de texto normal Car"/>
    <w:basedOn w:val="Fuentedeprrafopredeter"/>
    <w:link w:val="Sangradetextonormal"/>
    <w:uiPriority w:val="99"/>
    <w:semiHidden/>
    <w:rsid w:val="00D76B86"/>
    <w:rPr>
      <w:rFonts w:ascii="Arial" w:eastAsia="Times New Roman" w:hAnsi="Arial" w:cs="Times New Roman"/>
      <w:sz w:val="28"/>
      <w:szCs w:val="24"/>
      <w:lang w:eastAsia="es-ES"/>
    </w:rPr>
  </w:style>
  <w:style w:type="paragraph" w:styleId="Textoindependienteprimerasangra2">
    <w:name w:val="Body Text First Indent 2"/>
    <w:basedOn w:val="Sangradetextonormal"/>
    <w:link w:val="Textoindependienteprimerasangra2Car"/>
    <w:uiPriority w:val="99"/>
    <w:unhideWhenUsed/>
    <w:rsid w:val="00D76B8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76B86"/>
    <w:rPr>
      <w:rFonts w:ascii="Arial" w:eastAsia="Times New Roman" w:hAnsi="Arial" w:cs="Times New Roman"/>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9296">
      <w:bodyDiv w:val="1"/>
      <w:marLeft w:val="0"/>
      <w:marRight w:val="0"/>
      <w:marTop w:val="0"/>
      <w:marBottom w:val="0"/>
      <w:divBdr>
        <w:top w:val="none" w:sz="0" w:space="0" w:color="auto"/>
        <w:left w:val="none" w:sz="0" w:space="0" w:color="auto"/>
        <w:bottom w:val="none" w:sz="0" w:space="0" w:color="auto"/>
        <w:right w:val="none" w:sz="0" w:space="0" w:color="auto"/>
      </w:divBdr>
    </w:div>
    <w:div w:id="57872551">
      <w:bodyDiv w:val="1"/>
      <w:marLeft w:val="0"/>
      <w:marRight w:val="0"/>
      <w:marTop w:val="0"/>
      <w:marBottom w:val="0"/>
      <w:divBdr>
        <w:top w:val="none" w:sz="0" w:space="0" w:color="auto"/>
        <w:left w:val="none" w:sz="0" w:space="0" w:color="auto"/>
        <w:bottom w:val="none" w:sz="0" w:space="0" w:color="auto"/>
        <w:right w:val="none" w:sz="0" w:space="0" w:color="auto"/>
      </w:divBdr>
    </w:div>
    <w:div w:id="128596118">
      <w:bodyDiv w:val="1"/>
      <w:marLeft w:val="0"/>
      <w:marRight w:val="0"/>
      <w:marTop w:val="0"/>
      <w:marBottom w:val="0"/>
      <w:divBdr>
        <w:top w:val="none" w:sz="0" w:space="0" w:color="auto"/>
        <w:left w:val="none" w:sz="0" w:space="0" w:color="auto"/>
        <w:bottom w:val="none" w:sz="0" w:space="0" w:color="auto"/>
        <w:right w:val="none" w:sz="0" w:space="0" w:color="auto"/>
      </w:divBdr>
    </w:div>
    <w:div w:id="292173420">
      <w:bodyDiv w:val="1"/>
      <w:marLeft w:val="0"/>
      <w:marRight w:val="0"/>
      <w:marTop w:val="0"/>
      <w:marBottom w:val="0"/>
      <w:divBdr>
        <w:top w:val="none" w:sz="0" w:space="0" w:color="auto"/>
        <w:left w:val="none" w:sz="0" w:space="0" w:color="auto"/>
        <w:bottom w:val="none" w:sz="0" w:space="0" w:color="auto"/>
        <w:right w:val="none" w:sz="0" w:space="0" w:color="auto"/>
      </w:divBdr>
    </w:div>
    <w:div w:id="303778915">
      <w:bodyDiv w:val="1"/>
      <w:marLeft w:val="0"/>
      <w:marRight w:val="0"/>
      <w:marTop w:val="0"/>
      <w:marBottom w:val="0"/>
      <w:divBdr>
        <w:top w:val="none" w:sz="0" w:space="0" w:color="auto"/>
        <w:left w:val="none" w:sz="0" w:space="0" w:color="auto"/>
        <w:bottom w:val="none" w:sz="0" w:space="0" w:color="auto"/>
        <w:right w:val="none" w:sz="0" w:space="0" w:color="auto"/>
      </w:divBdr>
    </w:div>
    <w:div w:id="358892603">
      <w:bodyDiv w:val="1"/>
      <w:marLeft w:val="0"/>
      <w:marRight w:val="0"/>
      <w:marTop w:val="0"/>
      <w:marBottom w:val="0"/>
      <w:divBdr>
        <w:top w:val="none" w:sz="0" w:space="0" w:color="auto"/>
        <w:left w:val="none" w:sz="0" w:space="0" w:color="auto"/>
        <w:bottom w:val="none" w:sz="0" w:space="0" w:color="auto"/>
        <w:right w:val="none" w:sz="0" w:space="0" w:color="auto"/>
      </w:divBdr>
    </w:div>
    <w:div w:id="523129562">
      <w:bodyDiv w:val="1"/>
      <w:marLeft w:val="0"/>
      <w:marRight w:val="0"/>
      <w:marTop w:val="0"/>
      <w:marBottom w:val="0"/>
      <w:divBdr>
        <w:top w:val="none" w:sz="0" w:space="0" w:color="auto"/>
        <w:left w:val="none" w:sz="0" w:space="0" w:color="auto"/>
        <w:bottom w:val="none" w:sz="0" w:space="0" w:color="auto"/>
        <w:right w:val="none" w:sz="0" w:space="0" w:color="auto"/>
      </w:divBdr>
    </w:div>
    <w:div w:id="553270801">
      <w:bodyDiv w:val="1"/>
      <w:marLeft w:val="0"/>
      <w:marRight w:val="0"/>
      <w:marTop w:val="0"/>
      <w:marBottom w:val="0"/>
      <w:divBdr>
        <w:top w:val="none" w:sz="0" w:space="0" w:color="auto"/>
        <w:left w:val="none" w:sz="0" w:space="0" w:color="auto"/>
        <w:bottom w:val="none" w:sz="0" w:space="0" w:color="auto"/>
        <w:right w:val="none" w:sz="0" w:space="0" w:color="auto"/>
      </w:divBdr>
    </w:div>
    <w:div w:id="621116393">
      <w:bodyDiv w:val="1"/>
      <w:marLeft w:val="0"/>
      <w:marRight w:val="0"/>
      <w:marTop w:val="0"/>
      <w:marBottom w:val="0"/>
      <w:divBdr>
        <w:top w:val="none" w:sz="0" w:space="0" w:color="auto"/>
        <w:left w:val="none" w:sz="0" w:space="0" w:color="auto"/>
        <w:bottom w:val="none" w:sz="0" w:space="0" w:color="auto"/>
        <w:right w:val="none" w:sz="0" w:space="0" w:color="auto"/>
      </w:divBdr>
    </w:div>
    <w:div w:id="657422082">
      <w:bodyDiv w:val="1"/>
      <w:marLeft w:val="0"/>
      <w:marRight w:val="0"/>
      <w:marTop w:val="0"/>
      <w:marBottom w:val="0"/>
      <w:divBdr>
        <w:top w:val="none" w:sz="0" w:space="0" w:color="auto"/>
        <w:left w:val="none" w:sz="0" w:space="0" w:color="auto"/>
        <w:bottom w:val="none" w:sz="0" w:space="0" w:color="auto"/>
        <w:right w:val="none" w:sz="0" w:space="0" w:color="auto"/>
      </w:divBdr>
    </w:div>
    <w:div w:id="730226700">
      <w:bodyDiv w:val="1"/>
      <w:marLeft w:val="0"/>
      <w:marRight w:val="0"/>
      <w:marTop w:val="0"/>
      <w:marBottom w:val="0"/>
      <w:divBdr>
        <w:top w:val="none" w:sz="0" w:space="0" w:color="auto"/>
        <w:left w:val="none" w:sz="0" w:space="0" w:color="auto"/>
        <w:bottom w:val="none" w:sz="0" w:space="0" w:color="auto"/>
        <w:right w:val="none" w:sz="0" w:space="0" w:color="auto"/>
      </w:divBdr>
    </w:div>
    <w:div w:id="782723854">
      <w:bodyDiv w:val="1"/>
      <w:marLeft w:val="0"/>
      <w:marRight w:val="0"/>
      <w:marTop w:val="0"/>
      <w:marBottom w:val="0"/>
      <w:divBdr>
        <w:top w:val="none" w:sz="0" w:space="0" w:color="auto"/>
        <w:left w:val="none" w:sz="0" w:space="0" w:color="auto"/>
        <w:bottom w:val="none" w:sz="0" w:space="0" w:color="auto"/>
        <w:right w:val="none" w:sz="0" w:space="0" w:color="auto"/>
      </w:divBdr>
    </w:div>
    <w:div w:id="834419776">
      <w:bodyDiv w:val="1"/>
      <w:marLeft w:val="0"/>
      <w:marRight w:val="0"/>
      <w:marTop w:val="0"/>
      <w:marBottom w:val="0"/>
      <w:divBdr>
        <w:top w:val="none" w:sz="0" w:space="0" w:color="auto"/>
        <w:left w:val="none" w:sz="0" w:space="0" w:color="auto"/>
        <w:bottom w:val="none" w:sz="0" w:space="0" w:color="auto"/>
        <w:right w:val="none" w:sz="0" w:space="0" w:color="auto"/>
      </w:divBdr>
    </w:div>
    <w:div w:id="841554188">
      <w:bodyDiv w:val="1"/>
      <w:marLeft w:val="0"/>
      <w:marRight w:val="0"/>
      <w:marTop w:val="0"/>
      <w:marBottom w:val="0"/>
      <w:divBdr>
        <w:top w:val="none" w:sz="0" w:space="0" w:color="auto"/>
        <w:left w:val="none" w:sz="0" w:space="0" w:color="auto"/>
        <w:bottom w:val="none" w:sz="0" w:space="0" w:color="auto"/>
        <w:right w:val="none" w:sz="0" w:space="0" w:color="auto"/>
      </w:divBdr>
    </w:div>
    <w:div w:id="1090465882">
      <w:bodyDiv w:val="1"/>
      <w:marLeft w:val="0"/>
      <w:marRight w:val="0"/>
      <w:marTop w:val="0"/>
      <w:marBottom w:val="0"/>
      <w:divBdr>
        <w:top w:val="none" w:sz="0" w:space="0" w:color="auto"/>
        <w:left w:val="none" w:sz="0" w:space="0" w:color="auto"/>
        <w:bottom w:val="none" w:sz="0" w:space="0" w:color="auto"/>
        <w:right w:val="none" w:sz="0" w:space="0" w:color="auto"/>
      </w:divBdr>
    </w:div>
    <w:div w:id="1116173526">
      <w:bodyDiv w:val="1"/>
      <w:marLeft w:val="0"/>
      <w:marRight w:val="0"/>
      <w:marTop w:val="0"/>
      <w:marBottom w:val="0"/>
      <w:divBdr>
        <w:top w:val="none" w:sz="0" w:space="0" w:color="auto"/>
        <w:left w:val="none" w:sz="0" w:space="0" w:color="auto"/>
        <w:bottom w:val="none" w:sz="0" w:space="0" w:color="auto"/>
        <w:right w:val="none" w:sz="0" w:space="0" w:color="auto"/>
      </w:divBdr>
    </w:div>
    <w:div w:id="1211695495">
      <w:bodyDiv w:val="1"/>
      <w:marLeft w:val="0"/>
      <w:marRight w:val="0"/>
      <w:marTop w:val="0"/>
      <w:marBottom w:val="0"/>
      <w:divBdr>
        <w:top w:val="none" w:sz="0" w:space="0" w:color="auto"/>
        <w:left w:val="none" w:sz="0" w:space="0" w:color="auto"/>
        <w:bottom w:val="none" w:sz="0" w:space="0" w:color="auto"/>
        <w:right w:val="none" w:sz="0" w:space="0" w:color="auto"/>
      </w:divBdr>
    </w:div>
    <w:div w:id="1408383276">
      <w:bodyDiv w:val="1"/>
      <w:marLeft w:val="0"/>
      <w:marRight w:val="0"/>
      <w:marTop w:val="0"/>
      <w:marBottom w:val="0"/>
      <w:divBdr>
        <w:top w:val="none" w:sz="0" w:space="0" w:color="auto"/>
        <w:left w:val="none" w:sz="0" w:space="0" w:color="auto"/>
        <w:bottom w:val="none" w:sz="0" w:space="0" w:color="auto"/>
        <w:right w:val="none" w:sz="0" w:space="0" w:color="auto"/>
      </w:divBdr>
    </w:div>
    <w:div w:id="1420712493">
      <w:bodyDiv w:val="1"/>
      <w:marLeft w:val="0"/>
      <w:marRight w:val="0"/>
      <w:marTop w:val="0"/>
      <w:marBottom w:val="0"/>
      <w:divBdr>
        <w:top w:val="none" w:sz="0" w:space="0" w:color="auto"/>
        <w:left w:val="none" w:sz="0" w:space="0" w:color="auto"/>
        <w:bottom w:val="none" w:sz="0" w:space="0" w:color="auto"/>
        <w:right w:val="none" w:sz="0" w:space="0" w:color="auto"/>
      </w:divBdr>
      <w:divsChild>
        <w:div w:id="474220163">
          <w:marLeft w:val="0"/>
          <w:marRight w:val="0"/>
          <w:marTop w:val="0"/>
          <w:marBottom w:val="0"/>
          <w:divBdr>
            <w:top w:val="none" w:sz="0" w:space="0" w:color="auto"/>
            <w:left w:val="none" w:sz="0" w:space="0" w:color="auto"/>
            <w:bottom w:val="none" w:sz="0" w:space="0" w:color="auto"/>
            <w:right w:val="none" w:sz="0" w:space="0" w:color="auto"/>
          </w:divBdr>
          <w:divsChild>
            <w:div w:id="123619891">
              <w:marLeft w:val="-225"/>
              <w:marRight w:val="-225"/>
              <w:marTop w:val="0"/>
              <w:marBottom w:val="0"/>
              <w:divBdr>
                <w:top w:val="none" w:sz="0" w:space="0" w:color="auto"/>
                <w:left w:val="none" w:sz="0" w:space="0" w:color="auto"/>
                <w:bottom w:val="none" w:sz="0" w:space="0" w:color="auto"/>
                <w:right w:val="none" w:sz="0" w:space="0" w:color="auto"/>
              </w:divBdr>
              <w:divsChild>
                <w:div w:id="324284763">
                  <w:marLeft w:val="0"/>
                  <w:marRight w:val="0"/>
                  <w:marTop w:val="0"/>
                  <w:marBottom w:val="0"/>
                  <w:divBdr>
                    <w:top w:val="none" w:sz="0" w:space="0" w:color="auto"/>
                    <w:left w:val="none" w:sz="0" w:space="0" w:color="auto"/>
                    <w:bottom w:val="none" w:sz="0" w:space="0" w:color="auto"/>
                    <w:right w:val="none" w:sz="0" w:space="0" w:color="auto"/>
                  </w:divBdr>
                  <w:divsChild>
                    <w:div w:id="199518633">
                      <w:marLeft w:val="-225"/>
                      <w:marRight w:val="-225"/>
                      <w:marTop w:val="0"/>
                      <w:marBottom w:val="0"/>
                      <w:divBdr>
                        <w:top w:val="none" w:sz="0" w:space="0" w:color="auto"/>
                        <w:left w:val="none" w:sz="0" w:space="0" w:color="auto"/>
                        <w:bottom w:val="none" w:sz="0" w:space="0" w:color="auto"/>
                        <w:right w:val="none" w:sz="0" w:space="0" w:color="auto"/>
                      </w:divBdr>
                      <w:divsChild>
                        <w:div w:id="487064707">
                          <w:marLeft w:val="0"/>
                          <w:marRight w:val="0"/>
                          <w:marTop w:val="0"/>
                          <w:marBottom w:val="0"/>
                          <w:divBdr>
                            <w:top w:val="none" w:sz="0" w:space="0" w:color="auto"/>
                            <w:left w:val="none" w:sz="0" w:space="0" w:color="auto"/>
                            <w:bottom w:val="none" w:sz="0" w:space="0" w:color="auto"/>
                            <w:right w:val="none" w:sz="0" w:space="0" w:color="auto"/>
                          </w:divBdr>
                          <w:divsChild>
                            <w:div w:id="1005673259">
                              <w:marLeft w:val="-225"/>
                              <w:marRight w:val="-225"/>
                              <w:marTop w:val="0"/>
                              <w:marBottom w:val="0"/>
                              <w:divBdr>
                                <w:top w:val="none" w:sz="0" w:space="0" w:color="auto"/>
                                <w:left w:val="none" w:sz="0" w:space="0" w:color="auto"/>
                                <w:bottom w:val="none" w:sz="0" w:space="0" w:color="auto"/>
                                <w:right w:val="none" w:sz="0" w:space="0" w:color="auto"/>
                              </w:divBdr>
                              <w:divsChild>
                                <w:div w:id="1111507784">
                                  <w:marLeft w:val="0"/>
                                  <w:marRight w:val="0"/>
                                  <w:marTop w:val="0"/>
                                  <w:marBottom w:val="0"/>
                                  <w:divBdr>
                                    <w:top w:val="none" w:sz="0" w:space="0" w:color="auto"/>
                                    <w:left w:val="none" w:sz="0" w:space="0" w:color="auto"/>
                                    <w:bottom w:val="none" w:sz="0" w:space="0" w:color="auto"/>
                                    <w:right w:val="none" w:sz="0" w:space="0" w:color="auto"/>
                                  </w:divBdr>
                                  <w:divsChild>
                                    <w:div w:id="175459278">
                                      <w:marLeft w:val="-225"/>
                                      <w:marRight w:val="-225"/>
                                      <w:marTop w:val="0"/>
                                      <w:marBottom w:val="1125"/>
                                      <w:divBdr>
                                        <w:top w:val="none" w:sz="0" w:space="0" w:color="auto"/>
                                        <w:left w:val="none" w:sz="0" w:space="0" w:color="auto"/>
                                        <w:bottom w:val="none" w:sz="0" w:space="0" w:color="auto"/>
                                        <w:right w:val="none" w:sz="0" w:space="0" w:color="auto"/>
                                      </w:divBdr>
                                      <w:divsChild>
                                        <w:div w:id="180541831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366185">
      <w:bodyDiv w:val="1"/>
      <w:marLeft w:val="0"/>
      <w:marRight w:val="0"/>
      <w:marTop w:val="0"/>
      <w:marBottom w:val="0"/>
      <w:divBdr>
        <w:top w:val="none" w:sz="0" w:space="0" w:color="auto"/>
        <w:left w:val="none" w:sz="0" w:space="0" w:color="auto"/>
        <w:bottom w:val="none" w:sz="0" w:space="0" w:color="auto"/>
        <w:right w:val="none" w:sz="0" w:space="0" w:color="auto"/>
      </w:divBdr>
    </w:div>
    <w:div w:id="1538196899">
      <w:bodyDiv w:val="1"/>
      <w:marLeft w:val="0"/>
      <w:marRight w:val="0"/>
      <w:marTop w:val="0"/>
      <w:marBottom w:val="0"/>
      <w:divBdr>
        <w:top w:val="none" w:sz="0" w:space="0" w:color="auto"/>
        <w:left w:val="none" w:sz="0" w:space="0" w:color="auto"/>
        <w:bottom w:val="none" w:sz="0" w:space="0" w:color="auto"/>
        <w:right w:val="none" w:sz="0" w:space="0" w:color="auto"/>
      </w:divBdr>
    </w:div>
    <w:div w:id="1715808569">
      <w:bodyDiv w:val="1"/>
      <w:marLeft w:val="0"/>
      <w:marRight w:val="0"/>
      <w:marTop w:val="0"/>
      <w:marBottom w:val="0"/>
      <w:divBdr>
        <w:top w:val="none" w:sz="0" w:space="0" w:color="auto"/>
        <w:left w:val="none" w:sz="0" w:space="0" w:color="auto"/>
        <w:bottom w:val="none" w:sz="0" w:space="0" w:color="auto"/>
        <w:right w:val="none" w:sz="0" w:space="0" w:color="auto"/>
      </w:divBdr>
    </w:div>
    <w:div w:id="1718621043">
      <w:bodyDiv w:val="1"/>
      <w:marLeft w:val="0"/>
      <w:marRight w:val="0"/>
      <w:marTop w:val="0"/>
      <w:marBottom w:val="0"/>
      <w:divBdr>
        <w:top w:val="none" w:sz="0" w:space="0" w:color="auto"/>
        <w:left w:val="none" w:sz="0" w:space="0" w:color="auto"/>
        <w:bottom w:val="none" w:sz="0" w:space="0" w:color="auto"/>
        <w:right w:val="none" w:sz="0" w:space="0" w:color="auto"/>
      </w:divBdr>
      <w:divsChild>
        <w:div w:id="199585552">
          <w:marLeft w:val="0"/>
          <w:marRight w:val="0"/>
          <w:marTop w:val="0"/>
          <w:marBottom w:val="0"/>
          <w:divBdr>
            <w:top w:val="none" w:sz="0" w:space="0" w:color="auto"/>
            <w:left w:val="none" w:sz="0" w:space="0" w:color="auto"/>
            <w:bottom w:val="none" w:sz="0" w:space="0" w:color="auto"/>
            <w:right w:val="none" w:sz="0" w:space="0" w:color="auto"/>
          </w:divBdr>
          <w:divsChild>
            <w:div w:id="253976890">
              <w:marLeft w:val="-225"/>
              <w:marRight w:val="-225"/>
              <w:marTop w:val="0"/>
              <w:marBottom w:val="0"/>
              <w:divBdr>
                <w:top w:val="none" w:sz="0" w:space="0" w:color="auto"/>
                <w:left w:val="none" w:sz="0" w:space="0" w:color="auto"/>
                <w:bottom w:val="none" w:sz="0" w:space="0" w:color="auto"/>
                <w:right w:val="none" w:sz="0" w:space="0" w:color="auto"/>
              </w:divBdr>
              <w:divsChild>
                <w:div w:id="1260719676">
                  <w:marLeft w:val="0"/>
                  <w:marRight w:val="0"/>
                  <w:marTop w:val="0"/>
                  <w:marBottom w:val="0"/>
                  <w:divBdr>
                    <w:top w:val="none" w:sz="0" w:space="0" w:color="auto"/>
                    <w:left w:val="none" w:sz="0" w:space="0" w:color="auto"/>
                    <w:bottom w:val="none" w:sz="0" w:space="0" w:color="auto"/>
                    <w:right w:val="none" w:sz="0" w:space="0" w:color="auto"/>
                  </w:divBdr>
                  <w:divsChild>
                    <w:div w:id="1956133317">
                      <w:marLeft w:val="-225"/>
                      <w:marRight w:val="-225"/>
                      <w:marTop w:val="0"/>
                      <w:marBottom w:val="0"/>
                      <w:divBdr>
                        <w:top w:val="none" w:sz="0" w:space="0" w:color="auto"/>
                        <w:left w:val="none" w:sz="0" w:space="0" w:color="auto"/>
                        <w:bottom w:val="none" w:sz="0" w:space="0" w:color="auto"/>
                        <w:right w:val="none" w:sz="0" w:space="0" w:color="auto"/>
                      </w:divBdr>
                      <w:divsChild>
                        <w:div w:id="680086963">
                          <w:marLeft w:val="0"/>
                          <w:marRight w:val="0"/>
                          <w:marTop w:val="0"/>
                          <w:marBottom w:val="0"/>
                          <w:divBdr>
                            <w:top w:val="none" w:sz="0" w:space="0" w:color="auto"/>
                            <w:left w:val="none" w:sz="0" w:space="0" w:color="auto"/>
                            <w:bottom w:val="none" w:sz="0" w:space="0" w:color="auto"/>
                            <w:right w:val="none" w:sz="0" w:space="0" w:color="auto"/>
                          </w:divBdr>
                          <w:divsChild>
                            <w:div w:id="1147938269">
                              <w:marLeft w:val="-225"/>
                              <w:marRight w:val="-225"/>
                              <w:marTop w:val="0"/>
                              <w:marBottom w:val="0"/>
                              <w:divBdr>
                                <w:top w:val="none" w:sz="0" w:space="0" w:color="auto"/>
                                <w:left w:val="none" w:sz="0" w:space="0" w:color="auto"/>
                                <w:bottom w:val="none" w:sz="0" w:space="0" w:color="auto"/>
                                <w:right w:val="none" w:sz="0" w:space="0" w:color="auto"/>
                              </w:divBdr>
                              <w:divsChild>
                                <w:div w:id="415245183">
                                  <w:marLeft w:val="0"/>
                                  <w:marRight w:val="0"/>
                                  <w:marTop w:val="0"/>
                                  <w:marBottom w:val="0"/>
                                  <w:divBdr>
                                    <w:top w:val="none" w:sz="0" w:space="0" w:color="auto"/>
                                    <w:left w:val="none" w:sz="0" w:space="0" w:color="auto"/>
                                    <w:bottom w:val="none" w:sz="0" w:space="0" w:color="auto"/>
                                    <w:right w:val="none" w:sz="0" w:space="0" w:color="auto"/>
                                  </w:divBdr>
                                  <w:divsChild>
                                    <w:div w:id="887882282">
                                      <w:marLeft w:val="-225"/>
                                      <w:marRight w:val="-225"/>
                                      <w:marTop w:val="0"/>
                                      <w:marBottom w:val="1125"/>
                                      <w:divBdr>
                                        <w:top w:val="none" w:sz="0" w:space="0" w:color="auto"/>
                                        <w:left w:val="none" w:sz="0" w:space="0" w:color="auto"/>
                                        <w:bottom w:val="none" w:sz="0" w:space="0" w:color="auto"/>
                                        <w:right w:val="none" w:sz="0" w:space="0" w:color="auto"/>
                                      </w:divBdr>
                                      <w:divsChild>
                                        <w:div w:id="69959818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243502">
      <w:bodyDiv w:val="1"/>
      <w:marLeft w:val="0"/>
      <w:marRight w:val="0"/>
      <w:marTop w:val="0"/>
      <w:marBottom w:val="0"/>
      <w:divBdr>
        <w:top w:val="none" w:sz="0" w:space="0" w:color="auto"/>
        <w:left w:val="none" w:sz="0" w:space="0" w:color="auto"/>
        <w:bottom w:val="none" w:sz="0" w:space="0" w:color="auto"/>
        <w:right w:val="none" w:sz="0" w:space="0" w:color="auto"/>
      </w:divBdr>
    </w:div>
    <w:div w:id="1843004922">
      <w:bodyDiv w:val="1"/>
      <w:marLeft w:val="0"/>
      <w:marRight w:val="0"/>
      <w:marTop w:val="0"/>
      <w:marBottom w:val="0"/>
      <w:divBdr>
        <w:top w:val="none" w:sz="0" w:space="0" w:color="auto"/>
        <w:left w:val="none" w:sz="0" w:space="0" w:color="auto"/>
        <w:bottom w:val="none" w:sz="0" w:space="0" w:color="auto"/>
        <w:right w:val="none" w:sz="0" w:space="0" w:color="auto"/>
      </w:divBdr>
    </w:div>
    <w:div w:id="1848058113">
      <w:bodyDiv w:val="1"/>
      <w:marLeft w:val="0"/>
      <w:marRight w:val="0"/>
      <w:marTop w:val="0"/>
      <w:marBottom w:val="0"/>
      <w:divBdr>
        <w:top w:val="none" w:sz="0" w:space="0" w:color="auto"/>
        <w:left w:val="none" w:sz="0" w:space="0" w:color="auto"/>
        <w:bottom w:val="none" w:sz="0" w:space="0" w:color="auto"/>
        <w:right w:val="none" w:sz="0" w:space="0" w:color="auto"/>
      </w:divBdr>
    </w:div>
    <w:div w:id="1876770677">
      <w:bodyDiv w:val="1"/>
      <w:marLeft w:val="0"/>
      <w:marRight w:val="0"/>
      <w:marTop w:val="0"/>
      <w:marBottom w:val="0"/>
      <w:divBdr>
        <w:top w:val="none" w:sz="0" w:space="0" w:color="auto"/>
        <w:left w:val="none" w:sz="0" w:space="0" w:color="auto"/>
        <w:bottom w:val="none" w:sz="0" w:space="0" w:color="auto"/>
        <w:right w:val="none" w:sz="0" w:space="0" w:color="auto"/>
      </w:divBdr>
    </w:div>
    <w:div w:id="1969629572">
      <w:bodyDiv w:val="1"/>
      <w:marLeft w:val="0"/>
      <w:marRight w:val="0"/>
      <w:marTop w:val="0"/>
      <w:marBottom w:val="0"/>
      <w:divBdr>
        <w:top w:val="none" w:sz="0" w:space="0" w:color="auto"/>
        <w:left w:val="none" w:sz="0" w:space="0" w:color="auto"/>
        <w:bottom w:val="none" w:sz="0" w:space="0" w:color="auto"/>
        <w:right w:val="none" w:sz="0" w:space="0" w:color="auto"/>
      </w:divBdr>
    </w:div>
    <w:div w:id="1975258827">
      <w:bodyDiv w:val="1"/>
      <w:marLeft w:val="0"/>
      <w:marRight w:val="0"/>
      <w:marTop w:val="0"/>
      <w:marBottom w:val="0"/>
      <w:divBdr>
        <w:top w:val="none" w:sz="0" w:space="0" w:color="auto"/>
        <w:left w:val="none" w:sz="0" w:space="0" w:color="auto"/>
        <w:bottom w:val="none" w:sz="0" w:space="0" w:color="auto"/>
        <w:right w:val="none" w:sz="0" w:space="0" w:color="auto"/>
      </w:divBdr>
    </w:div>
    <w:div w:id="2045710242">
      <w:bodyDiv w:val="1"/>
      <w:marLeft w:val="0"/>
      <w:marRight w:val="0"/>
      <w:marTop w:val="0"/>
      <w:marBottom w:val="0"/>
      <w:divBdr>
        <w:top w:val="none" w:sz="0" w:space="0" w:color="auto"/>
        <w:left w:val="none" w:sz="0" w:space="0" w:color="auto"/>
        <w:bottom w:val="none" w:sz="0" w:space="0" w:color="auto"/>
        <w:right w:val="none" w:sz="0" w:space="0" w:color="auto"/>
      </w:divBdr>
    </w:div>
    <w:div w:id="213571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footer3.xml" Type="http://schemas.openxmlformats.org/officeDocument/2006/relationships/footer" Id="rId13"></Relationship><Relationship Target="styles.xml" Type="http://schemas.openxmlformats.org/officeDocument/2006/relationships/styles" Id="rId3"></Relationship><Relationship Target="endnotes.xml" Type="http://schemas.openxmlformats.org/officeDocument/2006/relationships/endnotes" Id="rId7"></Relationship><Relationship Target="header3.xml" Type="http://schemas.openxmlformats.org/officeDocument/2006/relationships/header"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theme/theme1.xml" Type="http://schemas.openxmlformats.org/officeDocument/2006/relationships/theme" Id="rId15"></Relationship><Relationship Target="footer1.xml" Type="http://schemas.openxmlformats.org/officeDocument/2006/relationships/footer" Id="rId10"></Relationship><Relationship Target="settings.xml" Type="http://schemas.openxmlformats.org/officeDocument/2006/relationships/settings" Id="rId4"></Relationship><Relationship Target="header2.xml" Type="http://schemas.openxmlformats.org/officeDocument/2006/relationships/header" Id="rId9"></Relationship><Relationship Target="fontTable.xml" Type="http://schemas.openxmlformats.org/officeDocument/2006/relationships/fontTable" Id="rId14"></Relationship></Relationships>
</file>

<file path=word/_rels/footnotes.xml.rels><?xml version="1.0" encoding="UTF-8" ?><Relationships xmlns="http://schemas.openxmlformats.org/package/2006/relationships"><Relationship TargetMode="External" Target="http://portal.te.gob.mx/colecciones/sentencias/html/SUP/2008/JRC/SUP-JRC-00146-2008.htm" Type="http://schemas.openxmlformats.org/officeDocument/2006/relationships/hyperlink" Id="rId2"></Relationship><Relationship TargetMode="External" Target="http://portal.te.gob.mx/colecciones/sentencias/html/SUP/2009/JRC/SUP-JRC-00068-2009.htm" Type="http://schemas.openxmlformats.org/officeDocument/2006/relationships/hyperlink" Id="rId1"></Relationship></Relationships>
</file>

<file path=word/_rels/header2.xml.rels><?xml version="1.0" encoding="UTF-8" ?><Relationships xmlns="http://schemas.openxmlformats.org/package/2006/relationships"><Relationship Target="media/image1.png" Type="http://schemas.openxmlformats.org/officeDocument/2006/relationships/image" Id="rId1"></Relationship></Relationships>
</file>

<file path=word/_rels/header3.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BEBBA-D24D-48EF-9FF5-E7028DFD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3136</Words>
  <Characters>17252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Isaías Trejo Sánchez</dc:creator>
  <cp:keywords/>
  <dc:description/>
  <cp:lastModifiedBy>Daniel Alejandro García López</cp:lastModifiedBy>
  <cp:revision>3</cp:revision>
  <cp:lastPrinted>2020-03-11T17:44:00Z</cp:lastPrinted>
  <dcterms:created xsi:type="dcterms:W3CDTF">2020-07-15T23:21:00Z</dcterms:created>
  <dcterms:modified xsi:type="dcterms:W3CDTF">2020-07-15T23:24:00Z</dcterms:modified>
</cp:coreProperties>
</file>