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575" w:rsidRDefault="000473F1" w:rsidP="0068625D">
      <w:pPr>
        <w:spacing w:before="100" w:beforeAutospacing="1" w:after="100" w:afterAutospacing="1"/>
        <w:jc w:val="both"/>
        <w:rPr>
          <w:rFonts w:cs="Arial"/>
          <w:b/>
          <w:sz w:val="24"/>
          <w:szCs w:val="24"/>
        </w:rPr>
      </w:pPr>
      <w:r w:rsidRPr="005B7575">
        <w:rPr>
          <w:noProof/>
        </w:rPr>
        <w:drawing>
          <wp:anchor distT="0" distB="0" distL="114300" distR="114300" simplePos="0" relativeHeight="251659264" behindDoc="0" locked="0" layoutInCell="1" allowOverlap="1" wp14:anchorId="6BB8D03B" wp14:editId="2C19459F">
            <wp:simplePos x="0" y="0"/>
            <wp:positionH relativeFrom="page">
              <wp:posOffset>514681</wp:posOffset>
            </wp:positionH>
            <wp:positionV relativeFrom="paragraph">
              <wp:posOffset>352425</wp:posOffset>
            </wp:positionV>
            <wp:extent cx="6609715" cy="8622665"/>
            <wp:effectExtent l="0" t="0" r="63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9715" cy="862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575" w:rsidRDefault="005B7575"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noProof/>
        </w:rPr>
      </w:pPr>
    </w:p>
    <w:p w:rsidR="000473F1" w:rsidRDefault="000473F1" w:rsidP="00571C4D">
      <w:pPr>
        <w:spacing w:before="100" w:beforeAutospacing="1" w:after="100" w:afterAutospacing="1"/>
        <w:jc w:val="both"/>
        <w:rPr>
          <w:rFonts w:cs="Arial"/>
          <w:b/>
          <w:sz w:val="24"/>
          <w:szCs w:val="24"/>
        </w:rPr>
      </w:pPr>
    </w:p>
    <w:p w:rsidR="00571C4D" w:rsidRDefault="00571C4D" w:rsidP="00571C4D">
      <w:pPr>
        <w:spacing w:before="100" w:beforeAutospacing="1" w:after="100" w:afterAutospacing="1"/>
        <w:jc w:val="both"/>
        <w:rPr>
          <w:rFonts w:cs="Arial"/>
          <w:b/>
          <w:sz w:val="24"/>
          <w:szCs w:val="24"/>
        </w:rPr>
      </w:pPr>
    </w:p>
    <w:p w:rsidR="00571C4D" w:rsidRDefault="00571C4D" w:rsidP="00571C4D">
      <w:pPr>
        <w:spacing w:before="100" w:beforeAutospacing="1" w:after="100" w:afterAutospacing="1"/>
        <w:jc w:val="both"/>
        <w:rPr>
          <w:rFonts w:cs="Arial"/>
          <w:b/>
          <w:sz w:val="24"/>
          <w:szCs w:val="24"/>
        </w:rPr>
        <w:sectPr w:rsidR="00571C4D" w:rsidSect="00571C4D">
          <w:headerReference w:type="even" r:id="rId12"/>
          <w:headerReference w:type="default" r:id="rId13"/>
          <w:footerReference w:type="even" r:id="rId14"/>
          <w:footerReference w:type="default" r:id="rId15"/>
          <w:footerReference w:type="first" r:id="rId16"/>
          <w:pgSz w:w="12240" w:h="18720" w:code="14"/>
          <w:pgMar w:top="567" w:right="474" w:bottom="1418" w:left="426" w:header="1559" w:footer="907" w:gutter="0"/>
          <w:pgNumType w:start="1"/>
          <w:cols w:space="708"/>
          <w:titlePg/>
          <w:docGrid w:linePitch="360"/>
        </w:sectPr>
      </w:pPr>
    </w:p>
    <w:p w:rsidR="004D5F2C" w:rsidRPr="002C0C73" w:rsidRDefault="00D41F45" w:rsidP="00220688">
      <w:pPr>
        <w:spacing w:before="100" w:beforeAutospacing="1" w:after="100" w:afterAutospacing="1"/>
        <w:ind w:left="3119"/>
        <w:jc w:val="both"/>
        <w:rPr>
          <w:rFonts w:cs="Arial"/>
          <w:bCs/>
          <w:sz w:val="24"/>
          <w:szCs w:val="24"/>
        </w:rPr>
      </w:pPr>
      <w:bookmarkStart w:id="0" w:name="_GoBack"/>
      <w:bookmarkEnd w:id="0"/>
      <w:r w:rsidRPr="002C0C73">
        <w:rPr>
          <w:rFonts w:cs="Arial"/>
          <w:b/>
          <w:sz w:val="24"/>
          <w:szCs w:val="24"/>
        </w:rPr>
        <w:lastRenderedPageBreak/>
        <w:t>EXPEDIENTE</w:t>
      </w:r>
      <w:r w:rsidR="00E44D7B" w:rsidRPr="002C0C73">
        <w:rPr>
          <w:rFonts w:cs="Arial"/>
          <w:b/>
          <w:sz w:val="24"/>
          <w:szCs w:val="24"/>
        </w:rPr>
        <w:t>S</w:t>
      </w:r>
      <w:r w:rsidRPr="002C0C73">
        <w:rPr>
          <w:rFonts w:cs="Arial"/>
          <w:b/>
          <w:sz w:val="24"/>
          <w:szCs w:val="24"/>
        </w:rPr>
        <w:t>:</w:t>
      </w:r>
      <w:r w:rsidR="007E4B9B" w:rsidRPr="002C0C73">
        <w:rPr>
          <w:rFonts w:cs="Arial"/>
          <w:b/>
          <w:sz w:val="24"/>
          <w:szCs w:val="24"/>
        </w:rPr>
        <w:t xml:space="preserve"> </w:t>
      </w:r>
      <w:r w:rsidR="004D5F2C" w:rsidRPr="002C0C73">
        <w:rPr>
          <w:rFonts w:cs="Arial"/>
          <w:sz w:val="24"/>
          <w:szCs w:val="24"/>
        </w:rPr>
        <w:t>SUP-J</w:t>
      </w:r>
      <w:r w:rsidR="006B1DD5" w:rsidRPr="002C0C73">
        <w:rPr>
          <w:rFonts w:cs="Arial"/>
          <w:sz w:val="24"/>
          <w:szCs w:val="24"/>
        </w:rPr>
        <w:t>DC</w:t>
      </w:r>
      <w:r w:rsidR="004D5F2C" w:rsidRPr="002C0C73">
        <w:rPr>
          <w:rFonts w:cs="Arial"/>
          <w:sz w:val="24"/>
          <w:szCs w:val="24"/>
        </w:rPr>
        <w:t>-</w:t>
      </w:r>
      <w:r w:rsidR="006B1DD5" w:rsidRPr="002C0C73">
        <w:rPr>
          <w:rFonts w:cs="Arial"/>
          <w:sz w:val="24"/>
          <w:szCs w:val="24"/>
        </w:rPr>
        <w:t>742</w:t>
      </w:r>
      <w:r w:rsidR="004D5F2C" w:rsidRPr="002C0C73">
        <w:rPr>
          <w:rFonts w:cs="Arial"/>
          <w:sz w:val="24"/>
          <w:szCs w:val="24"/>
        </w:rPr>
        <w:t>/2020</w:t>
      </w:r>
      <w:r w:rsidR="00B54F1C" w:rsidRPr="002C0C73">
        <w:rPr>
          <w:rFonts w:cs="Arial"/>
          <w:sz w:val="24"/>
          <w:szCs w:val="24"/>
        </w:rPr>
        <w:t xml:space="preserve"> Y ACUMULADO</w:t>
      </w:r>
      <w:r w:rsidR="00CF7A21" w:rsidRPr="002C0C73">
        <w:rPr>
          <w:rFonts w:cs="Arial"/>
          <w:sz w:val="24"/>
          <w:szCs w:val="24"/>
        </w:rPr>
        <w:t>S</w:t>
      </w:r>
    </w:p>
    <w:p w:rsidR="00D41F45" w:rsidRPr="002C0C73" w:rsidRDefault="00D41F45" w:rsidP="00220688">
      <w:pPr>
        <w:spacing w:before="100" w:beforeAutospacing="1" w:after="100" w:afterAutospacing="1"/>
        <w:ind w:left="3119"/>
        <w:jc w:val="both"/>
        <w:rPr>
          <w:rFonts w:cs="Arial"/>
          <w:sz w:val="24"/>
          <w:szCs w:val="24"/>
        </w:rPr>
      </w:pPr>
      <w:r w:rsidRPr="002C0C73">
        <w:rPr>
          <w:rFonts w:cs="Arial"/>
          <w:b/>
          <w:sz w:val="24"/>
          <w:szCs w:val="24"/>
        </w:rPr>
        <w:t>PONENTE:</w:t>
      </w:r>
      <w:r w:rsidRPr="002C0C73">
        <w:rPr>
          <w:rFonts w:cs="Arial"/>
          <w:bCs/>
          <w:sz w:val="24"/>
          <w:szCs w:val="24"/>
        </w:rPr>
        <w:t xml:space="preserve"> </w:t>
      </w:r>
      <w:r w:rsidR="002365D7" w:rsidRPr="002C0C73">
        <w:rPr>
          <w:rFonts w:cs="Arial"/>
          <w:bCs/>
          <w:sz w:val="24"/>
          <w:szCs w:val="24"/>
        </w:rPr>
        <w:t xml:space="preserve">MAGISTRADO </w:t>
      </w:r>
      <w:r w:rsidRPr="002C0C73">
        <w:rPr>
          <w:rFonts w:cs="Arial"/>
          <w:sz w:val="24"/>
          <w:szCs w:val="24"/>
        </w:rPr>
        <w:t>FELIPE DE LA MATA PIZAÑA</w:t>
      </w:r>
      <w:r w:rsidR="00C570FA" w:rsidRPr="002C0C73">
        <w:rPr>
          <w:rStyle w:val="Refdenotaalpie"/>
          <w:rFonts w:cs="Arial"/>
          <w:sz w:val="24"/>
          <w:szCs w:val="24"/>
        </w:rPr>
        <w:footnoteReference w:id="1"/>
      </w:r>
    </w:p>
    <w:p w:rsidR="00D41F45" w:rsidRPr="002C0C73" w:rsidRDefault="00512951" w:rsidP="003D6032">
      <w:pPr>
        <w:spacing w:before="100" w:beforeAutospacing="1" w:after="100" w:afterAutospacing="1" w:line="360" w:lineRule="auto"/>
        <w:jc w:val="both"/>
        <w:rPr>
          <w:rFonts w:eastAsia="Times New Roman" w:cs="Arial"/>
          <w:sz w:val="24"/>
          <w:szCs w:val="24"/>
          <w:lang w:eastAsia="es-MX"/>
        </w:rPr>
      </w:pPr>
      <w:r w:rsidRPr="002C0C73">
        <w:rPr>
          <w:rFonts w:eastAsia="Times New Roman" w:cs="Arial"/>
          <w:sz w:val="24"/>
          <w:szCs w:val="24"/>
          <w:lang w:eastAsia="es-MX"/>
        </w:rPr>
        <w:t>Ciudad de M</w:t>
      </w:r>
      <w:r w:rsidR="00AA7267" w:rsidRPr="002C0C73">
        <w:rPr>
          <w:rFonts w:eastAsia="Times New Roman" w:cs="Arial"/>
          <w:sz w:val="24"/>
          <w:szCs w:val="24"/>
          <w:lang w:eastAsia="es-MX"/>
        </w:rPr>
        <w:t>éxico,</w:t>
      </w:r>
      <w:r w:rsidR="00C570FA" w:rsidRPr="002C0C73">
        <w:rPr>
          <w:rFonts w:eastAsia="Times New Roman" w:cs="Arial"/>
          <w:sz w:val="24"/>
          <w:szCs w:val="24"/>
          <w:lang w:eastAsia="es-MX"/>
        </w:rPr>
        <w:t xml:space="preserve"> </w:t>
      </w:r>
      <w:r w:rsidR="000A3B1E" w:rsidRPr="002C0C73">
        <w:rPr>
          <w:rFonts w:eastAsia="Times New Roman" w:cs="Arial"/>
          <w:sz w:val="24"/>
          <w:szCs w:val="24"/>
          <w:lang w:eastAsia="es-MX"/>
        </w:rPr>
        <w:t xml:space="preserve">veinticuatro </w:t>
      </w:r>
      <w:r w:rsidR="007E4B9B" w:rsidRPr="002C0C73">
        <w:rPr>
          <w:rFonts w:eastAsia="Times New Roman" w:cs="Arial"/>
          <w:sz w:val="24"/>
          <w:szCs w:val="24"/>
          <w:lang w:eastAsia="es-MX"/>
        </w:rPr>
        <w:t>de</w:t>
      </w:r>
      <w:r w:rsidR="006B1DD5" w:rsidRPr="002C0C73">
        <w:rPr>
          <w:rFonts w:eastAsia="Times New Roman" w:cs="Arial"/>
          <w:sz w:val="24"/>
          <w:szCs w:val="24"/>
          <w:lang w:eastAsia="es-MX"/>
        </w:rPr>
        <w:t xml:space="preserve"> junio</w:t>
      </w:r>
      <w:r w:rsidR="00CD430B" w:rsidRPr="002C0C73">
        <w:rPr>
          <w:rFonts w:eastAsia="Times New Roman" w:cs="Arial"/>
          <w:sz w:val="24"/>
          <w:szCs w:val="24"/>
          <w:lang w:eastAsia="es-MX"/>
        </w:rPr>
        <w:t xml:space="preserve"> </w:t>
      </w:r>
      <w:r w:rsidR="00D41F45" w:rsidRPr="002C0C73">
        <w:rPr>
          <w:rFonts w:eastAsia="Times New Roman" w:cs="Arial"/>
          <w:sz w:val="24"/>
          <w:szCs w:val="24"/>
          <w:lang w:eastAsia="es-MX"/>
        </w:rPr>
        <w:t xml:space="preserve">de dos mil </w:t>
      </w:r>
      <w:r w:rsidR="00B0238E" w:rsidRPr="002C0C73">
        <w:rPr>
          <w:rFonts w:eastAsia="Times New Roman" w:cs="Arial"/>
          <w:sz w:val="24"/>
          <w:szCs w:val="24"/>
          <w:lang w:eastAsia="es-MX"/>
        </w:rPr>
        <w:t>veinte</w:t>
      </w:r>
      <w:r w:rsidR="00D41F45" w:rsidRPr="002C0C73">
        <w:rPr>
          <w:rFonts w:eastAsia="Times New Roman" w:cs="Arial"/>
          <w:sz w:val="24"/>
          <w:szCs w:val="24"/>
          <w:lang w:eastAsia="es-MX"/>
        </w:rPr>
        <w:t>.</w:t>
      </w:r>
    </w:p>
    <w:p w:rsidR="00F80423" w:rsidRPr="002C0C73" w:rsidRDefault="00516968" w:rsidP="003D6032">
      <w:pPr>
        <w:spacing w:before="100" w:beforeAutospacing="1" w:after="100" w:afterAutospacing="1" w:line="360" w:lineRule="auto"/>
        <w:mirrorIndents/>
        <w:jc w:val="both"/>
        <w:rPr>
          <w:rFonts w:cs="Arial"/>
          <w:sz w:val="24"/>
          <w:szCs w:val="24"/>
        </w:rPr>
      </w:pPr>
      <w:r w:rsidRPr="002C0C73">
        <w:rPr>
          <w:rFonts w:eastAsia="Times New Roman" w:cs="Arial"/>
          <w:b/>
          <w:sz w:val="24"/>
          <w:szCs w:val="24"/>
          <w:lang w:eastAsia="es-MX"/>
        </w:rPr>
        <w:t xml:space="preserve">Sentencia </w:t>
      </w:r>
      <w:r w:rsidRPr="002C0C73">
        <w:rPr>
          <w:rFonts w:eastAsia="Times New Roman" w:cs="Arial"/>
          <w:sz w:val="24"/>
          <w:szCs w:val="24"/>
          <w:lang w:eastAsia="es-MX"/>
        </w:rPr>
        <w:t>que</w:t>
      </w:r>
      <w:r w:rsidR="001A7E4F" w:rsidRPr="002C0C73">
        <w:rPr>
          <w:rFonts w:eastAsia="Times New Roman" w:cs="Arial"/>
          <w:sz w:val="24"/>
          <w:szCs w:val="24"/>
          <w:lang w:eastAsia="es-MX"/>
        </w:rPr>
        <w:t xml:space="preserve"> </w:t>
      </w:r>
      <w:r w:rsidR="00FE080A" w:rsidRPr="002C0C73">
        <w:rPr>
          <w:rFonts w:eastAsia="Times New Roman" w:cs="Arial"/>
          <w:b/>
          <w:sz w:val="24"/>
          <w:szCs w:val="24"/>
          <w:lang w:eastAsia="es-MX"/>
        </w:rPr>
        <w:t>modifica</w:t>
      </w:r>
      <w:r w:rsidR="00322A00" w:rsidRPr="002C0C73">
        <w:rPr>
          <w:rFonts w:eastAsia="Times New Roman" w:cs="Arial"/>
          <w:bCs/>
          <w:sz w:val="24"/>
          <w:szCs w:val="24"/>
          <w:lang w:eastAsia="es-MX"/>
        </w:rPr>
        <w:t xml:space="preserve"> </w:t>
      </w:r>
      <w:r w:rsidR="00322A00" w:rsidRPr="002C0C73">
        <w:rPr>
          <w:rFonts w:eastAsia="Times New Roman" w:cs="Arial"/>
          <w:sz w:val="24"/>
          <w:szCs w:val="24"/>
          <w:lang w:eastAsia="es-MX"/>
        </w:rPr>
        <w:t>e</w:t>
      </w:r>
      <w:r w:rsidRPr="002C0C73">
        <w:rPr>
          <w:rFonts w:eastAsia="Times New Roman" w:cs="Arial"/>
          <w:sz w:val="24"/>
          <w:szCs w:val="24"/>
          <w:lang w:eastAsia="es-MX"/>
        </w:rPr>
        <w:t>l</w:t>
      </w:r>
      <w:r w:rsidR="004D5F2C" w:rsidRPr="002C0C73">
        <w:rPr>
          <w:rFonts w:eastAsia="Times New Roman" w:cs="Arial"/>
          <w:sz w:val="24"/>
          <w:szCs w:val="24"/>
          <w:lang w:eastAsia="es-MX"/>
        </w:rPr>
        <w:t xml:space="preserve"> acuerdo </w:t>
      </w:r>
      <w:r w:rsidR="00444F6E" w:rsidRPr="002C0C73">
        <w:rPr>
          <w:rFonts w:eastAsia="Times New Roman" w:cs="Arial"/>
          <w:sz w:val="24"/>
          <w:szCs w:val="24"/>
          <w:lang w:eastAsia="es-MX"/>
        </w:rPr>
        <w:t xml:space="preserve">emitido por el </w:t>
      </w:r>
      <w:r w:rsidR="006B1DD5" w:rsidRPr="002C0C73">
        <w:rPr>
          <w:rFonts w:eastAsia="Times New Roman" w:cs="Arial"/>
          <w:bCs/>
          <w:sz w:val="24"/>
          <w:szCs w:val="24"/>
          <w:lang w:eastAsia="es-MX"/>
        </w:rPr>
        <w:t xml:space="preserve">Consejo General </w:t>
      </w:r>
      <w:r w:rsidR="00B405B6" w:rsidRPr="002C0C73">
        <w:rPr>
          <w:rFonts w:eastAsia="Times New Roman" w:cs="Arial"/>
          <w:bCs/>
          <w:sz w:val="24"/>
          <w:szCs w:val="24"/>
          <w:lang w:eastAsia="es-MX"/>
        </w:rPr>
        <w:t>del Instituto</w:t>
      </w:r>
      <w:r w:rsidR="006B1DD5" w:rsidRPr="002C0C73">
        <w:rPr>
          <w:rFonts w:eastAsia="Times New Roman" w:cs="Arial"/>
          <w:bCs/>
          <w:sz w:val="24"/>
          <w:szCs w:val="24"/>
          <w:lang w:eastAsia="es-MX"/>
        </w:rPr>
        <w:t xml:space="preserve"> Nacional Electoral </w:t>
      </w:r>
      <w:r w:rsidR="00E44D7B" w:rsidRPr="002C0C73">
        <w:rPr>
          <w:rFonts w:eastAsia="Times New Roman" w:cs="Arial"/>
          <w:bCs/>
          <w:sz w:val="24"/>
          <w:szCs w:val="24"/>
          <w:lang w:eastAsia="es-MX"/>
        </w:rPr>
        <w:t>relativo a la</w:t>
      </w:r>
      <w:r w:rsidR="00E44D7B" w:rsidRPr="002C0C73">
        <w:rPr>
          <w:rFonts w:eastAsia="Times New Roman" w:cs="Arial"/>
          <w:b/>
          <w:sz w:val="24"/>
          <w:szCs w:val="24"/>
          <w:lang w:eastAsia="es-MX"/>
        </w:rPr>
        <w:t xml:space="preserve"> </w:t>
      </w:r>
      <w:r w:rsidR="00B405B6" w:rsidRPr="002C0C73">
        <w:rPr>
          <w:sz w:val="24"/>
          <w:szCs w:val="24"/>
        </w:rPr>
        <w:t>reanuda</w:t>
      </w:r>
      <w:r w:rsidR="009F089C" w:rsidRPr="002C0C73">
        <w:rPr>
          <w:sz w:val="24"/>
          <w:szCs w:val="24"/>
        </w:rPr>
        <w:t xml:space="preserve">ción de </w:t>
      </w:r>
      <w:r w:rsidR="00B405B6" w:rsidRPr="002C0C73">
        <w:rPr>
          <w:sz w:val="24"/>
          <w:szCs w:val="24"/>
        </w:rPr>
        <w:t xml:space="preserve">algunas actividades suspendidas con motivo de </w:t>
      </w:r>
      <w:r w:rsidR="00433C01" w:rsidRPr="002C0C73">
        <w:rPr>
          <w:sz w:val="24"/>
          <w:szCs w:val="24"/>
        </w:rPr>
        <w:t>la</w:t>
      </w:r>
      <w:r w:rsidR="000A3B1E" w:rsidRPr="002C0C73">
        <w:rPr>
          <w:sz w:val="24"/>
          <w:szCs w:val="24"/>
        </w:rPr>
        <w:t xml:space="preserve"> </w:t>
      </w:r>
      <w:r w:rsidR="00B405B6" w:rsidRPr="002C0C73">
        <w:rPr>
          <w:sz w:val="24"/>
          <w:szCs w:val="24"/>
        </w:rPr>
        <w:t>contingencia sanitaria derivad</w:t>
      </w:r>
      <w:r w:rsidR="009F089C" w:rsidRPr="002C0C73">
        <w:rPr>
          <w:sz w:val="24"/>
          <w:szCs w:val="24"/>
        </w:rPr>
        <w:t>a</w:t>
      </w:r>
      <w:r w:rsidR="00B405B6" w:rsidRPr="002C0C73">
        <w:rPr>
          <w:sz w:val="24"/>
          <w:szCs w:val="24"/>
        </w:rPr>
        <w:t xml:space="preserve"> de la pandemia del virus Covid-19, </w:t>
      </w:r>
      <w:r w:rsidR="00BB0D39" w:rsidRPr="002C0C73">
        <w:rPr>
          <w:sz w:val="24"/>
          <w:szCs w:val="24"/>
        </w:rPr>
        <w:t xml:space="preserve">respecto al </w:t>
      </w:r>
      <w:r w:rsidR="006B1DD5" w:rsidRPr="002C0C73">
        <w:rPr>
          <w:rFonts w:eastAsia="Times New Roman" w:cs="Arial"/>
          <w:sz w:val="24"/>
          <w:szCs w:val="24"/>
          <w:lang w:eastAsia="es-MX"/>
        </w:rPr>
        <w:t xml:space="preserve">procedimiento </w:t>
      </w:r>
      <w:r w:rsidR="005D4E83" w:rsidRPr="002C0C73">
        <w:rPr>
          <w:rFonts w:eastAsia="Times New Roman" w:cs="Arial"/>
          <w:sz w:val="24"/>
          <w:szCs w:val="24"/>
          <w:lang w:eastAsia="es-MX"/>
        </w:rPr>
        <w:t>de constitución de nuevos partidos políticos nacionales</w:t>
      </w:r>
      <w:r w:rsidR="00B405B6" w:rsidRPr="002C0C73">
        <w:rPr>
          <w:rFonts w:eastAsia="Times New Roman" w:cs="Arial"/>
          <w:sz w:val="24"/>
          <w:szCs w:val="24"/>
          <w:lang w:eastAsia="es-MX"/>
        </w:rPr>
        <w:t>.</w:t>
      </w:r>
    </w:p>
    <w:sdt>
      <w:sdtPr>
        <w:rPr>
          <w:rFonts w:ascii="Arial" w:eastAsiaTheme="minorHAnsi" w:hAnsi="Arial" w:cs="Arial"/>
          <w:b/>
          <w:color w:val="auto"/>
          <w:sz w:val="18"/>
          <w:szCs w:val="18"/>
          <w:lang w:val="es-ES" w:eastAsia="en-US"/>
        </w:rPr>
        <w:id w:val="-1362895272"/>
        <w:docPartObj>
          <w:docPartGallery w:val="Table of Contents"/>
          <w:docPartUnique/>
        </w:docPartObj>
      </w:sdtPr>
      <w:sdtEndPr>
        <w:rPr>
          <w:rFonts w:cstheme="minorBidi"/>
          <w:b w:val="0"/>
          <w:bCs/>
        </w:rPr>
      </w:sdtEndPr>
      <w:sdtContent>
        <w:p w:rsidR="00B953CB" w:rsidRPr="002C0C73" w:rsidRDefault="00B953CB" w:rsidP="007F56A0">
          <w:pPr>
            <w:pStyle w:val="TtuloTDC"/>
            <w:spacing w:before="0" w:line="240" w:lineRule="auto"/>
            <w:jc w:val="center"/>
            <w:rPr>
              <w:rFonts w:ascii="Arial" w:hAnsi="Arial" w:cs="Arial"/>
              <w:b/>
              <w:color w:val="auto"/>
              <w:sz w:val="18"/>
              <w:szCs w:val="18"/>
            </w:rPr>
          </w:pPr>
          <w:r w:rsidRPr="002C0C73">
            <w:rPr>
              <w:rFonts w:ascii="Arial" w:eastAsiaTheme="minorHAnsi" w:hAnsi="Arial" w:cs="Arial"/>
              <w:b/>
              <w:color w:val="auto"/>
              <w:sz w:val="18"/>
              <w:szCs w:val="18"/>
              <w:lang w:val="es-ES" w:eastAsia="en-US"/>
            </w:rPr>
            <w:t>ÍNDICE</w:t>
          </w:r>
        </w:p>
        <w:p w:rsidR="00737DE6" w:rsidRPr="002C0C73" w:rsidRDefault="00B953CB">
          <w:pPr>
            <w:pStyle w:val="TDC1"/>
            <w:rPr>
              <w:rFonts w:asciiTheme="minorHAnsi" w:eastAsiaTheme="minorEastAsia" w:hAnsiTheme="minorHAnsi"/>
              <w:noProof/>
              <w:sz w:val="22"/>
              <w:szCs w:val="22"/>
              <w:lang w:eastAsia="es-MX"/>
            </w:rPr>
          </w:pPr>
          <w:r w:rsidRPr="002C0C73">
            <w:rPr>
              <w:rFonts w:cs="Arial"/>
              <w:bCs/>
            </w:rPr>
            <w:fldChar w:fldCharType="begin"/>
          </w:r>
          <w:r w:rsidRPr="002C0C73">
            <w:rPr>
              <w:rFonts w:cs="Arial"/>
              <w:bCs/>
            </w:rPr>
            <w:instrText xml:space="preserve"> TOC \o "1-3" \h \z \u </w:instrText>
          </w:r>
          <w:r w:rsidRPr="002C0C73">
            <w:rPr>
              <w:rFonts w:cs="Arial"/>
              <w:bCs/>
            </w:rPr>
            <w:fldChar w:fldCharType="separate"/>
          </w:r>
          <w:hyperlink w:anchor="_Toc43048082" w:history="1">
            <w:r w:rsidR="00737DE6" w:rsidRPr="002C0C73">
              <w:rPr>
                <w:rStyle w:val="Hipervnculo"/>
                <w:rFonts w:cs="Arial"/>
                <w:b/>
                <w:noProof/>
                <w:u w:val="none"/>
              </w:rPr>
              <w:t>GLOSARIO</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_Toc43048082 \h </w:instrText>
            </w:r>
            <w:r w:rsidR="00737DE6" w:rsidRPr="002C0C73">
              <w:rPr>
                <w:noProof/>
                <w:webHidden/>
              </w:rPr>
            </w:r>
            <w:r w:rsidR="00737DE6" w:rsidRPr="002C0C73">
              <w:rPr>
                <w:noProof/>
                <w:webHidden/>
              </w:rPr>
              <w:fldChar w:fldCharType="separate"/>
            </w:r>
            <w:r w:rsidR="002C0C73">
              <w:rPr>
                <w:noProof/>
                <w:webHidden/>
              </w:rPr>
              <w:t>1</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3" w:history="1">
            <w:r w:rsidR="00737DE6" w:rsidRPr="002C0C73">
              <w:rPr>
                <w:rStyle w:val="Hipervnculo"/>
                <w:rFonts w:eastAsia="Times New Roman" w:cs="Arial"/>
                <w:b/>
                <w:noProof/>
                <w:u w:val="none"/>
                <w:lang w:eastAsia="es-MX"/>
              </w:rPr>
              <w:t>ANTECEDENTES</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_Toc43048083 \h </w:instrText>
            </w:r>
            <w:r w:rsidR="00737DE6" w:rsidRPr="002C0C73">
              <w:rPr>
                <w:noProof/>
                <w:webHidden/>
              </w:rPr>
            </w:r>
            <w:r w:rsidR="00737DE6" w:rsidRPr="002C0C73">
              <w:rPr>
                <w:noProof/>
                <w:webHidden/>
              </w:rPr>
              <w:fldChar w:fldCharType="separate"/>
            </w:r>
            <w:r w:rsidR="002C0C73">
              <w:rPr>
                <w:noProof/>
                <w:webHidden/>
              </w:rPr>
              <w:t>2</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4" w:history="1">
            <w:r w:rsidR="00737DE6" w:rsidRPr="002C0C73">
              <w:rPr>
                <w:rStyle w:val="Hipervnculo"/>
                <w:rFonts w:eastAsia="Times New Roman" w:cs="Arial"/>
                <w:b/>
                <w:noProof/>
                <w:u w:val="none"/>
                <w:lang w:eastAsia="es-MX"/>
              </w:rPr>
              <w:t>COMPETENCIA</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_Toc43048084 \h </w:instrText>
            </w:r>
            <w:r w:rsidR="00737DE6" w:rsidRPr="002C0C73">
              <w:rPr>
                <w:noProof/>
                <w:webHidden/>
              </w:rPr>
            </w:r>
            <w:r w:rsidR="00737DE6" w:rsidRPr="002C0C73">
              <w:rPr>
                <w:noProof/>
                <w:webHidden/>
              </w:rPr>
              <w:fldChar w:fldCharType="separate"/>
            </w:r>
            <w:r w:rsidR="002C0C73">
              <w:rPr>
                <w:noProof/>
                <w:webHidden/>
              </w:rPr>
              <w:t>3</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5" w:history="1">
            <w:r w:rsidR="00737DE6" w:rsidRPr="002C0C73">
              <w:rPr>
                <w:rStyle w:val="Hipervnculo"/>
                <w:rFonts w:eastAsia="Times New Roman" w:cs="Arial"/>
                <w:b/>
                <w:noProof/>
                <w:u w:val="none"/>
                <w:lang w:eastAsia="es-MX"/>
              </w:rPr>
              <w:t>ACUMULACIÓN</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_Toc43048085 \h </w:instrText>
            </w:r>
            <w:r w:rsidR="00737DE6" w:rsidRPr="002C0C73">
              <w:rPr>
                <w:noProof/>
                <w:webHidden/>
              </w:rPr>
            </w:r>
            <w:r w:rsidR="00737DE6" w:rsidRPr="002C0C73">
              <w:rPr>
                <w:noProof/>
                <w:webHidden/>
              </w:rPr>
              <w:fldChar w:fldCharType="separate"/>
            </w:r>
            <w:r w:rsidR="002C0C73">
              <w:rPr>
                <w:noProof/>
                <w:webHidden/>
              </w:rPr>
              <w:t>3</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6" w:history="1">
            <w:r w:rsidR="00737DE6" w:rsidRPr="002C0C73">
              <w:rPr>
                <w:rStyle w:val="Hipervnculo"/>
                <w:rFonts w:eastAsia="Times New Roman" w:cs="Arial"/>
                <w:b/>
                <w:noProof/>
                <w:u w:val="none"/>
                <w:lang w:eastAsia="es-MX"/>
              </w:rPr>
              <w:t>URGENCIA DE RESOLVER</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_Toc43048086 \h </w:instrText>
            </w:r>
            <w:r w:rsidR="00737DE6" w:rsidRPr="002C0C73">
              <w:rPr>
                <w:noProof/>
                <w:webHidden/>
              </w:rPr>
            </w:r>
            <w:r w:rsidR="00737DE6" w:rsidRPr="002C0C73">
              <w:rPr>
                <w:noProof/>
                <w:webHidden/>
              </w:rPr>
              <w:fldChar w:fldCharType="separate"/>
            </w:r>
            <w:r w:rsidR="002C0C73">
              <w:rPr>
                <w:noProof/>
                <w:webHidden/>
              </w:rPr>
              <w:t>4</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7" w:history="1">
            <w:r w:rsidR="00737DE6" w:rsidRPr="002C0C73">
              <w:rPr>
                <w:rStyle w:val="Hipervnculo"/>
                <w:rFonts w:eastAsia="Times New Roman" w:cs="Arial"/>
                <w:b/>
                <w:noProof/>
                <w:u w:val="none"/>
                <w:lang w:eastAsia="es-MX"/>
              </w:rPr>
              <w:t>PROCEDENCIA</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_Toc43048087 \h </w:instrText>
            </w:r>
            <w:r w:rsidR="00737DE6" w:rsidRPr="002C0C73">
              <w:rPr>
                <w:noProof/>
                <w:webHidden/>
              </w:rPr>
            </w:r>
            <w:r w:rsidR="00737DE6" w:rsidRPr="002C0C73">
              <w:rPr>
                <w:noProof/>
                <w:webHidden/>
              </w:rPr>
              <w:fldChar w:fldCharType="separate"/>
            </w:r>
            <w:r w:rsidR="002C0C73">
              <w:rPr>
                <w:noProof/>
                <w:webHidden/>
              </w:rPr>
              <w:t>4</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8" w:history="1">
            <w:r w:rsidR="00737DE6" w:rsidRPr="002C0C73">
              <w:rPr>
                <w:rStyle w:val="Hipervnculo"/>
                <w:rFonts w:cs="Arial"/>
                <w:b/>
                <w:noProof/>
                <w:u w:val="none"/>
              </w:rPr>
              <w:t>METODOLOGÍA</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_Toc43048088 \h </w:instrText>
            </w:r>
            <w:r w:rsidR="00737DE6" w:rsidRPr="002C0C73">
              <w:rPr>
                <w:noProof/>
                <w:webHidden/>
              </w:rPr>
            </w:r>
            <w:r w:rsidR="00737DE6" w:rsidRPr="002C0C73">
              <w:rPr>
                <w:noProof/>
                <w:webHidden/>
              </w:rPr>
              <w:fldChar w:fldCharType="separate"/>
            </w:r>
            <w:r w:rsidR="002C0C73">
              <w:rPr>
                <w:noProof/>
                <w:webHidden/>
              </w:rPr>
              <w:t>6</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89" w:history="1">
            <w:r w:rsidR="00737DE6" w:rsidRPr="002C0C73">
              <w:rPr>
                <w:rStyle w:val="Hipervnculo"/>
                <w:rFonts w:cs="Arial"/>
                <w:b/>
                <w:noProof/>
                <w:u w:val="none"/>
              </w:rPr>
              <w:t>ESTUDIO DE FONDO</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_Toc43048089 \h </w:instrText>
            </w:r>
            <w:r w:rsidR="00737DE6" w:rsidRPr="002C0C73">
              <w:rPr>
                <w:noProof/>
                <w:webHidden/>
              </w:rPr>
            </w:r>
            <w:r w:rsidR="00737DE6" w:rsidRPr="002C0C73">
              <w:rPr>
                <w:noProof/>
                <w:webHidden/>
              </w:rPr>
              <w:fldChar w:fldCharType="separate"/>
            </w:r>
            <w:r w:rsidR="002C0C73">
              <w:rPr>
                <w:noProof/>
                <w:webHidden/>
              </w:rPr>
              <w:t>6</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0" w:history="1">
            <w:r w:rsidR="00737DE6" w:rsidRPr="002C0C73">
              <w:rPr>
                <w:rStyle w:val="Hipervnculo"/>
                <w:rFonts w:cs="Arial"/>
                <w:b/>
                <w:noProof/>
                <w:u w:val="none"/>
              </w:rPr>
              <w:t>Primer tema.</w:t>
            </w:r>
            <w:r w:rsidR="00737DE6" w:rsidRPr="002C0C73">
              <w:rPr>
                <w:rStyle w:val="Hipervnculo"/>
                <w:rFonts w:cs="Arial"/>
                <w:noProof/>
                <w:u w:val="none"/>
              </w:rPr>
              <w:t xml:space="preserve"> Inconstitucionalidad de preceptos de la LGPP y del Instructivo</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_Toc43048090 \h </w:instrText>
            </w:r>
            <w:r w:rsidR="00737DE6" w:rsidRPr="002C0C73">
              <w:rPr>
                <w:noProof/>
                <w:webHidden/>
              </w:rPr>
            </w:r>
            <w:r w:rsidR="00737DE6" w:rsidRPr="002C0C73">
              <w:rPr>
                <w:noProof/>
                <w:webHidden/>
              </w:rPr>
              <w:fldChar w:fldCharType="separate"/>
            </w:r>
            <w:r w:rsidR="002C0C73">
              <w:rPr>
                <w:noProof/>
                <w:webHidden/>
              </w:rPr>
              <w:t>6</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1" w:history="1">
            <w:r w:rsidR="00737DE6" w:rsidRPr="002C0C73">
              <w:rPr>
                <w:rStyle w:val="Hipervnculo"/>
                <w:rFonts w:cs="Arial"/>
                <w:b/>
                <w:bCs/>
                <w:noProof/>
                <w:u w:val="none"/>
              </w:rPr>
              <w:t xml:space="preserve">Segundo tema. </w:t>
            </w:r>
            <w:r w:rsidR="00737DE6" w:rsidRPr="002C0C73">
              <w:rPr>
                <w:rStyle w:val="Hipervnculo"/>
                <w:rFonts w:cs="Arial"/>
                <w:bCs/>
                <w:noProof/>
                <w:u w:val="none"/>
              </w:rPr>
              <w:t>Posibilidad de reanudar actividades en la constitución de PPN</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_Toc43048091 \h </w:instrText>
            </w:r>
            <w:r w:rsidR="00737DE6" w:rsidRPr="002C0C73">
              <w:rPr>
                <w:noProof/>
                <w:webHidden/>
              </w:rPr>
            </w:r>
            <w:r w:rsidR="00737DE6" w:rsidRPr="002C0C73">
              <w:rPr>
                <w:noProof/>
                <w:webHidden/>
              </w:rPr>
              <w:fldChar w:fldCharType="separate"/>
            </w:r>
            <w:r w:rsidR="002C0C73">
              <w:rPr>
                <w:noProof/>
                <w:webHidden/>
              </w:rPr>
              <w:t>13</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2" w:history="1">
            <w:r w:rsidR="00737DE6" w:rsidRPr="002C0C73">
              <w:rPr>
                <w:rStyle w:val="Hipervnculo"/>
                <w:rFonts w:cs="Arial"/>
                <w:b/>
                <w:bCs/>
                <w:noProof/>
                <w:u w:val="none"/>
              </w:rPr>
              <w:t xml:space="preserve">Tercer tema. </w:t>
            </w:r>
            <w:r w:rsidR="00737DE6" w:rsidRPr="002C0C73">
              <w:rPr>
                <w:rStyle w:val="Hipervnculo"/>
                <w:rFonts w:cs="Arial"/>
                <w:bCs/>
                <w:noProof/>
                <w:u w:val="none"/>
              </w:rPr>
              <w:t>Fecha límite para resolver sobre el registro y violación a otros derechos</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_Toc43048092 \h </w:instrText>
            </w:r>
            <w:r w:rsidR="00737DE6" w:rsidRPr="002C0C73">
              <w:rPr>
                <w:noProof/>
                <w:webHidden/>
              </w:rPr>
            </w:r>
            <w:r w:rsidR="00737DE6" w:rsidRPr="002C0C73">
              <w:rPr>
                <w:noProof/>
                <w:webHidden/>
              </w:rPr>
              <w:fldChar w:fldCharType="separate"/>
            </w:r>
            <w:r w:rsidR="002C0C73">
              <w:rPr>
                <w:noProof/>
                <w:webHidden/>
              </w:rPr>
              <w:t>20</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3" w:history="1">
            <w:r w:rsidR="00737DE6" w:rsidRPr="002C0C73">
              <w:rPr>
                <w:rStyle w:val="Hipervnculo"/>
                <w:rFonts w:cs="Arial"/>
                <w:b/>
                <w:bCs/>
                <w:noProof/>
                <w:u w:val="none"/>
              </w:rPr>
              <w:t xml:space="preserve">Cuarto tema. </w:t>
            </w:r>
            <w:r w:rsidR="00737DE6" w:rsidRPr="002C0C73">
              <w:rPr>
                <w:rStyle w:val="Hipervnculo"/>
                <w:rFonts w:cs="Arial"/>
                <w:bCs/>
                <w:noProof/>
                <w:u w:val="none"/>
              </w:rPr>
              <w:t>Imposibilidad de recibir financiamiento</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_Toc43048093 \h </w:instrText>
            </w:r>
            <w:r w:rsidR="00737DE6" w:rsidRPr="002C0C73">
              <w:rPr>
                <w:noProof/>
                <w:webHidden/>
              </w:rPr>
            </w:r>
            <w:r w:rsidR="00737DE6" w:rsidRPr="002C0C73">
              <w:rPr>
                <w:noProof/>
                <w:webHidden/>
              </w:rPr>
              <w:fldChar w:fldCharType="separate"/>
            </w:r>
            <w:r w:rsidR="002C0C73">
              <w:rPr>
                <w:noProof/>
                <w:webHidden/>
              </w:rPr>
              <w:t>36</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4" w:history="1">
            <w:r w:rsidR="00737DE6" w:rsidRPr="002C0C73">
              <w:rPr>
                <w:rStyle w:val="Hipervnculo"/>
                <w:rFonts w:cs="Arial"/>
                <w:b/>
                <w:noProof/>
                <w:u w:val="none"/>
              </w:rPr>
              <w:t xml:space="preserve">Quinto tema. </w:t>
            </w:r>
            <w:r w:rsidR="00737DE6" w:rsidRPr="002C0C73">
              <w:rPr>
                <w:rStyle w:val="Hipervnculo"/>
                <w:rFonts w:cs="Arial"/>
                <w:noProof/>
                <w:u w:val="none"/>
              </w:rPr>
              <w:t>Procedimiento sumario</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_Toc43048094 \h </w:instrText>
            </w:r>
            <w:r w:rsidR="00737DE6" w:rsidRPr="002C0C73">
              <w:rPr>
                <w:noProof/>
                <w:webHidden/>
              </w:rPr>
            </w:r>
            <w:r w:rsidR="00737DE6" w:rsidRPr="002C0C73">
              <w:rPr>
                <w:noProof/>
                <w:webHidden/>
              </w:rPr>
              <w:fldChar w:fldCharType="separate"/>
            </w:r>
            <w:r w:rsidR="002C0C73">
              <w:rPr>
                <w:noProof/>
                <w:webHidden/>
              </w:rPr>
              <w:t>37</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5" w:history="1">
            <w:r w:rsidR="00737DE6" w:rsidRPr="002C0C73">
              <w:rPr>
                <w:rStyle w:val="Hipervnculo"/>
                <w:rFonts w:eastAsia="Times New Roman" w:cs="Arial"/>
                <w:b/>
                <w:noProof/>
                <w:u w:val="none"/>
                <w:lang w:eastAsia="es-MX"/>
              </w:rPr>
              <w:t>EFECTOS</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_Toc43048095 \h </w:instrText>
            </w:r>
            <w:r w:rsidR="00737DE6" w:rsidRPr="002C0C73">
              <w:rPr>
                <w:noProof/>
                <w:webHidden/>
              </w:rPr>
            </w:r>
            <w:r w:rsidR="00737DE6" w:rsidRPr="002C0C73">
              <w:rPr>
                <w:noProof/>
                <w:webHidden/>
              </w:rPr>
              <w:fldChar w:fldCharType="separate"/>
            </w:r>
            <w:r w:rsidR="002C0C73">
              <w:rPr>
                <w:noProof/>
                <w:webHidden/>
              </w:rPr>
              <w:t>43</w:t>
            </w:r>
            <w:r w:rsidR="00737DE6" w:rsidRPr="002C0C73">
              <w:rPr>
                <w:noProof/>
                <w:webHidden/>
              </w:rPr>
              <w:fldChar w:fldCharType="end"/>
            </w:r>
          </w:hyperlink>
        </w:p>
        <w:p w:rsidR="00737DE6" w:rsidRPr="002C0C73" w:rsidRDefault="0068625D">
          <w:pPr>
            <w:pStyle w:val="TDC1"/>
            <w:rPr>
              <w:rFonts w:asciiTheme="minorHAnsi" w:eastAsiaTheme="minorEastAsia" w:hAnsiTheme="minorHAnsi"/>
              <w:noProof/>
              <w:sz w:val="22"/>
              <w:szCs w:val="22"/>
              <w:lang w:eastAsia="es-MX"/>
            </w:rPr>
          </w:pPr>
          <w:hyperlink w:anchor="_Toc43048096" w:history="1">
            <w:r w:rsidR="00737DE6" w:rsidRPr="002C0C73">
              <w:rPr>
                <w:rStyle w:val="Hipervnculo"/>
                <w:rFonts w:eastAsia="Times New Roman" w:cs="Arial"/>
                <w:b/>
                <w:noProof/>
                <w:u w:val="none"/>
                <w:lang w:eastAsia="es-MX"/>
              </w:rPr>
              <w:t>RESUELVE</w:t>
            </w:r>
            <w:r w:rsidR="00737DE6" w:rsidRPr="002C0C73">
              <w:rPr>
                <w:noProof/>
                <w:webHidden/>
              </w:rPr>
              <w:tab/>
            </w:r>
            <w:r w:rsidR="00737DE6" w:rsidRPr="002C0C73">
              <w:rPr>
                <w:noProof/>
                <w:webHidden/>
              </w:rPr>
              <w:fldChar w:fldCharType="begin"/>
            </w:r>
            <w:r w:rsidR="00737DE6" w:rsidRPr="002C0C73">
              <w:rPr>
                <w:noProof/>
                <w:webHidden/>
              </w:rPr>
              <w:instrText xml:space="preserve"> PAGEREF _Toc43048096 \h </w:instrText>
            </w:r>
            <w:r w:rsidR="00737DE6" w:rsidRPr="002C0C73">
              <w:rPr>
                <w:noProof/>
                <w:webHidden/>
              </w:rPr>
            </w:r>
            <w:r w:rsidR="00737DE6" w:rsidRPr="002C0C73">
              <w:rPr>
                <w:noProof/>
                <w:webHidden/>
              </w:rPr>
              <w:fldChar w:fldCharType="separate"/>
            </w:r>
            <w:r w:rsidR="002C0C73">
              <w:rPr>
                <w:noProof/>
                <w:webHidden/>
              </w:rPr>
              <w:t>43</w:t>
            </w:r>
            <w:r w:rsidR="00737DE6" w:rsidRPr="002C0C73">
              <w:rPr>
                <w:noProof/>
                <w:webHidden/>
              </w:rPr>
              <w:fldChar w:fldCharType="end"/>
            </w:r>
          </w:hyperlink>
        </w:p>
        <w:p w:rsidR="00B953CB" w:rsidRPr="002C0C73" w:rsidRDefault="00B953CB" w:rsidP="007F56A0">
          <w:pPr>
            <w:pStyle w:val="TDC1"/>
            <w:rPr>
              <w:bCs/>
            </w:rPr>
          </w:pPr>
          <w:r w:rsidRPr="002C0C73">
            <w:rPr>
              <w:bCs/>
              <w:lang w:val="es-ES"/>
            </w:rPr>
            <w:fldChar w:fldCharType="end"/>
          </w:r>
        </w:p>
      </w:sdtContent>
    </w:sdt>
    <w:p w:rsidR="00B953CB" w:rsidRPr="002C0C73" w:rsidRDefault="00B953CB" w:rsidP="00F30331">
      <w:pPr>
        <w:pStyle w:val="Ttulo1"/>
        <w:spacing w:before="0"/>
        <w:jc w:val="center"/>
        <w:rPr>
          <w:rFonts w:ascii="Arial" w:hAnsi="Arial" w:cs="Arial"/>
          <w:b/>
          <w:color w:val="auto"/>
          <w:sz w:val="24"/>
          <w:szCs w:val="24"/>
        </w:rPr>
      </w:pPr>
      <w:bookmarkStart w:id="2" w:name="_Toc43048082"/>
      <w:r w:rsidRPr="002C0C73">
        <w:rPr>
          <w:rFonts w:ascii="Arial" w:hAnsi="Arial" w:cs="Arial"/>
          <w:b/>
          <w:color w:val="auto"/>
          <w:sz w:val="24"/>
          <w:szCs w:val="24"/>
        </w:rPr>
        <w:t>GLOSARIO</w:t>
      </w:r>
      <w:bookmarkEnd w:id="2"/>
    </w:p>
    <w:tbl>
      <w:tblPr>
        <w:tblW w:w="7513" w:type="dxa"/>
        <w:jc w:val="center"/>
        <w:tblLook w:val="01E0" w:firstRow="1" w:lastRow="1" w:firstColumn="1" w:lastColumn="1" w:noHBand="0" w:noVBand="0"/>
      </w:tblPr>
      <w:tblGrid>
        <w:gridCol w:w="2694"/>
        <w:gridCol w:w="4819"/>
      </w:tblGrid>
      <w:tr w:rsidR="00507EF2" w:rsidRPr="002C0C73" w:rsidTr="00E13D1D">
        <w:trPr>
          <w:trHeight w:val="284"/>
          <w:jc w:val="center"/>
        </w:trPr>
        <w:tc>
          <w:tcPr>
            <w:tcW w:w="2694" w:type="dxa"/>
            <w:shd w:val="clear" w:color="auto" w:fill="auto"/>
            <w:vAlign w:val="center"/>
          </w:tcPr>
          <w:p w:rsidR="00507EF2" w:rsidRPr="002C0C73" w:rsidRDefault="00507EF2" w:rsidP="00266141">
            <w:pPr>
              <w:ind w:left="-108"/>
              <w:jc w:val="both"/>
              <w:rPr>
                <w:rFonts w:cs="Arial"/>
                <w:b/>
                <w:sz w:val="18"/>
                <w:szCs w:val="18"/>
              </w:rPr>
            </w:pPr>
            <w:r w:rsidRPr="002C0C73">
              <w:rPr>
                <w:rFonts w:cs="Arial"/>
                <w:b/>
                <w:sz w:val="18"/>
                <w:szCs w:val="18"/>
              </w:rPr>
              <w:t>Constitución:</w:t>
            </w:r>
          </w:p>
        </w:tc>
        <w:tc>
          <w:tcPr>
            <w:tcW w:w="4819" w:type="dxa"/>
            <w:shd w:val="clear" w:color="auto" w:fill="auto"/>
            <w:vAlign w:val="center"/>
          </w:tcPr>
          <w:p w:rsidR="00507EF2" w:rsidRPr="002C0C73" w:rsidRDefault="00507EF2" w:rsidP="00266141">
            <w:pPr>
              <w:jc w:val="both"/>
              <w:rPr>
                <w:rFonts w:cs="Arial"/>
                <w:sz w:val="18"/>
                <w:szCs w:val="18"/>
                <w:lang w:eastAsia="es-MX"/>
              </w:rPr>
            </w:pPr>
            <w:r w:rsidRPr="002C0C73">
              <w:rPr>
                <w:rFonts w:cs="Arial"/>
                <w:sz w:val="18"/>
                <w:szCs w:val="18"/>
                <w:lang w:eastAsia="es-MX"/>
              </w:rPr>
              <w:t>Constitución Política de los Estados Unidos Mexicanos</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CP</w:t>
            </w:r>
            <w:r w:rsidR="003D617C" w:rsidRPr="002C0C73">
              <w:rPr>
                <w:rFonts w:cs="Arial"/>
                <w:b/>
                <w:sz w:val="18"/>
                <w:szCs w:val="18"/>
              </w:rPr>
              <w:t>P</w:t>
            </w:r>
            <w:r w:rsidRPr="002C0C73">
              <w:rPr>
                <w:rFonts w:cs="Arial"/>
                <w:b/>
                <w:sz w:val="18"/>
                <w:szCs w:val="18"/>
              </w:rPr>
              <w:t>P:</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Comisión de Prerrogativas y Partidos Políticos del Instituto Nacional Electoral.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CG del INE</w:t>
            </w:r>
            <w:r w:rsidR="004614FE" w:rsidRPr="002C0C73">
              <w:rPr>
                <w:rFonts w:cs="Arial"/>
                <w:b/>
                <w:sz w:val="18"/>
                <w:szCs w:val="18"/>
              </w:rPr>
              <w:t>:</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Consejo General del Instituto Nacional Electoral</w:t>
            </w:r>
          </w:p>
        </w:tc>
      </w:tr>
      <w:tr w:rsidR="009F012F" w:rsidRPr="002C0C73" w:rsidTr="00E13D1D">
        <w:trPr>
          <w:trHeight w:val="284"/>
          <w:jc w:val="center"/>
        </w:trPr>
        <w:tc>
          <w:tcPr>
            <w:tcW w:w="2694" w:type="dxa"/>
            <w:shd w:val="clear" w:color="auto" w:fill="auto"/>
            <w:vAlign w:val="center"/>
          </w:tcPr>
          <w:p w:rsidR="009F012F" w:rsidRPr="002C0C73" w:rsidRDefault="009F012F" w:rsidP="00052106">
            <w:pPr>
              <w:ind w:left="-108"/>
              <w:jc w:val="both"/>
              <w:rPr>
                <w:rFonts w:cs="Arial"/>
                <w:b/>
                <w:sz w:val="18"/>
                <w:szCs w:val="18"/>
              </w:rPr>
            </w:pPr>
            <w:r w:rsidRPr="002C0C73">
              <w:rPr>
                <w:rFonts w:cs="Arial"/>
                <w:b/>
                <w:sz w:val="18"/>
                <w:szCs w:val="18"/>
              </w:rPr>
              <w:t>CSG</w:t>
            </w:r>
            <w:r w:rsidR="004614FE" w:rsidRPr="002C0C73">
              <w:rPr>
                <w:rFonts w:cs="Arial"/>
                <w:b/>
                <w:sz w:val="18"/>
                <w:szCs w:val="18"/>
              </w:rPr>
              <w:t>:</w:t>
            </w:r>
          </w:p>
        </w:tc>
        <w:tc>
          <w:tcPr>
            <w:tcW w:w="4819" w:type="dxa"/>
            <w:shd w:val="clear" w:color="auto" w:fill="auto"/>
            <w:vAlign w:val="center"/>
          </w:tcPr>
          <w:p w:rsidR="009F012F" w:rsidRPr="002C0C73" w:rsidRDefault="009F012F" w:rsidP="00052106">
            <w:pPr>
              <w:jc w:val="both"/>
              <w:rPr>
                <w:rFonts w:cs="Arial"/>
                <w:sz w:val="18"/>
                <w:szCs w:val="18"/>
                <w:lang w:eastAsia="es-MX"/>
              </w:rPr>
            </w:pPr>
            <w:r w:rsidRPr="002C0C73">
              <w:rPr>
                <w:rFonts w:cs="Arial"/>
                <w:sz w:val="18"/>
                <w:szCs w:val="18"/>
                <w:lang w:eastAsia="es-MX"/>
              </w:rPr>
              <w:t>Consejo de Salubridad Nacional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DEP</w:t>
            </w:r>
            <w:r w:rsidR="003D617C" w:rsidRPr="002C0C73">
              <w:rPr>
                <w:rFonts w:cs="Arial"/>
                <w:b/>
                <w:sz w:val="18"/>
                <w:szCs w:val="18"/>
              </w:rPr>
              <w:t>P</w:t>
            </w:r>
            <w:r w:rsidRPr="002C0C73">
              <w:rPr>
                <w:rFonts w:cs="Arial"/>
                <w:b/>
                <w:sz w:val="18"/>
                <w:szCs w:val="18"/>
              </w:rPr>
              <w:t>P:</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Dirección Ejecutiva de Prerrogativas y Partidos Políticos del Instituto Nacional Electoral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FCT</w:t>
            </w:r>
            <w:r w:rsidR="004614FE" w:rsidRPr="002C0C73">
              <w:rPr>
                <w:rFonts w:cs="Arial"/>
                <w:b/>
                <w:sz w:val="18"/>
                <w:szCs w:val="18"/>
              </w:rPr>
              <w:t>:</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Frente por la Cuarta Transformación</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GIN</w:t>
            </w:r>
            <w:r w:rsidR="004614FE" w:rsidRPr="002C0C73">
              <w:rPr>
                <w:rFonts w:cs="Arial"/>
                <w:b/>
                <w:sz w:val="18"/>
                <w:szCs w:val="18"/>
              </w:rPr>
              <w:t>:</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Gubernatura Indígena Nacional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INE:</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Instituto Nacional Electoral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INSTRUCTIVO:</w:t>
            </w:r>
          </w:p>
        </w:tc>
        <w:tc>
          <w:tcPr>
            <w:tcW w:w="4819" w:type="dxa"/>
            <w:shd w:val="clear" w:color="auto" w:fill="auto"/>
            <w:vAlign w:val="center"/>
          </w:tcPr>
          <w:p w:rsidR="00052106" w:rsidRPr="002C0C73" w:rsidRDefault="003D617C" w:rsidP="00052106">
            <w:pPr>
              <w:jc w:val="both"/>
              <w:rPr>
                <w:rFonts w:cs="Arial"/>
                <w:sz w:val="18"/>
                <w:szCs w:val="18"/>
                <w:lang w:eastAsia="es-MX"/>
              </w:rPr>
            </w:pPr>
            <w:r w:rsidRPr="002C0C73">
              <w:rPr>
                <w:rFonts w:cs="Arial"/>
                <w:sz w:val="18"/>
                <w:szCs w:val="18"/>
                <w:lang w:eastAsia="es-MX"/>
              </w:rPr>
              <w:t>Instructivo que deberán observar las organizaciones interesadas en constituir un partido político nacional, así como diversas disposiciones relativas a la revisión de los requisitos que se deben cumplir para dicho fin</w:t>
            </w:r>
          </w:p>
        </w:tc>
      </w:tr>
      <w:tr w:rsidR="00D977CE" w:rsidRPr="002C0C73" w:rsidTr="00E13D1D">
        <w:trPr>
          <w:trHeight w:val="284"/>
          <w:jc w:val="center"/>
        </w:trPr>
        <w:tc>
          <w:tcPr>
            <w:tcW w:w="2694" w:type="dxa"/>
            <w:shd w:val="clear" w:color="auto" w:fill="auto"/>
            <w:vAlign w:val="center"/>
          </w:tcPr>
          <w:p w:rsidR="00D977CE" w:rsidRPr="002C0C73" w:rsidRDefault="00D977CE" w:rsidP="00052106">
            <w:pPr>
              <w:ind w:left="-108"/>
              <w:jc w:val="both"/>
              <w:rPr>
                <w:rFonts w:cs="Arial"/>
                <w:b/>
                <w:sz w:val="18"/>
                <w:szCs w:val="18"/>
              </w:rPr>
            </w:pPr>
            <w:r w:rsidRPr="002C0C73">
              <w:rPr>
                <w:rFonts w:cs="Arial"/>
                <w:b/>
                <w:sz w:val="18"/>
                <w:szCs w:val="18"/>
              </w:rPr>
              <w:t>JGE</w:t>
            </w:r>
            <w:r w:rsidR="004614FE" w:rsidRPr="002C0C73">
              <w:rPr>
                <w:rFonts w:cs="Arial"/>
                <w:b/>
                <w:sz w:val="18"/>
                <w:szCs w:val="18"/>
              </w:rPr>
              <w:t>:</w:t>
            </w:r>
          </w:p>
        </w:tc>
        <w:tc>
          <w:tcPr>
            <w:tcW w:w="4819" w:type="dxa"/>
            <w:shd w:val="clear" w:color="auto" w:fill="auto"/>
            <w:vAlign w:val="center"/>
          </w:tcPr>
          <w:p w:rsidR="00D977CE" w:rsidRPr="002C0C73" w:rsidRDefault="00D977CE" w:rsidP="00052106">
            <w:pPr>
              <w:jc w:val="both"/>
              <w:rPr>
                <w:rFonts w:cs="Arial"/>
                <w:sz w:val="18"/>
                <w:szCs w:val="18"/>
                <w:lang w:eastAsia="es-MX"/>
              </w:rPr>
            </w:pPr>
            <w:r w:rsidRPr="002C0C73">
              <w:rPr>
                <w:rFonts w:cs="Arial"/>
                <w:sz w:val="18"/>
                <w:szCs w:val="18"/>
                <w:lang w:eastAsia="es-MX"/>
              </w:rPr>
              <w:t>Junta General Ejecutiva del Instituto Nacional Electoral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108"/>
              <w:jc w:val="both"/>
              <w:rPr>
                <w:rFonts w:cs="Arial"/>
                <w:b/>
                <w:sz w:val="18"/>
                <w:szCs w:val="18"/>
              </w:rPr>
            </w:pPr>
            <w:r w:rsidRPr="002C0C73">
              <w:rPr>
                <w:rFonts w:cs="Arial"/>
                <w:b/>
                <w:sz w:val="18"/>
                <w:szCs w:val="18"/>
              </w:rPr>
              <w:t>LRD</w:t>
            </w:r>
            <w:r w:rsidR="004614FE" w:rsidRPr="002C0C73">
              <w:rPr>
                <w:rFonts w:cs="Arial"/>
                <w:b/>
                <w:sz w:val="18"/>
                <w:szCs w:val="18"/>
              </w:rPr>
              <w:t>:</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Libertad y Responsabilidad Democrática</w:t>
            </w:r>
          </w:p>
        </w:tc>
      </w:tr>
      <w:tr w:rsidR="00052106" w:rsidRPr="002C0C73" w:rsidTr="00E13D1D">
        <w:trPr>
          <w:trHeight w:val="284"/>
          <w:jc w:val="center"/>
        </w:trPr>
        <w:tc>
          <w:tcPr>
            <w:tcW w:w="2694" w:type="dxa"/>
            <w:shd w:val="clear" w:color="auto" w:fill="auto"/>
            <w:vAlign w:val="center"/>
          </w:tcPr>
          <w:p w:rsidR="00052106" w:rsidRPr="002C0C73" w:rsidRDefault="00A12F2F" w:rsidP="00052106">
            <w:pPr>
              <w:ind w:left="-108"/>
              <w:jc w:val="both"/>
              <w:rPr>
                <w:rFonts w:cs="Arial"/>
                <w:b/>
                <w:sz w:val="18"/>
                <w:szCs w:val="18"/>
              </w:rPr>
            </w:pPr>
            <w:r w:rsidRPr="002C0C73">
              <w:rPr>
                <w:rFonts w:cs="Arial"/>
                <w:b/>
                <w:sz w:val="18"/>
                <w:szCs w:val="18"/>
              </w:rPr>
              <w:t>LGIPE</w:t>
            </w:r>
            <w:r w:rsidR="00052106" w:rsidRPr="002C0C73">
              <w:rPr>
                <w:rFonts w:cs="Arial"/>
                <w:b/>
                <w:sz w:val="18"/>
                <w:szCs w:val="18"/>
              </w:rPr>
              <w:t>:</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Ley General de Instituciones y Procedimientos Electorales</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91"/>
              <w:jc w:val="both"/>
              <w:rPr>
                <w:rFonts w:cs="Arial"/>
                <w:b/>
                <w:sz w:val="18"/>
                <w:szCs w:val="18"/>
              </w:rPr>
            </w:pPr>
            <w:r w:rsidRPr="002C0C73">
              <w:rPr>
                <w:rFonts w:cs="Arial"/>
                <w:b/>
                <w:sz w:val="18"/>
                <w:szCs w:val="18"/>
              </w:rPr>
              <w:t>Ley de Medios:</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Ley General del Sistema de Medios de Impugnación en Materia Electoral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91"/>
              <w:jc w:val="both"/>
              <w:rPr>
                <w:rFonts w:cs="Arial"/>
                <w:b/>
                <w:sz w:val="18"/>
                <w:szCs w:val="18"/>
              </w:rPr>
            </w:pPr>
            <w:r w:rsidRPr="002C0C73">
              <w:rPr>
                <w:rFonts w:cs="Arial"/>
                <w:b/>
                <w:sz w:val="18"/>
                <w:szCs w:val="18"/>
              </w:rPr>
              <w:t>Ley Orgánica:</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Ley Orgánica del Poder Judicial de la Federación</w:t>
            </w:r>
          </w:p>
        </w:tc>
      </w:tr>
      <w:tr w:rsidR="00052106" w:rsidRPr="002C0C73" w:rsidTr="00E13D1D">
        <w:trPr>
          <w:trHeight w:val="284"/>
          <w:jc w:val="center"/>
        </w:trPr>
        <w:tc>
          <w:tcPr>
            <w:tcW w:w="2694" w:type="dxa"/>
            <w:shd w:val="clear" w:color="auto" w:fill="auto"/>
            <w:vAlign w:val="center"/>
          </w:tcPr>
          <w:p w:rsidR="00052106" w:rsidRPr="002C0C73" w:rsidRDefault="00A12F2F" w:rsidP="00052106">
            <w:pPr>
              <w:ind w:left="-91"/>
              <w:jc w:val="both"/>
              <w:rPr>
                <w:rFonts w:cs="Arial"/>
                <w:b/>
                <w:sz w:val="18"/>
                <w:szCs w:val="18"/>
              </w:rPr>
            </w:pPr>
            <w:r w:rsidRPr="002C0C73">
              <w:rPr>
                <w:rFonts w:cs="Arial"/>
                <w:b/>
                <w:sz w:val="18"/>
                <w:szCs w:val="18"/>
              </w:rPr>
              <w:t>LGPP</w:t>
            </w:r>
            <w:r w:rsidR="00052106" w:rsidRPr="002C0C73">
              <w:rPr>
                <w:rFonts w:cs="Arial"/>
                <w:b/>
                <w:sz w:val="18"/>
                <w:szCs w:val="18"/>
              </w:rPr>
              <w:t>:</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Ley General de Partidos Políticos</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91"/>
              <w:jc w:val="both"/>
              <w:rPr>
                <w:rFonts w:cs="Arial"/>
                <w:b/>
                <w:sz w:val="18"/>
                <w:szCs w:val="18"/>
              </w:rPr>
            </w:pPr>
            <w:r w:rsidRPr="002C0C73">
              <w:rPr>
                <w:rFonts w:cs="Arial"/>
                <w:b/>
                <w:sz w:val="18"/>
                <w:szCs w:val="18"/>
              </w:rPr>
              <w:lastRenderedPageBreak/>
              <w:t>OES:</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Organización Encuentro Solidario</w:t>
            </w:r>
          </w:p>
        </w:tc>
      </w:tr>
      <w:tr w:rsidR="00D977CE" w:rsidRPr="002C0C73" w:rsidTr="00E13D1D">
        <w:trPr>
          <w:trHeight w:val="284"/>
          <w:jc w:val="center"/>
        </w:trPr>
        <w:tc>
          <w:tcPr>
            <w:tcW w:w="2694" w:type="dxa"/>
            <w:shd w:val="clear" w:color="auto" w:fill="auto"/>
            <w:vAlign w:val="center"/>
          </w:tcPr>
          <w:p w:rsidR="00D977CE" w:rsidRPr="002C0C73" w:rsidRDefault="00D977CE" w:rsidP="00052106">
            <w:pPr>
              <w:ind w:left="-91"/>
              <w:jc w:val="both"/>
              <w:rPr>
                <w:rFonts w:cs="Arial"/>
                <w:b/>
                <w:sz w:val="18"/>
                <w:szCs w:val="18"/>
              </w:rPr>
            </w:pPr>
            <w:r w:rsidRPr="002C0C73">
              <w:rPr>
                <w:rFonts w:cs="Arial"/>
                <w:b/>
                <w:sz w:val="18"/>
                <w:szCs w:val="18"/>
              </w:rPr>
              <w:t>OMS:</w:t>
            </w:r>
          </w:p>
        </w:tc>
        <w:tc>
          <w:tcPr>
            <w:tcW w:w="4819" w:type="dxa"/>
            <w:shd w:val="clear" w:color="auto" w:fill="auto"/>
            <w:vAlign w:val="center"/>
          </w:tcPr>
          <w:p w:rsidR="00D977CE" w:rsidRPr="002C0C73" w:rsidRDefault="00D977CE" w:rsidP="00052106">
            <w:pPr>
              <w:jc w:val="both"/>
              <w:rPr>
                <w:rFonts w:cs="Arial"/>
                <w:sz w:val="18"/>
                <w:szCs w:val="18"/>
                <w:lang w:eastAsia="es-MX"/>
              </w:rPr>
            </w:pPr>
            <w:r w:rsidRPr="002C0C73">
              <w:rPr>
                <w:rFonts w:cs="Arial"/>
                <w:sz w:val="18"/>
                <w:szCs w:val="18"/>
                <w:lang w:eastAsia="es-MX"/>
              </w:rPr>
              <w:t>Organización Mundial de la Salud</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91"/>
              <w:jc w:val="both"/>
              <w:rPr>
                <w:rFonts w:cs="Arial"/>
                <w:b/>
                <w:sz w:val="18"/>
                <w:szCs w:val="18"/>
              </w:rPr>
            </w:pPr>
            <w:r w:rsidRPr="002C0C73">
              <w:rPr>
                <w:rFonts w:cs="Arial"/>
                <w:b/>
                <w:sz w:val="18"/>
                <w:szCs w:val="18"/>
              </w:rPr>
              <w:t>PPN:</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Partido político nacional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91"/>
              <w:jc w:val="both"/>
              <w:rPr>
                <w:rFonts w:cs="Arial"/>
                <w:b/>
                <w:sz w:val="18"/>
                <w:szCs w:val="18"/>
              </w:rPr>
            </w:pPr>
            <w:r w:rsidRPr="002C0C73">
              <w:rPr>
                <w:rFonts w:cs="Arial"/>
                <w:b/>
                <w:sz w:val="18"/>
                <w:szCs w:val="18"/>
              </w:rPr>
              <w:t>Reglamento Interno:</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Reglamento Interno del Tribunal Electoral del Poder Judicial de la Federación</w:t>
            </w:r>
          </w:p>
        </w:tc>
      </w:tr>
      <w:tr w:rsidR="00A12F2F" w:rsidRPr="002C0C73" w:rsidTr="00E13D1D">
        <w:trPr>
          <w:trHeight w:val="284"/>
          <w:jc w:val="center"/>
        </w:trPr>
        <w:tc>
          <w:tcPr>
            <w:tcW w:w="2694" w:type="dxa"/>
            <w:shd w:val="clear" w:color="auto" w:fill="auto"/>
            <w:vAlign w:val="center"/>
          </w:tcPr>
          <w:p w:rsidR="00A12F2F" w:rsidRPr="002C0C73" w:rsidRDefault="00A12F2F" w:rsidP="00052106">
            <w:pPr>
              <w:ind w:left="-91"/>
              <w:jc w:val="both"/>
              <w:rPr>
                <w:rFonts w:cs="Arial"/>
                <w:b/>
                <w:sz w:val="18"/>
                <w:szCs w:val="18"/>
              </w:rPr>
            </w:pPr>
            <w:r w:rsidRPr="002C0C73">
              <w:rPr>
                <w:rFonts w:cs="Arial"/>
                <w:b/>
                <w:sz w:val="18"/>
                <w:szCs w:val="18"/>
              </w:rPr>
              <w:t>SE del INE:</w:t>
            </w:r>
          </w:p>
        </w:tc>
        <w:tc>
          <w:tcPr>
            <w:tcW w:w="4819" w:type="dxa"/>
            <w:shd w:val="clear" w:color="auto" w:fill="auto"/>
            <w:vAlign w:val="center"/>
          </w:tcPr>
          <w:p w:rsidR="00A12F2F" w:rsidRPr="002C0C73" w:rsidRDefault="00A12F2F" w:rsidP="00052106">
            <w:pPr>
              <w:jc w:val="both"/>
              <w:rPr>
                <w:rFonts w:cs="Arial"/>
                <w:sz w:val="18"/>
                <w:szCs w:val="18"/>
                <w:lang w:eastAsia="es-MX"/>
              </w:rPr>
            </w:pPr>
            <w:r w:rsidRPr="002C0C73">
              <w:rPr>
                <w:rFonts w:cs="Arial"/>
                <w:sz w:val="18"/>
                <w:szCs w:val="18"/>
                <w:lang w:eastAsia="es-MX"/>
              </w:rPr>
              <w:t>Secretario Ejecutivo del Instituto Nacional Electoral</w:t>
            </w:r>
          </w:p>
        </w:tc>
      </w:tr>
      <w:tr w:rsidR="00052106" w:rsidRPr="002C0C73" w:rsidTr="00E13D1D">
        <w:trPr>
          <w:trHeight w:val="284"/>
          <w:jc w:val="center"/>
        </w:trPr>
        <w:tc>
          <w:tcPr>
            <w:tcW w:w="2694" w:type="dxa"/>
            <w:shd w:val="clear" w:color="auto" w:fill="auto"/>
            <w:vAlign w:val="center"/>
          </w:tcPr>
          <w:p w:rsidR="00052106" w:rsidRPr="002C0C73" w:rsidRDefault="00052106" w:rsidP="00052106">
            <w:pPr>
              <w:ind w:left="-91"/>
              <w:jc w:val="both"/>
              <w:rPr>
                <w:rFonts w:cs="Arial"/>
                <w:b/>
                <w:sz w:val="18"/>
                <w:szCs w:val="18"/>
              </w:rPr>
            </w:pPr>
            <w:r w:rsidRPr="002C0C73">
              <w:rPr>
                <w:rFonts w:cs="Arial"/>
                <w:b/>
                <w:sz w:val="18"/>
                <w:szCs w:val="18"/>
              </w:rPr>
              <w:t>SCJN:</w:t>
            </w:r>
          </w:p>
        </w:tc>
        <w:tc>
          <w:tcPr>
            <w:tcW w:w="4819" w:type="dxa"/>
            <w:shd w:val="clear" w:color="auto" w:fill="auto"/>
            <w:vAlign w:val="center"/>
          </w:tcPr>
          <w:p w:rsidR="00052106" w:rsidRPr="002C0C73" w:rsidRDefault="00052106" w:rsidP="00052106">
            <w:pPr>
              <w:jc w:val="both"/>
              <w:rPr>
                <w:rFonts w:cs="Arial"/>
                <w:sz w:val="18"/>
                <w:szCs w:val="18"/>
                <w:lang w:eastAsia="es-MX"/>
              </w:rPr>
            </w:pPr>
            <w:r w:rsidRPr="002C0C73">
              <w:rPr>
                <w:rFonts w:cs="Arial"/>
                <w:sz w:val="18"/>
                <w:szCs w:val="18"/>
                <w:lang w:eastAsia="es-MX"/>
              </w:rPr>
              <w:t>Suprema Corte de Justicia de la Nación</w:t>
            </w:r>
          </w:p>
        </w:tc>
      </w:tr>
    </w:tbl>
    <w:p w:rsidR="00D41F45" w:rsidRPr="002C0C73" w:rsidRDefault="00D41F45" w:rsidP="003E1ACA">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3" w:name="_Toc496171373"/>
      <w:bookmarkStart w:id="4" w:name="_Toc43048083"/>
      <w:r w:rsidRPr="002C0C73">
        <w:rPr>
          <w:rFonts w:ascii="Arial" w:eastAsia="Times New Roman" w:hAnsi="Arial" w:cs="Arial"/>
          <w:b/>
          <w:color w:val="auto"/>
          <w:sz w:val="24"/>
          <w:szCs w:val="24"/>
          <w:lang w:eastAsia="es-MX"/>
        </w:rPr>
        <w:t>ANTECEDENTES</w:t>
      </w:r>
      <w:bookmarkEnd w:id="3"/>
      <w:bookmarkEnd w:id="4"/>
    </w:p>
    <w:p w:rsidR="006B21D2" w:rsidRPr="002C0C73" w:rsidRDefault="006B21D2" w:rsidP="003E1ACA">
      <w:pPr>
        <w:pStyle w:val="Normalsentencia"/>
        <w:widowControl w:val="0"/>
        <w:spacing w:before="100" w:beforeAutospacing="1" w:after="100" w:afterAutospacing="1"/>
        <w:ind w:firstLine="0"/>
        <w:rPr>
          <w:rFonts w:ascii="Arial" w:hAnsi="Arial"/>
          <w:b/>
          <w:sz w:val="24"/>
          <w:szCs w:val="24"/>
          <w:lang w:val="es-MX"/>
        </w:rPr>
      </w:pPr>
      <w:bookmarkStart w:id="5" w:name="_Hlk26368060"/>
      <w:bookmarkStart w:id="6" w:name="_Toc496171374"/>
      <w:r w:rsidRPr="002C0C73">
        <w:rPr>
          <w:rFonts w:ascii="Arial" w:hAnsi="Arial"/>
          <w:b/>
          <w:sz w:val="24"/>
          <w:szCs w:val="24"/>
          <w:lang w:val="es-MX"/>
        </w:rPr>
        <w:t>I. Procedimiento de registro de nuevos PPN</w:t>
      </w:r>
    </w:p>
    <w:p w:rsidR="00B405B6" w:rsidRPr="002C0C73" w:rsidRDefault="008E227D" w:rsidP="003E1ACA">
      <w:pPr>
        <w:pStyle w:val="Normalsentencia"/>
        <w:widowControl w:val="0"/>
        <w:spacing w:before="100" w:beforeAutospacing="1" w:after="100" w:afterAutospacing="1"/>
        <w:ind w:firstLine="0"/>
        <w:rPr>
          <w:rFonts w:ascii="Arial" w:hAnsi="Arial"/>
          <w:bCs/>
          <w:sz w:val="24"/>
          <w:szCs w:val="24"/>
          <w:lang w:val="es-MX"/>
        </w:rPr>
      </w:pPr>
      <w:r w:rsidRPr="002C0C73">
        <w:rPr>
          <w:rFonts w:ascii="Arial" w:hAnsi="Arial"/>
          <w:b/>
          <w:sz w:val="24"/>
          <w:szCs w:val="24"/>
          <w:lang w:val="es-MX"/>
        </w:rPr>
        <w:t xml:space="preserve">1. </w:t>
      </w:r>
      <w:r w:rsidR="005D4E83" w:rsidRPr="002C0C73">
        <w:rPr>
          <w:rFonts w:ascii="Arial" w:hAnsi="Arial"/>
          <w:b/>
          <w:sz w:val="24"/>
          <w:szCs w:val="24"/>
          <w:lang w:val="es-MX"/>
        </w:rPr>
        <w:t>Instructivo</w:t>
      </w:r>
      <w:r w:rsidRPr="002C0C73">
        <w:rPr>
          <w:rFonts w:ascii="Arial" w:hAnsi="Arial"/>
          <w:b/>
          <w:sz w:val="24"/>
          <w:szCs w:val="24"/>
          <w:lang w:val="es-MX"/>
        </w:rPr>
        <w:t>.</w:t>
      </w:r>
      <w:r w:rsidRPr="002C0C73">
        <w:rPr>
          <w:rFonts w:ascii="Arial" w:hAnsi="Arial"/>
          <w:bCs/>
          <w:sz w:val="24"/>
          <w:szCs w:val="24"/>
          <w:lang w:val="es-MX"/>
        </w:rPr>
        <w:t xml:space="preserve"> </w:t>
      </w:r>
      <w:r w:rsidR="005D4E83" w:rsidRPr="002C0C73">
        <w:rPr>
          <w:rFonts w:ascii="Arial" w:hAnsi="Arial"/>
          <w:bCs/>
          <w:sz w:val="24"/>
          <w:szCs w:val="24"/>
          <w:lang w:val="es-MX"/>
        </w:rPr>
        <w:t xml:space="preserve">El diecinueve de diciembre de dos mil dieciocho, el </w:t>
      </w:r>
      <w:r w:rsidR="00052106" w:rsidRPr="002C0C73">
        <w:rPr>
          <w:rFonts w:ascii="Arial" w:hAnsi="Arial"/>
          <w:bCs/>
          <w:sz w:val="24"/>
          <w:szCs w:val="24"/>
          <w:lang w:val="es-MX"/>
        </w:rPr>
        <w:t xml:space="preserve">CG </w:t>
      </w:r>
      <w:r w:rsidR="005D4E83" w:rsidRPr="002C0C73">
        <w:rPr>
          <w:rFonts w:ascii="Arial" w:hAnsi="Arial"/>
          <w:bCs/>
          <w:sz w:val="24"/>
          <w:szCs w:val="24"/>
          <w:lang w:val="es-MX"/>
        </w:rPr>
        <w:t>del INE emitió el Instructivo.</w:t>
      </w:r>
      <w:r w:rsidR="00574F33" w:rsidRPr="002C0C73">
        <w:rPr>
          <w:rStyle w:val="Refdenotaalpie"/>
          <w:rFonts w:ascii="Arial" w:hAnsi="Arial"/>
          <w:bCs/>
          <w:sz w:val="24"/>
          <w:szCs w:val="24"/>
          <w:lang w:val="es-MX"/>
        </w:rPr>
        <w:footnoteReference w:id="2"/>
      </w:r>
    </w:p>
    <w:p w:rsidR="005D4E83" w:rsidRPr="002C0C73" w:rsidRDefault="008E227D" w:rsidP="003E1ACA">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2.</w:t>
      </w:r>
      <w:r w:rsidR="005D4E83" w:rsidRPr="002C0C73">
        <w:rPr>
          <w:rFonts w:ascii="Arial" w:hAnsi="Arial"/>
          <w:b/>
          <w:sz w:val="24"/>
          <w:szCs w:val="24"/>
          <w:lang w:val="es-MX"/>
        </w:rPr>
        <w:t xml:space="preserve"> </w:t>
      </w:r>
      <w:r w:rsidR="006B21D2" w:rsidRPr="002C0C73">
        <w:rPr>
          <w:rFonts w:ascii="Arial" w:hAnsi="Arial"/>
          <w:b/>
          <w:sz w:val="24"/>
          <w:szCs w:val="24"/>
          <w:lang w:val="es-MX"/>
        </w:rPr>
        <w:t>S</w:t>
      </w:r>
      <w:r w:rsidR="005D4E83" w:rsidRPr="002C0C73">
        <w:rPr>
          <w:rFonts w:ascii="Arial" w:hAnsi="Arial"/>
          <w:b/>
          <w:sz w:val="24"/>
          <w:szCs w:val="24"/>
          <w:lang w:val="es-MX"/>
        </w:rPr>
        <w:t xml:space="preserve">olicitud. </w:t>
      </w:r>
      <w:r w:rsidR="005D4E83" w:rsidRPr="002C0C73">
        <w:rPr>
          <w:rFonts w:ascii="Arial" w:hAnsi="Arial"/>
          <w:sz w:val="24"/>
          <w:szCs w:val="24"/>
          <w:lang w:val="es-MX"/>
        </w:rPr>
        <w:t xml:space="preserve">Entre el </w:t>
      </w:r>
      <w:r w:rsidR="00B405B6" w:rsidRPr="002C0C73">
        <w:rPr>
          <w:rFonts w:ascii="Arial" w:hAnsi="Arial"/>
          <w:sz w:val="24"/>
          <w:szCs w:val="24"/>
          <w:lang w:val="es-MX"/>
        </w:rPr>
        <w:t>veintiuno y veintiocho</w:t>
      </w:r>
      <w:r w:rsidR="005D4E83" w:rsidRPr="002C0C73">
        <w:rPr>
          <w:rFonts w:ascii="Arial" w:hAnsi="Arial"/>
          <w:sz w:val="24"/>
          <w:szCs w:val="24"/>
          <w:lang w:val="es-MX"/>
        </w:rPr>
        <w:t xml:space="preserve"> de febrero</w:t>
      </w:r>
      <w:r w:rsidR="002365D7" w:rsidRPr="002C0C73">
        <w:rPr>
          <w:rFonts w:ascii="Arial" w:hAnsi="Arial"/>
          <w:sz w:val="24"/>
          <w:szCs w:val="24"/>
          <w:lang w:val="es-MX"/>
        </w:rPr>
        <w:t>,</w:t>
      </w:r>
      <w:r w:rsidR="00B405B6" w:rsidRPr="002C0C73">
        <w:rPr>
          <w:rStyle w:val="Refdenotaalpie"/>
          <w:rFonts w:ascii="Arial" w:hAnsi="Arial"/>
          <w:sz w:val="24"/>
          <w:szCs w:val="24"/>
          <w:lang w:val="es-MX"/>
        </w:rPr>
        <w:footnoteReference w:id="3"/>
      </w:r>
      <w:r w:rsidR="00B405B6" w:rsidRPr="002C0C73">
        <w:rPr>
          <w:rFonts w:ascii="Arial" w:hAnsi="Arial"/>
          <w:sz w:val="24"/>
          <w:szCs w:val="24"/>
          <w:lang w:val="es-MX"/>
        </w:rPr>
        <w:t xml:space="preserve"> siete</w:t>
      </w:r>
      <w:r w:rsidR="005D4E83" w:rsidRPr="002C0C73">
        <w:rPr>
          <w:rFonts w:ascii="Arial" w:hAnsi="Arial"/>
          <w:sz w:val="24"/>
          <w:szCs w:val="24"/>
          <w:lang w:val="es-MX"/>
        </w:rPr>
        <w:t xml:space="preserve"> organizaciones</w:t>
      </w:r>
      <w:r w:rsidR="006B21D2" w:rsidRPr="002C0C73">
        <w:rPr>
          <w:rFonts w:ascii="Arial" w:hAnsi="Arial"/>
          <w:sz w:val="24"/>
          <w:szCs w:val="24"/>
          <w:lang w:val="es-MX"/>
        </w:rPr>
        <w:t xml:space="preserve"> </w:t>
      </w:r>
      <w:r w:rsidR="005D4E83" w:rsidRPr="002C0C73">
        <w:rPr>
          <w:rFonts w:ascii="Arial" w:hAnsi="Arial"/>
          <w:sz w:val="24"/>
          <w:szCs w:val="24"/>
          <w:lang w:val="es-MX"/>
        </w:rPr>
        <w:t>presentaron su solicitud de registro</w:t>
      </w:r>
      <w:r w:rsidR="006B21D2" w:rsidRPr="002C0C73">
        <w:rPr>
          <w:rFonts w:ascii="Arial" w:hAnsi="Arial"/>
          <w:sz w:val="24"/>
          <w:szCs w:val="24"/>
          <w:lang w:val="es-MX"/>
        </w:rPr>
        <w:t xml:space="preserve"> como PPN</w:t>
      </w:r>
      <w:r w:rsidR="005D4E83" w:rsidRPr="002C0C73">
        <w:rPr>
          <w:rFonts w:ascii="Arial" w:hAnsi="Arial"/>
          <w:sz w:val="24"/>
          <w:szCs w:val="24"/>
          <w:lang w:val="es-MX"/>
        </w:rPr>
        <w:t>.</w:t>
      </w:r>
    </w:p>
    <w:p w:rsidR="006B21D2" w:rsidRPr="002C0C73" w:rsidRDefault="006B21D2" w:rsidP="003E1ACA">
      <w:pPr>
        <w:pStyle w:val="Normalsentencia"/>
        <w:spacing w:before="100" w:beforeAutospacing="1" w:after="100" w:afterAutospacing="1"/>
        <w:ind w:firstLine="0"/>
        <w:rPr>
          <w:rFonts w:ascii="Arial" w:hAnsi="Arial"/>
          <w:b/>
          <w:sz w:val="24"/>
          <w:szCs w:val="24"/>
          <w:lang w:val="es-MX"/>
        </w:rPr>
      </w:pPr>
      <w:r w:rsidRPr="002C0C73">
        <w:rPr>
          <w:rFonts w:ascii="Arial" w:hAnsi="Arial"/>
          <w:b/>
          <w:sz w:val="24"/>
          <w:szCs w:val="24"/>
          <w:lang w:val="es-MX"/>
        </w:rPr>
        <w:t>II. Emergencia sanitaria</w:t>
      </w:r>
    </w:p>
    <w:p w:rsidR="006B21D2" w:rsidRPr="002C0C73" w:rsidRDefault="006B21D2" w:rsidP="003E1ACA">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 xml:space="preserve">1. Informe sobre la existencia de nuevo virus. </w:t>
      </w:r>
      <w:r w:rsidRPr="002C0C73">
        <w:rPr>
          <w:rFonts w:ascii="Arial" w:hAnsi="Arial"/>
          <w:sz w:val="24"/>
          <w:szCs w:val="24"/>
          <w:lang w:val="es-MX"/>
        </w:rPr>
        <w:t>El treinta y uno de diciembre de dos mil diecinueve, las autoridades sanitarias de China informa</w:t>
      </w:r>
      <w:r w:rsidR="00F641F4" w:rsidRPr="002C0C73">
        <w:rPr>
          <w:rFonts w:ascii="Arial" w:hAnsi="Arial"/>
          <w:sz w:val="24"/>
          <w:szCs w:val="24"/>
          <w:lang w:val="es-MX"/>
        </w:rPr>
        <w:t>ron</w:t>
      </w:r>
      <w:r w:rsidRPr="002C0C73">
        <w:rPr>
          <w:rFonts w:ascii="Arial" w:hAnsi="Arial"/>
          <w:sz w:val="24"/>
          <w:szCs w:val="24"/>
          <w:lang w:val="es-MX"/>
        </w:rPr>
        <w:t xml:space="preserve"> sobre la existencia de un nuevo coronavirus.</w:t>
      </w:r>
    </w:p>
    <w:p w:rsidR="006B21D2" w:rsidRPr="002C0C73" w:rsidRDefault="006B21D2" w:rsidP="003E1ACA">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 xml:space="preserve">2. Declaración pandemia. </w:t>
      </w:r>
      <w:r w:rsidRPr="002C0C73">
        <w:rPr>
          <w:rFonts w:ascii="Arial" w:hAnsi="Arial"/>
          <w:sz w:val="24"/>
          <w:szCs w:val="24"/>
          <w:lang w:val="es-MX"/>
        </w:rPr>
        <w:t>El once de marzo, la OMS declaró que el nuevo virus había ocasionado una pandemia y era necesario tomar medidas.</w:t>
      </w:r>
    </w:p>
    <w:p w:rsidR="006B21D2" w:rsidRPr="002C0C73" w:rsidRDefault="006B21D2" w:rsidP="003E1ACA">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 xml:space="preserve">3. </w:t>
      </w:r>
      <w:r w:rsidR="00D977CE" w:rsidRPr="002C0C73">
        <w:rPr>
          <w:rFonts w:ascii="Arial" w:hAnsi="Arial"/>
          <w:b/>
          <w:sz w:val="24"/>
          <w:szCs w:val="24"/>
          <w:lang w:val="es-MX"/>
        </w:rPr>
        <w:t xml:space="preserve">Acuerdo de la JGE. </w:t>
      </w:r>
      <w:r w:rsidR="00D977CE" w:rsidRPr="002C0C73">
        <w:rPr>
          <w:rFonts w:ascii="Arial" w:hAnsi="Arial"/>
          <w:sz w:val="24"/>
          <w:szCs w:val="24"/>
          <w:lang w:val="es-MX"/>
        </w:rPr>
        <w:t>El diecisiete de marzo, la JGE emitió un acuerdo</w:t>
      </w:r>
      <w:r w:rsidR="00D977CE" w:rsidRPr="002C0C73">
        <w:rPr>
          <w:rStyle w:val="Refdenotaalpie"/>
          <w:rFonts w:ascii="Arial" w:hAnsi="Arial"/>
          <w:sz w:val="24"/>
          <w:szCs w:val="24"/>
          <w:lang w:val="es-MX"/>
        </w:rPr>
        <w:footnoteReference w:id="4"/>
      </w:r>
      <w:r w:rsidR="00D977CE" w:rsidRPr="002C0C73">
        <w:rPr>
          <w:rFonts w:ascii="Arial" w:hAnsi="Arial"/>
          <w:sz w:val="24"/>
          <w:szCs w:val="24"/>
          <w:lang w:val="es-MX"/>
        </w:rPr>
        <w:t xml:space="preserve"> sobre las medidas adoptadas para evitar la propagación del virus en el INE.</w:t>
      </w:r>
    </w:p>
    <w:p w:rsidR="00AA14AE" w:rsidRPr="002C0C73" w:rsidRDefault="00D977CE" w:rsidP="00B405B6">
      <w:pPr>
        <w:pStyle w:val="Normalsentencia"/>
        <w:spacing w:before="100" w:beforeAutospacing="1" w:after="100" w:afterAutospacing="1"/>
        <w:ind w:firstLine="0"/>
        <w:rPr>
          <w:rFonts w:ascii="Arial" w:hAnsi="Arial"/>
          <w:sz w:val="24"/>
          <w:szCs w:val="24"/>
          <w:lang w:val="es-MX"/>
        </w:rPr>
      </w:pPr>
      <w:r w:rsidRPr="002C0C73">
        <w:rPr>
          <w:rFonts w:ascii="Arial" w:hAnsi="Arial"/>
          <w:b/>
          <w:bCs/>
          <w:sz w:val="24"/>
          <w:szCs w:val="24"/>
          <w:lang w:val="es-MX"/>
        </w:rPr>
        <w:t xml:space="preserve">4. </w:t>
      </w:r>
      <w:r w:rsidR="00AA14AE" w:rsidRPr="002C0C73">
        <w:rPr>
          <w:rFonts w:ascii="Arial" w:hAnsi="Arial"/>
          <w:b/>
          <w:bCs/>
          <w:sz w:val="24"/>
          <w:szCs w:val="24"/>
          <w:lang w:val="es-MX"/>
        </w:rPr>
        <w:t>Suspensión</w:t>
      </w:r>
      <w:r w:rsidR="00AA14AE" w:rsidRPr="002C0C73">
        <w:rPr>
          <w:rFonts w:ascii="Arial" w:hAnsi="Arial"/>
          <w:b/>
          <w:sz w:val="24"/>
          <w:szCs w:val="24"/>
          <w:lang w:val="es-MX"/>
        </w:rPr>
        <w:t xml:space="preserve"> de actividades. </w:t>
      </w:r>
      <w:r w:rsidR="00AA14AE" w:rsidRPr="002C0C73">
        <w:rPr>
          <w:rFonts w:ascii="Arial" w:hAnsi="Arial"/>
          <w:sz w:val="24"/>
          <w:szCs w:val="24"/>
          <w:lang w:val="es-MX"/>
        </w:rPr>
        <w:t xml:space="preserve">En </w:t>
      </w:r>
      <w:r w:rsidR="006E7F6F" w:rsidRPr="002C0C73">
        <w:rPr>
          <w:rFonts w:ascii="Arial" w:hAnsi="Arial"/>
          <w:sz w:val="24"/>
          <w:szCs w:val="24"/>
          <w:u w:color="538135" w:themeColor="accent6" w:themeShade="BF"/>
          <w:lang w:val="es-MX"/>
        </w:rPr>
        <w:t>veintisiete de marzo</w:t>
      </w:r>
      <w:r w:rsidR="00AA14AE" w:rsidRPr="002C0C73">
        <w:rPr>
          <w:rFonts w:ascii="Arial" w:hAnsi="Arial"/>
          <w:sz w:val="24"/>
          <w:szCs w:val="24"/>
          <w:lang w:val="es-MX"/>
        </w:rPr>
        <w:t>, el INE suspend</w:t>
      </w:r>
      <w:r w:rsidR="00052106" w:rsidRPr="002C0C73">
        <w:rPr>
          <w:rFonts w:ascii="Arial" w:hAnsi="Arial"/>
          <w:sz w:val="24"/>
          <w:szCs w:val="24"/>
          <w:lang w:val="es-MX"/>
        </w:rPr>
        <w:t xml:space="preserve">ió </w:t>
      </w:r>
      <w:r w:rsidR="00AA14AE" w:rsidRPr="002C0C73">
        <w:rPr>
          <w:rFonts w:ascii="Arial" w:hAnsi="Arial"/>
          <w:sz w:val="24"/>
          <w:szCs w:val="24"/>
          <w:lang w:val="es-MX"/>
        </w:rPr>
        <w:t>los plazos inherentes a la</w:t>
      </w:r>
      <w:r w:rsidR="00052106" w:rsidRPr="002C0C73">
        <w:rPr>
          <w:rFonts w:ascii="Arial" w:hAnsi="Arial"/>
          <w:sz w:val="24"/>
          <w:szCs w:val="24"/>
          <w:lang w:val="es-MX"/>
        </w:rPr>
        <w:t xml:space="preserve"> </w:t>
      </w:r>
      <w:r w:rsidR="00AA14AE" w:rsidRPr="002C0C73">
        <w:rPr>
          <w:rFonts w:ascii="Arial" w:hAnsi="Arial"/>
          <w:sz w:val="24"/>
          <w:szCs w:val="24"/>
          <w:lang w:val="es-MX"/>
        </w:rPr>
        <w:t xml:space="preserve">función electoral, con motivo de la contingencia sanitaria derivada de la pandemia del </w:t>
      </w:r>
      <w:r w:rsidR="00F641F4" w:rsidRPr="002C0C73">
        <w:rPr>
          <w:rFonts w:ascii="Arial" w:hAnsi="Arial"/>
          <w:sz w:val="24"/>
          <w:szCs w:val="24"/>
          <w:lang w:val="es-MX"/>
        </w:rPr>
        <w:t>c</w:t>
      </w:r>
      <w:r w:rsidR="00AA14AE" w:rsidRPr="002C0C73">
        <w:rPr>
          <w:rFonts w:ascii="Arial" w:hAnsi="Arial"/>
          <w:sz w:val="24"/>
          <w:szCs w:val="24"/>
          <w:lang w:val="es-MX"/>
        </w:rPr>
        <w:t>oronavirus.</w:t>
      </w:r>
      <w:r w:rsidR="00AA14AE" w:rsidRPr="002C0C73">
        <w:rPr>
          <w:rStyle w:val="Refdenotaalpie"/>
          <w:rFonts w:ascii="Arial" w:hAnsi="Arial"/>
          <w:sz w:val="24"/>
          <w:szCs w:val="24"/>
          <w:lang w:val="es-MX"/>
        </w:rPr>
        <w:footnoteReference w:id="5"/>
      </w:r>
    </w:p>
    <w:p w:rsidR="00D977CE" w:rsidRPr="002C0C73" w:rsidRDefault="00D977CE" w:rsidP="00D977CE">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 xml:space="preserve">5. Informes. </w:t>
      </w:r>
      <w:r w:rsidRPr="002C0C73">
        <w:rPr>
          <w:rFonts w:ascii="Arial" w:hAnsi="Arial"/>
          <w:sz w:val="24"/>
          <w:szCs w:val="24"/>
          <w:lang w:val="es-MX"/>
        </w:rPr>
        <w:t>En su momento, la CPPP y el SE del INE informaron sobre el procedimiento de constitución de PPN y qué organizaciones presentaron solicitud de registro.</w:t>
      </w:r>
    </w:p>
    <w:p w:rsidR="00D977CE" w:rsidRPr="002C0C73" w:rsidRDefault="00D977CE" w:rsidP="00D977CE">
      <w:pPr>
        <w:pStyle w:val="Normalsentencia"/>
        <w:spacing w:before="100" w:beforeAutospacing="1" w:after="100" w:afterAutospacing="1"/>
        <w:ind w:firstLine="0"/>
        <w:rPr>
          <w:rFonts w:ascii="Arial" w:hAnsi="Arial"/>
          <w:b/>
          <w:sz w:val="24"/>
          <w:szCs w:val="24"/>
          <w:lang w:val="es-MX"/>
        </w:rPr>
      </w:pPr>
      <w:r w:rsidRPr="002C0C73">
        <w:rPr>
          <w:rFonts w:ascii="Arial" w:hAnsi="Arial"/>
          <w:sz w:val="24"/>
          <w:szCs w:val="24"/>
          <w:lang w:val="es-MX"/>
        </w:rPr>
        <w:lastRenderedPageBreak/>
        <w:t xml:space="preserve">Esos informes fueron impugnados por </w:t>
      </w:r>
      <w:r w:rsidR="00A12F2F" w:rsidRPr="002C0C73">
        <w:rPr>
          <w:rFonts w:ascii="Arial" w:hAnsi="Arial"/>
          <w:sz w:val="24"/>
          <w:szCs w:val="24"/>
          <w:lang w:val="es-MX"/>
        </w:rPr>
        <w:t xml:space="preserve">el </w:t>
      </w:r>
      <w:r w:rsidRPr="002C0C73">
        <w:rPr>
          <w:rFonts w:ascii="Arial" w:hAnsi="Arial"/>
          <w:sz w:val="24"/>
          <w:szCs w:val="24"/>
          <w:lang w:val="es-MX"/>
        </w:rPr>
        <w:t>FC</w:t>
      </w:r>
      <w:r w:rsidR="00A12F2F" w:rsidRPr="002C0C73">
        <w:rPr>
          <w:rFonts w:ascii="Arial" w:hAnsi="Arial"/>
          <w:sz w:val="24"/>
          <w:szCs w:val="24"/>
          <w:lang w:val="es-MX"/>
        </w:rPr>
        <w:t>T</w:t>
      </w:r>
      <w:r w:rsidRPr="002C0C73">
        <w:rPr>
          <w:rFonts w:ascii="Arial" w:hAnsi="Arial"/>
          <w:sz w:val="24"/>
          <w:szCs w:val="24"/>
          <w:lang w:val="es-MX"/>
        </w:rPr>
        <w:t>. La demanda motivó el juic</w:t>
      </w:r>
      <w:r w:rsidR="00A12F2F" w:rsidRPr="002C0C73">
        <w:rPr>
          <w:rFonts w:ascii="Arial" w:hAnsi="Arial"/>
          <w:sz w:val="24"/>
          <w:szCs w:val="24"/>
          <w:lang w:val="es-MX"/>
        </w:rPr>
        <w:t>i</w:t>
      </w:r>
      <w:r w:rsidRPr="002C0C73">
        <w:rPr>
          <w:rFonts w:ascii="Arial" w:hAnsi="Arial"/>
          <w:sz w:val="24"/>
          <w:szCs w:val="24"/>
          <w:lang w:val="es-MX"/>
        </w:rPr>
        <w:t xml:space="preserve">o SUP-JDC-216/2020, el cual fue resuelto por esta Sala Superior en el sentido de confirmar los actos. </w:t>
      </w:r>
      <w:r w:rsidRPr="002C0C73">
        <w:rPr>
          <w:rFonts w:ascii="Arial" w:hAnsi="Arial"/>
          <w:b/>
          <w:sz w:val="24"/>
          <w:szCs w:val="24"/>
          <w:lang w:val="es-MX"/>
        </w:rPr>
        <w:t xml:space="preserve"> </w:t>
      </w:r>
    </w:p>
    <w:p w:rsidR="00D977CE" w:rsidRPr="002C0C73" w:rsidRDefault="00D977CE" w:rsidP="003E1ACA">
      <w:pPr>
        <w:pStyle w:val="Normalsentencia"/>
        <w:spacing w:before="100" w:beforeAutospacing="1" w:after="100" w:afterAutospacing="1"/>
        <w:ind w:firstLine="0"/>
        <w:rPr>
          <w:rFonts w:ascii="Arial" w:hAnsi="Arial"/>
          <w:b/>
          <w:sz w:val="24"/>
          <w:szCs w:val="24"/>
          <w:lang w:val="es-MX"/>
        </w:rPr>
      </w:pPr>
      <w:r w:rsidRPr="002C0C73">
        <w:rPr>
          <w:rFonts w:ascii="Arial" w:hAnsi="Arial"/>
          <w:b/>
          <w:sz w:val="24"/>
          <w:szCs w:val="24"/>
          <w:lang w:val="es-MX"/>
        </w:rPr>
        <w:t>III. Reanudación de actividades</w:t>
      </w:r>
    </w:p>
    <w:p w:rsidR="00140102" w:rsidRPr="002C0C73" w:rsidRDefault="00D977CE" w:rsidP="003E1ACA">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1</w:t>
      </w:r>
      <w:r w:rsidR="00F03C8E" w:rsidRPr="002C0C73">
        <w:rPr>
          <w:rFonts w:ascii="Arial" w:hAnsi="Arial"/>
          <w:b/>
          <w:sz w:val="24"/>
          <w:szCs w:val="24"/>
          <w:lang w:val="es-MX"/>
        </w:rPr>
        <w:t xml:space="preserve">. </w:t>
      </w:r>
      <w:r w:rsidR="00140102" w:rsidRPr="002C0C73">
        <w:rPr>
          <w:rFonts w:ascii="Arial" w:hAnsi="Arial"/>
          <w:b/>
          <w:sz w:val="24"/>
          <w:szCs w:val="24"/>
          <w:lang w:val="es-MX"/>
        </w:rPr>
        <w:t xml:space="preserve">Acto impugnado. </w:t>
      </w:r>
      <w:r w:rsidR="00140102" w:rsidRPr="002C0C73">
        <w:rPr>
          <w:rFonts w:ascii="Arial" w:hAnsi="Arial"/>
          <w:sz w:val="24"/>
          <w:szCs w:val="24"/>
          <w:lang w:val="es-MX"/>
        </w:rPr>
        <w:t xml:space="preserve">El veintiocho de mayo, el </w:t>
      </w:r>
      <w:r w:rsidR="00052106" w:rsidRPr="002C0C73">
        <w:rPr>
          <w:rFonts w:ascii="Arial" w:hAnsi="Arial"/>
          <w:sz w:val="24"/>
          <w:szCs w:val="24"/>
          <w:lang w:val="es-MX"/>
        </w:rPr>
        <w:t xml:space="preserve">CG </w:t>
      </w:r>
      <w:r w:rsidR="00140102" w:rsidRPr="002C0C73">
        <w:rPr>
          <w:rFonts w:ascii="Arial" w:hAnsi="Arial"/>
          <w:sz w:val="24"/>
          <w:szCs w:val="24"/>
          <w:lang w:val="es-MX"/>
        </w:rPr>
        <w:t>del INE</w:t>
      </w:r>
      <w:r w:rsidR="00F11205" w:rsidRPr="002C0C73">
        <w:rPr>
          <w:rStyle w:val="Refdenotaalpie"/>
          <w:rFonts w:ascii="Arial" w:hAnsi="Arial"/>
          <w:b/>
          <w:sz w:val="24"/>
          <w:szCs w:val="24"/>
          <w:lang w:val="es-MX"/>
        </w:rPr>
        <w:footnoteReference w:id="6"/>
      </w:r>
      <w:r w:rsidR="00140102" w:rsidRPr="002C0C73">
        <w:rPr>
          <w:rFonts w:ascii="Arial" w:hAnsi="Arial"/>
          <w:sz w:val="24"/>
          <w:szCs w:val="24"/>
          <w:lang w:val="es-MX"/>
        </w:rPr>
        <w:t xml:space="preserve"> </w:t>
      </w:r>
      <w:r w:rsidR="00F11205" w:rsidRPr="002C0C73">
        <w:rPr>
          <w:rFonts w:ascii="Arial" w:hAnsi="Arial"/>
          <w:sz w:val="24"/>
          <w:szCs w:val="24"/>
          <w:lang w:val="es-MX"/>
        </w:rPr>
        <w:t>determinó reanuda</w:t>
      </w:r>
      <w:r w:rsidRPr="002C0C73">
        <w:rPr>
          <w:rFonts w:ascii="Arial" w:hAnsi="Arial"/>
          <w:sz w:val="24"/>
          <w:szCs w:val="24"/>
          <w:lang w:val="es-MX"/>
        </w:rPr>
        <w:t xml:space="preserve">r las </w:t>
      </w:r>
      <w:r w:rsidR="00F11205" w:rsidRPr="002C0C73">
        <w:rPr>
          <w:rFonts w:ascii="Arial" w:hAnsi="Arial"/>
          <w:sz w:val="24"/>
          <w:szCs w:val="24"/>
          <w:lang w:val="es-MX"/>
        </w:rPr>
        <w:t>actividades inherentes al procedimiento de constitución de PPN</w:t>
      </w:r>
      <w:r w:rsidR="00B405B6" w:rsidRPr="002C0C73">
        <w:rPr>
          <w:rFonts w:ascii="Arial" w:hAnsi="Arial"/>
          <w:sz w:val="24"/>
          <w:szCs w:val="24"/>
          <w:lang w:val="es-MX"/>
        </w:rPr>
        <w:t>.</w:t>
      </w:r>
      <w:r w:rsidR="00F11205" w:rsidRPr="002C0C73">
        <w:rPr>
          <w:rStyle w:val="Refdenotaalpie"/>
          <w:rFonts w:ascii="Arial" w:hAnsi="Arial"/>
          <w:sz w:val="24"/>
          <w:szCs w:val="24"/>
          <w:lang w:val="es-MX"/>
        </w:rPr>
        <w:footnoteReference w:id="7"/>
      </w:r>
    </w:p>
    <w:p w:rsidR="00F03C8E" w:rsidRPr="002C0C73" w:rsidRDefault="00E30CDE" w:rsidP="003E1ACA">
      <w:pPr>
        <w:pStyle w:val="Normalsentencia"/>
        <w:spacing w:before="100" w:beforeAutospacing="1" w:after="100" w:afterAutospacing="1"/>
        <w:ind w:firstLine="0"/>
        <w:rPr>
          <w:rFonts w:ascii="Arial" w:hAnsi="Arial"/>
          <w:sz w:val="24"/>
          <w:szCs w:val="24"/>
          <w:lang w:val="es-MX"/>
        </w:rPr>
      </w:pPr>
      <w:r w:rsidRPr="002C0C73">
        <w:rPr>
          <w:rFonts w:ascii="Arial" w:hAnsi="Arial"/>
          <w:b/>
          <w:sz w:val="24"/>
          <w:szCs w:val="24"/>
          <w:lang w:val="es-MX"/>
        </w:rPr>
        <w:t xml:space="preserve">2. </w:t>
      </w:r>
      <w:r w:rsidR="00F03C8E" w:rsidRPr="002C0C73">
        <w:rPr>
          <w:rFonts w:ascii="Arial" w:hAnsi="Arial"/>
          <w:b/>
          <w:sz w:val="24"/>
          <w:szCs w:val="24"/>
          <w:lang w:val="es-MX"/>
        </w:rPr>
        <w:t>Demanda</w:t>
      </w:r>
      <w:r w:rsidR="00B54F1C" w:rsidRPr="002C0C73">
        <w:rPr>
          <w:rFonts w:ascii="Arial" w:hAnsi="Arial"/>
          <w:b/>
          <w:sz w:val="24"/>
          <w:szCs w:val="24"/>
          <w:lang w:val="es-MX"/>
        </w:rPr>
        <w:t>s</w:t>
      </w:r>
      <w:r w:rsidR="00F03C8E" w:rsidRPr="002C0C73">
        <w:rPr>
          <w:rFonts w:ascii="Arial" w:hAnsi="Arial"/>
          <w:b/>
          <w:sz w:val="24"/>
          <w:szCs w:val="24"/>
          <w:lang w:val="es-MX"/>
        </w:rPr>
        <w:t>.</w:t>
      </w:r>
      <w:r w:rsidR="008E227D" w:rsidRPr="002C0C73">
        <w:rPr>
          <w:rFonts w:ascii="Arial" w:hAnsi="Arial"/>
          <w:sz w:val="24"/>
          <w:szCs w:val="24"/>
          <w:lang w:val="es-MX"/>
        </w:rPr>
        <w:t xml:space="preserve"> El </w:t>
      </w:r>
      <w:r w:rsidR="00F42572" w:rsidRPr="002C0C73">
        <w:rPr>
          <w:rFonts w:ascii="Arial" w:hAnsi="Arial"/>
          <w:sz w:val="24"/>
          <w:szCs w:val="24"/>
          <w:lang w:val="es-MX"/>
        </w:rPr>
        <w:t>tres</w:t>
      </w:r>
      <w:r w:rsidR="00997E02" w:rsidRPr="002C0C73">
        <w:rPr>
          <w:rFonts w:ascii="Arial" w:hAnsi="Arial"/>
          <w:sz w:val="24"/>
          <w:szCs w:val="24"/>
          <w:lang w:val="es-MX"/>
        </w:rPr>
        <w:t xml:space="preserve"> y cuatro</w:t>
      </w:r>
      <w:r w:rsidR="00574F33" w:rsidRPr="002C0C73">
        <w:rPr>
          <w:rFonts w:ascii="Arial" w:hAnsi="Arial"/>
          <w:sz w:val="24"/>
          <w:szCs w:val="24"/>
          <w:lang w:val="es-MX"/>
        </w:rPr>
        <w:t xml:space="preserve"> de junio,</w:t>
      </w:r>
      <w:r w:rsidR="008E227D" w:rsidRPr="002C0C73">
        <w:rPr>
          <w:rFonts w:ascii="Arial" w:hAnsi="Arial"/>
          <w:sz w:val="24"/>
          <w:szCs w:val="24"/>
          <w:lang w:val="es-MX"/>
        </w:rPr>
        <w:t xml:space="preserve"> </w:t>
      </w:r>
      <w:r w:rsidR="00997E02" w:rsidRPr="002C0C73">
        <w:rPr>
          <w:rFonts w:ascii="Arial" w:hAnsi="Arial"/>
          <w:sz w:val="24"/>
          <w:szCs w:val="24"/>
          <w:lang w:val="es-MX"/>
        </w:rPr>
        <w:t>respectivamente, l</w:t>
      </w:r>
      <w:r w:rsidR="0054386D" w:rsidRPr="002C0C73">
        <w:rPr>
          <w:rFonts w:ascii="Arial" w:hAnsi="Arial"/>
          <w:sz w:val="24"/>
          <w:szCs w:val="24"/>
          <w:lang w:val="es-MX"/>
        </w:rPr>
        <w:t>a</w:t>
      </w:r>
      <w:r w:rsidR="00997E02" w:rsidRPr="002C0C73">
        <w:rPr>
          <w:rFonts w:ascii="Arial" w:hAnsi="Arial"/>
          <w:sz w:val="24"/>
          <w:szCs w:val="24"/>
          <w:lang w:val="es-MX"/>
        </w:rPr>
        <w:t>s actor</w:t>
      </w:r>
      <w:r w:rsidR="0054386D" w:rsidRPr="002C0C73">
        <w:rPr>
          <w:rFonts w:ascii="Arial" w:hAnsi="Arial"/>
          <w:sz w:val="24"/>
          <w:szCs w:val="24"/>
          <w:lang w:val="es-MX"/>
        </w:rPr>
        <w:t>a</w:t>
      </w:r>
      <w:r w:rsidR="00997E02" w:rsidRPr="002C0C73">
        <w:rPr>
          <w:rFonts w:ascii="Arial" w:hAnsi="Arial"/>
          <w:sz w:val="24"/>
          <w:szCs w:val="24"/>
          <w:lang w:val="es-MX"/>
        </w:rPr>
        <w:t>s</w:t>
      </w:r>
      <w:r w:rsidR="00EB1D98" w:rsidRPr="002C0C73">
        <w:rPr>
          <w:rFonts w:ascii="Arial" w:hAnsi="Arial"/>
          <w:sz w:val="24"/>
          <w:szCs w:val="24"/>
          <w:lang w:val="es-MX"/>
        </w:rPr>
        <w:t xml:space="preserve"> present</w:t>
      </w:r>
      <w:r w:rsidR="00997E02" w:rsidRPr="002C0C73">
        <w:rPr>
          <w:rFonts w:ascii="Arial" w:hAnsi="Arial"/>
          <w:sz w:val="24"/>
          <w:szCs w:val="24"/>
          <w:lang w:val="es-MX"/>
        </w:rPr>
        <w:t>aron</w:t>
      </w:r>
      <w:r w:rsidR="00EB1D98" w:rsidRPr="002C0C73">
        <w:rPr>
          <w:rFonts w:ascii="Arial" w:hAnsi="Arial"/>
          <w:sz w:val="24"/>
          <w:szCs w:val="24"/>
          <w:lang w:val="es-MX"/>
        </w:rPr>
        <w:t xml:space="preserve"> demanda</w:t>
      </w:r>
      <w:r w:rsidR="00997E02" w:rsidRPr="002C0C73">
        <w:rPr>
          <w:rFonts w:ascii="Arial" w:hAnsi="Arial"/>
          <w:sz w:val="24"/>
          <w:szCs w:val="24"/>
          <w:lang w:val="es-MX"/>
        </w:rPr>
        <w:t>s</w:t>
      </w:r>
      <w:r w:rsidR="00EB1D98" w:rsidRPr="002C0C73">
        <w:rPr>
          <w:rFonts w:ascii="Arial" w:hAnsi="Arial"/>
          <w:sz w:val="24"/>
          <w:szCs w:val="24"/>
          <w:lang w:val="es-MX"/>
        </w:rPr>
        <w:t xml:space="preserve"> de juicio ciudadano</w:t>
      </w:r>
      <w:r w:rsidRPr="002C0C73">
        <w:rPr>
          <w:rFonts w:ascii="Arial" w:hAnsi="Arial"/>
          <w:sz w:val="24"/>
          <w:szCs w:val="24"/>
          <w:lang w:val="es-MX"/>
        </w:rPr>
        <w:t>, para impugnar ese acuerdo</w:t>
      </w:r>
      <w:r w:rsidR="00EB1D98" w:rsidRPr="002C0C73">
        <w:rPr>
          <w:rFonts w:ascii="Arial" w:hAnsi="Arial"/>
          <w:sz w:val="24"/>
          <w:szCs w:val="24"/>
          <w:lang w:val="es-MX"/>
        </w:rPr>
        <w:t>.</w:t>
      </w:r>
      <w:r w:rsidR="0054386D" w:rsidRPr="002C0C73">
        <w:rPr>
          <w:rStyle w:val="Refdenotaalpie"/>
          <w:rFonts w:ascii="Arial" w:hAnsi="Arial"/>
          <w:sz w:val="24"/>
          <w:szCs w:val="24"/>
          <w:lang w:val="es-MX"/>
        </w:rPr>
        <w:footnoteReference w:id="8"/>
      </w:r>
    </w:p>
    <w:p w:rsidR="008E227D" w:rsidRPr="002C0C73" w:rsidRDefault="006922C8" w:rsidP="003E1ACA">
      <w:pPr>
        <w:spacing w:before="100" w:beforeAutospacing="1" w:after="100" w:afterAutospacing="1" w:line="360" w:lineRule="auto"/>
        <w:jc w:val="both"/>
        <w:rPr>
          <w:rFonts w:cs="Arial"/>
          <w:sz w:val="24"/>
          <w:szCs w:val="24"/>
        </w:rPr>
      </w:pPr>
      <w:r w:rsidRPr="002C0C73">
        <w:rPr>
          <w:rFonts w:cs="Arial"/>
          <w:b/>
          <w:sz w:val="24"/>
          <w:szCs w:val="24"/>
        </w:rPr>
        <w:t>3</w:t>
      </w:r>
      <w:r w:rsidR="00E30CDE" w:rsidRPr="002C0C73">
        <w:rPr>
          <w:rFonts w:cs="Arial"/>
          <w:b/>
          <w:sz w:val="24"/>
          <w:szCs w:val="24"/>
        </w:rPr>
        <w:t>.</w:t>
      </w:r>
      <w:r w:rsidRPr="002C0C73">
        <w:rPr>
          <w:rFonts w:cs="Arial"/>
          <w:b/>
          <w:sz w:val="24"/>
          <w:szCs w:val="24"/>
        </w:rPr>
        <w:t xml:space="preserve"> </w:t>
      </w:r>
      <w:r w:rsidR="00997E02" w:rsidRPr="002C0C73">
        <w:rPr>
          <w:rFonts w:cs="Arial"/>
          <w:b/>
          <w:sz w:val="24"/>
          <w:szCs w:val="24"/>
        </w:rPr>
        <w:t>T</w:t>
      </w:r>
      <w:r w:rsidR="008E227D" w:rsidRPr="002C0C73">
        <w:rPr>
          <w:rFonts w:cs="Arial"/>
          <w:b/>
          <w:sz w:val="24"/>
          <w:szCs w:val="24"/>
        </w:rPr>
        <w:t>urno.</w:t>
      </w:r>
      <w:r w:rsidR="008E227D" w:rsidRPr="002C0C73">
        <w:rPr>
          <w:rFonts w:cs="Arial"/>
          <w:sz w:val="24"/>
          <w:szCs w:val="24"/>
        </w:rPr>
        <w:t xml:space="preserve"> En su oportunidad, el Magistrado Presidente integr</w:t>
      </w:r>
      <w:r w:rsidR="00E30CDE" w:rsidRPr="002C0C73">
        <w:rPr>
          <w:rFonts w:cs="Arial"/>
          <w:sz w:val="24"/>
          <w:szCs w:val="24"/>
        </w:rPr>
        <w:t>ó</w:t>
      </w:r>
      <w:r w:rsidR="008E227D" w:rsidRPr="002C0C73">
        <w:rPr>
          <w:rFonts w:cs="Arial"/>
          <w:sz w:val="24"/>
          <w:szCs w:val="24"/>
        </w:rPr>
        <w:t xml:space="preserve"> </w:t>
      </w:r>
      <w:r w:rsidR="00997E02" w:rsidRPr="002C0C73">
        <w:rPr>
          <w:rFonts w:cs="Arial"/>
          <w:sz w:val="24"/>
          <w:szCs w:val="24"/>
        </w:rPr>
        <w:t xml:space="preserve">los </w:t>
      </w:r>
      <w:r w:rsidR="008E227D" w:rsidRPr="002C0C73">
        <w:rPr>
          <w:rFonts w:cs="Arial"/>
          <w:sz w:val="24"/>
          <w:szCs w:val="24"/>
        </w:rPr>
        <w:t>expediente</w:t>
      </w:r>
      <w:r w:rsidR="00997E02" w:rsidRPr="002C0C73">
        <w:rPr>
          <w:rFonts w:cs="Arial"/>
          <w:sz w:val="24"/>
          <w:szCs w:val="24"/>
        </w:rPr>
        <w:t>s</w:t>
      </w:r>
      <w:r w:rsidR="008E227D" w:rsidRPr="002C0C73">
        <w:rPr>
          <w:rFonts w:cs="Arial"/>
          <w:sz w:val="24"/>
          <w:szCs w:val="24"/>
        </w:rPr>
        <w:t xml:space="preserve"> </w:t>
      </w:r>
      <w:r w:rsidR="008E227D" w:rsidRPr="002C0C73">
        <w:rPr>
          <w:rFonts w:cs="Arial"/>
          <w:b/>
          <w:sz w:val="24"/>
          <w:szCs w:val="24"/>
        </w:rPr>
        <w:t>SUP-J</w:t>
      </w:r>
      <w:r w:rsidR="00E529DD" w:rsidRPr="002C0C73">
        <w:rPr>
          <w:rFonts w:cs="Arial"/>
          <w:b/>
          <w:sz w:val="24"/>
          <w:szCs w:val="24"/>
        </w:rPr>
        <w:t>DC</w:t>
      </w:r>
      <w:r w:rsidR="008E227D" w:rsidRPr="002C0C73">
        <w:rPr>
          <w:rFonts w:cs="Arial"/>
          <w:b/>
          <w:sz w:val="24"/>
          <w:szCs w:val="24"/>
        </w:rPr>
        <w:t>-</w:t>
      </w:r>
      <w:r w:rsidR="00E529DD" w:rsidRPr="002C0C73">
        <w:rPr>
          <w:rFonts w:cs="Arial"/>
          <w:b/>
          <w:sz w:val="24"/>
          <w:szCs w:val="24"/>
        </w:rPr>
        <w:t>742</w:t>
      </w:r>
      <w:r w:rsidR="008E227D" w:rsidRPr="002C0C73">
        <w:rPr>
          <w:rFonts w:cs="Arial"/>
          <w:b/>
          <w:sz w:val="24"/>
          <w:szCs w:val="24"/>
        </w:rPr>
        <w:t>/2020</w:t>
      </w:r>
      <w:r w:rsidR="0054386D" w:rsidRPr="002C0C73">
        <w:rPr>
          <w:rFonts w:cs="Arial"/>
          <w:b/>
          <w:sz w:val="24"/>
          <w:szCs w:val="24"/>
        </w:rPr>
        <w:t>, SUP-JDC-747/2020</w:t>
      </w:r>
      <w:r w:rsidR="00E30CDE" w:rsidRPr="002C0C73">
        <w:rPr>
          <w:rFonts w:cs="Arial"/>
          <w:b/>
          <w:sz w:val="24"/>
          <w:szCs w:val="24"/>
        </w:rPr>
        <w:t>,</w:t>
      </w:r>
      <w:r w:rsidR="0054386D" w:rsidRPr="002C0C73">
        <w:rPr>
          <w:rFonts w:cs="Arial"/>
          <w:b/>
          <w:sz w:val="24"/>
          <w:szCs w:val="24"/>
        </w:rPr>
        <w:t xml:space="preserve"> </w:t>
      </w:r>
      <w:r w:rsidR="00997E02" w:rsidRPr="002C0C73">
        <w:rPr>
          <w:rFonts w:cs="Arial"/>
          <w:b/>
          <w:sz w:val="24"/>
          <w:szCs w:val="24"/>
        </w:rPr>
        <w:t>SUP-JDC-74</w:t>
      </w:r>
      <w:r w:rsidR="0054386D" w:rsidRPr="002C0C73">
        <w:rPr>
          <w:rFonts w:cs="Arial"/>
          <w:b/>
          <w:sz w:val="24"/>
          <w:szCs w:val="24"/>
        </w:rPr>
        <w:t>9</w:t>
      </w:r>
      <w:r w:rsidR="00997E02" w:rsidRPr="002C0C73">
        <w:rPr>
          <w:rFonts w:cs="Arial"/>
          <w:b/>
          <w:sz w:val="24"/>
          <w:szCs w:val="24"/>
        </w:rPr>
        <w:t>/2020</w:t>
      </w:r>
      <w:r w:rsidR="0054386D" w:rsidRPr="002C0C73">
        <w:rPr>
          <w:rFonts w:cs="Arial"/>
          <w:b/>
          <w:sz w:val="24"/>
          <w:szCs w:val="24"/>
        </w:rPr>
        <w:t xml:space="preserve"> y SUP-JDC-751/2020</w:t>
      </w:r>
      <w:r w:rsidR="008E227D" w:rsidRPr="002C0C73">
        <w:rPr>
          <w:rFonts w:cs="Arial"/>
          <w:b/>
          <w:sz w:val="24"/>
          <w:szCs w:val="24"/>
        </w:rPr>
        <w:t xml:space="preserve"> </w:t>
      </w:r>
      <w:r w:rsidR="008E227D" w:rsidRPr="002C0C73">
        <w:rPr>
          <w:rFonts w:cs="Arial"/>
          <w:sz w:val="24"/>
          <w:szCs w:val="24"/>
        </w:rPr>
        <w:t>y turnarlo</w:t>
      </w:r>
      <w:r w:rsidR="00997E02" w:rsidRPr="002C0C73">
        <w:rPr>
          <w:rFonts w:cs="Arial"/>
          <w:sz w:val="24"/>
          <w:szCs w:val="24"/>
        </w:rPr>
        <w:t>s</w:t>
      </w:r>
      <w:r w:rsidR="008E227D" w:rsidRPr="002C0C73">
        <w:rPr>
          <w:rFonts w:cs="Arial"/>
          <w:sz w:val="24"/>
          <w:szCs w:val="24"/>
        </w:rPr>
        <w:t xml:space="preserve"> a la Ponencia del Magistrado Felipe de la Mata Pizaña</w:t>
      </w:r>
      <w:r w:rsidR="00E30CDE" w:rsidRPr="002C0C73">
        <w:rPr>
          <w:rFonts w:cs="Arial"/>
          <w:sz w:val="24"/>
          <w:szCs w:val="24"/>
        </w:rPr>
        <w:t>.</w:t>
      </w:r>
    </w:p>
    <w:p w:rsidR="008D7402" w:rsidRPr="002C0C73" w:rsidRDefault="00F03DC6" w:rsidP="003E1ACA">
      <w:pPr>
        <w:spacing w:before="100" w:beforeAutospacing="1" w:after="100" w:afterAutospacing="1" w:line="360" w:lineRule="auto"/>
        <w:jc w:val="both"/>
        <w:rPr>
          <w:rFonts w:cs="Arial"/>
          <w:bCs/>
          <w:sz w:val="24"/>
          <w:szCs w:val="24"/>
        </w:rPr>
      </w:pPr>
      <w:bookmarkStart w:id="7" w:name="_Hlk535498708"/>
      <w:bookmarkEnd w:id="5"/>
      <w:r w:rsidRPr="002C0C73">
        <w:rPr>
          <w:rFonts w:cs="Arial"/>
          <w:b/>
          <w:sz w:val="24"/>
          <w:szCs w:val="24"/>
        </w:rPr>
        <w:t>4</w:t>
      </w:r>
      <w:r w:rsidR="008D7402" w:rsidRPr="002C0C73">
        <w:rPr>
          <w:rFonts w:cs="Arial"/>
          <w:b/>
          <w:sz w:val="24"/>
          <w:szCs w:val="24"/>
        </w:rPr>
        <w:t xml:space="preserve">. </w:t>
      </w:r>
      <w:r w:rsidR="00E30CDE" w:rsidRPr="002C0C73">
        <w:rPr>
          <w:rFonts w:cs="Arial"/>
          <w:b/>
          <w:sz w:val="24"/>
          <w:szCs w:val="24"/>
        </w:rPr>
        <w:t>I</w:t>
      </w:r>
      <w:r w:rsidR="008D7402" w:rsidRPr="002C0C73">
        <w:rPr>
          <w:rFonts w:cs="Arial"/>
          <w:b/>
          <w:sz w:val="24"/>
          <w:szCs w:val="24"/>
        </w:rPr>
        <w:t>nstrucción</w:t>
      </w:r>
      <w:r w:rsidR="008D7402" w:rsidRPr="002C0C73">
        <w:rPr>
          <w:rFonts w:cs="Arial"/>
          <w:sz w:val="24"/>
          <w:szCs w:val="24"/>
        </w:rPr>
        <w:t>.</w:t>
      </w:r>
      <w:r w:rsidR="0017055A" w:rsidRPr="002C0C73">
        <w:rPr>
          <w:rFonts w:cs="Arial"/>
          <w:sz w:val="24"/>
          <w:szCs w:val="24"/>
        </w:rPr>
        <w:t xml:space="preserve"> El Magistrado Instructor </w:t>
      </w:r>
      <w:r w:rsidR="00997E02" w:rsidRPr="002C0C73">
        <w:rPr>
          <w:rFonts w:cs="Arial"/>
          <w:sz w:val="24"/>
          <w:szCs w:val="24"/>
        </w:rPr>
        <w:t>radicó los exped</w:t>
      </w:r>
      <w:r w:rsidR="00CF7A21" w:rsidRPr="002C0C73">
        <w:rPr>
          <w:rFonts w:cs="Arial"/>
          <w:sz w:val="24"/>
          <w:szCs w:val="24"/>
        </w:rPr>
        <w:t>i</w:t>
      </w:r>
      <w:r w:rsidR="00997E02" w:rsidRPr="002C0C73">
        <w:rPr>
          <w:rFonts w:cs="Arial"/>
          <w:sz w:val="24"/>
          <w:szCs w:val="24"/>
        </w:rPr>
        <w:t>entes</w:t>
      </w:r>
      <w:r w:rsidR="0017055A" w:rsidRPr="002C0C73">
        <w:rPr>
          <w:rFonts w:cs="Arial"/>
          <w:sz w:val="24"/>
          <w:szCs w:val="24"/>
        </w:rPr>
        <w:t>, lo</w:t>
      </w:r>
      <w:r w:rsidR="00997E02" w:rsidRPr="002C0C73">
        <w:rPr>
          <w:rFonts w:cs="Arial"/>
          <w:sz w:val="24"/>
          <w:szCs w:val="24"/>
        </w:rPr>
        <w:t xml:space="preserve">s </w:t>
      </w:r>
      <w:r w:rsidR="0017055A" w:rsidRPr="002C0C73">
        <w:rPr>
          <w:rFonts w:cs="Arial"/>
          <w:sz w:val="24"/>
          <w:szCs w:val="24"/>
        </w:rPr>
        <w:t xml:space="preserve">admitió a trámite y, </w:t>
      </w:r>
      <w:r w:rsidR="003F3DCE" w:rsidRPr="002C0C73">
        <w:rPr>
          <w:rFonts w:cs="Arial"/>
          <w:sz w:val="24"/>
          <w:szCs w:val="24"/>
        </w:rPr>
        <w:t>sin otra diligencia pendiente por desahogar, declaró cerrada la instrucción</w:t>
      </w:r>
      <w:r w:rsidR="00967201" w:rsidRPr="002C0C73">
        <w:rPr>
          <w:rFonts w:cs="Arial"/>
          <w:sz w:val="24"/>
          <w:szCs w:val="24"/>
        </w:rPr>
        <w:t>, a fin de elaborar el proyecto de sentencia correspondiente.</w:t>
      </w:r>
    </w:p>
    <w:p w:rsidR="00176416" w:rsidRPr="002C0C73" w:rsidRDefault="004F39F3" w:rsidP="003E1ACA">
      <w:pPr>
        <w:pStyle w:val="Ttulo1"/>
        <w:keepNext w:val="0"/>
        <w:keepLines w:val="0"/>
        <w:widowControl w:val="0"/>
        <w:spacing w:before="100" w:beforeAutospacing="1" w:after="100" w:afterAutospacing="1" w:line="336" w:lineRule="auto"/>
        <w:jc w:val="center"/>
        <w:rPr>
          <w:rFonts w:ascii="Arial" w:eastAsia="Times New Roman" w:hAnsi="Arial" w:cs="Arial"/>
          <w:b/>
          <w:color w:val="auto"/>
          <w:sz w:val="24"/>
          <w:szCs w:val="24"/>
          <w:lang w:eastAsia="es-MX"/>
        </w:rPr>
      </w:pPr>
      <w:bookmarkStart w:id="8" w:name="_Toc43048084"/>
      <w:bookmarkEnd w:id="6"/>
      <w:bookmarkEnd w:id="7"/>
      <w:r w:rsidRPr="002C0C73">
        <w:rPr>
          <w:rFonts w:ascii="Arial" w:eastAsia="Times New Roman" w:hAnsi="Arial" w:cs="Arial"/>
          <w:b/>
          <w:color w:val="auto"/>
          <w:sz w:val="24"/>
          <w:szCs w:val="24"/>
          <w:lang w:eastAsia="es-MX"/>
        </w:rPr>
        <w:t>COMPETENCIA</w:t>
      </w:r>
      <w:bookmarkStart w:id="9" w:name="_Toc496171375"/>
      <w:bookmarkEnd w:id="8"/>
    </w:p>
    <w:bookmarkEnd w:id="9"/>
    <w:p w:rsidR="00DC2FBD" w:rsidRPr="002C0C73" w:rsidRDefault="00DC2FBD" w:rsidP="009E41C4">
      <w:pPr>
        <w:widowControl w:val="0"/>
        <w:spacing w:before="100" w:beforeAutospacing="1" w:after="100" w:afterAutospacing="1" w:line="360" w:lineRule="auto"/>
        <w:mirrorIndents/>
        <w:jc w:val="both"/>
        <w:rPr>
          <w:rFonts w:cs="Arial"/>
          <w:sz w:val="24"/>
        </w:rPr>
      </w:pPr>
      <w:r w:rsidRPr="002C0C73">
        <w:rPr>
          <w:rFonts w:cs="Arial"/>
          <w:sz w:val="24"/>
        </w:rPr>
        <w:t>Esta Sala Superior es competente para</w:t>
      </w:r>
      <w:r w:rsidR="00AA2C85" w:rsidRPr="002C0C73">
        <w:rPr>
          <w:rFonts w:cs="Arial"/>
          <w:sz w:val="24"/>
        </w:rPr>
        <w:t xml:space="preserve"> conocer y</w:t>
      </w:r>
      <w:r w:rsidRPr="002C0C73">
        <w:rPr>
          <w:rFonts w:cs="Arial"/>
          <w:sz w:val="24"/>
        </w:rPr>
        <w:t xml:space="preserve"> resolver </w:t>
      </w:r>
      <w:r w:rsidR="00E30CDE" w:rsidRPr="002C0C73">
        <w:rPr>
          <w:rFonts w:cs="Arial"/>
          <w:sz w:val="24"/>
        </w:rPr>
        <w:t>los asuntos</w:t>
      </w:r>
      <w:r w:rsidRPr="002C0C73">
        <w:rPr>
          <w:rFonts w:cs="Arial"/>
          <w:sz w:val="24"/>
        </w:rPr>
        <w:t xml:space="preserve">, </w:t>
      </w:r>
      <w:r w:rsidR="00E30CDE" w:rsidRPr="002C0C73">
        <w:rPr>
          <w:rFonts w:cs="Arial"/>
          <w:sz w:val="24"/>
        </w:rPr>
        <w:t xml:space="preserve">porque son juicios ciudadanos en los que </w:t>
      </w:r>
      <w:r w:rsidRPr="002C0C73">
        <w:rPr>
          <w:rFonts w:cs="Arial"/>
          <w:sz w:val="24"/>
        </w:rPr>
        <w:t xml:space="preserve">la materia de controversia está relacionada con el procedimiento de constitución de </w:t>
      </w:r>
      <w:r w:rsidR="00E30CDE" w:rsidRPr="002C0C73">
        <w:rPr>
          <w:rFonts w:cs="Arial"/>
          <w:sz w:val="24"/>
        </w:rPr>
        <w:t>PPN</w:t>
      </w:r>
      <w:r w:rsidRPr="002C0C73">
        <w:rPr>
          <w:rFonts w:cs="Arial"/>
          <w:sz w:val="24"/>
        </w:rPr>
        <w:t>.</w:t>
      </w:r>
      <w:r w:rsidRPr="002C0C73">
        <w:rPr>
          <w:rFonts w:cs="Arial"/>
          <w:sz w:val="24"/>
          <w:vertAlign w:val="superscript"/>
        </w:rPr>
        <w:footnoteReference w:id="9"/>
      </w:r>
    </w:p>
    <w:p w:rsidR="00B54F1C" w:rsidRPr="002C0C73" w:rsidRDefault="00B54F1C" w:rsidP="00B54F1C">
      <w:pPr>
        <w:pStyle w:val="Ttulo1"/>
        <w:keepNext w:val="0"/>
        <w:keepLines w:val="0"/>
        <w:widowControl w:val="0"/>
        <w:spacing w:before="100" w:beforeAutospacing="1" w:after="100" w:afterAutospacing="1" w:line="336" w:lineRule="auto"/>
        <w:jc w:val="center"/>
        <w:rPr>
          <w:rFonts w:ascii="Arial" w:eastAsia="Times New Roman" w:hAnsi="Arial" w:cs="Arial"/>
          <w:b/>
          <w:color w:val="auto"/>
          <w:sz w:val="24"/>
          <w:szCs w:val="24"/>
          <w:lang w:eastAsia="es-MX"/>
        </w:rPr>
      </w:pPr>
      <w:bookmarkStart w:id="12" w:name="_Toc940504"/>
      <w:bookmarkStart w:id="13" w:name="_Toc43048085"/>
      <w:r w:rsidRPr="002C0C73">
        <w:rPr>
          <w:rFonts w:ascii="Arial" w:eastAsia="Times New Roman" w:hAnsi="Arial" w:cs="Arial"/>
          <w:b/>
          <w:color w:val="auto"/>
          <w:sz w:val="24"/>
          <w:szCs w:val="24"/>
          <w:lang w:eastAsia="es-MX"/>
        </w:rPr>
        <w:t>ACUMULACIÓN</w:t>
      </w:r>
      <w:bookmarkEnd w:id="12"/>
      <w:bookmarkEnd w:id="13"/>
    </w:p>
    <w:p w:rsidR="00B54F1C" w:rsidRPr="002C0C73" w:rsidRDefault="00B54F1C" w:rsidP="00B54F1C">
      <w:pPr>
        <w:spacing w:before="100" w:beforeAutospacing="1" w:after="100" w:afterAutospacing="1" w:line="336" w:lineRule="auto"/>
        <w:jc w:val="both"/>
        <w:rPr>
          <w:rFonts w:eastAsia="Times New Roman" w:cs="Arial"/>
          <w:sz w:val="24"/>
          <w:szCs w:val="24"/>
          <w:lang w:eastAsia="es-MX"/>
        </w:rPr>
      </w:pPr>
      <w:r w:rsidRPr="002C0C73">
        <w:rPr>
          <w:rFonts w:eastAsia="Times New Roman" w:cs="Arial"/>
          <w:sz w:val="24"/>
          <w:szCs w:val="24"/>
          <w:lang w:eastAsia="es-MX"/>
        </w:rPr>
        <w:t>Procede acumular los juicios</w:t>
      </w:r>
      <w:r w:rsidR="00E30CDE" w:rsidRPr="002C0C73">
        <w:rPr>
          <w:rFonts w:eastAsia="Times New Roman" w:cs="Arial"/>
          <w:sz w:val="24"/>
          <w:szCs w:val="24"/>
          <w:lang w:eastAsia="es-MX"/>
        </w:rPr>
        <w:t xml:space="preserve"> al </w:t>
      </w:r>
      <w:r w:rsidRPr="002C0C73">
        <w:rPr>
          <w:rFonts w:eastAsia="Times New Roman" w:cs="Arial"/>
          <w:sz w:val="24"/>
          <w:szCs w:val="24"/>
          <w:lang w:eastAsia="es-MX"/>
        </w:rPr>
        <w:t>exist</w:t>
      </w:r>
      <w:r w:rsidR="00E30CDE" w:rsidRPr="002C0C73">
        <w:rPr>
          <w:rFonts w:eastAsia="Times New Roman" w:cs="Arial"/>
          <w:sz w:val="24"/>
          <w:szCs w:val="24"/>
          <w:lang w:eastAsia="es-MX"/>
        </w:rPr>
        <w:t>ir</w:t>
      </w:r>
      <w:r w:rsidRPr="002C0C73">
        <w:rPr>
          <w:rFonts w:eastAsia="Times New Roman" w:cs="Arial"/>
          <w:sz w:val="24"/>
          <w:szCs w:val="24"/>
          <w:lang w:eastAsia="es-MX"/>
        </w:rPr>
        <w:t xml:space="preserve"> conexidad en la causa, esto es, identidad del CG </w:t>
      </w:r>
      <w:r w:rsidR="00E30CDE" w:rsidRPr="002C0C73">
        <w:rPr>
          <w:rFonts w:eastAsia="Times New Roman" w:cs="Arial"/>
          <w:sz w:val="24"/>
          <w:szCs w:val="24"/>
          <w:lang w:eastAsia="es-MX"/>
        </w:rPr>
        <w:t xml:space="preserve">del </w:t>
      </w:r>
      <w:r w:rsidRPr="002C0C73">
        <w:rPr>
          <w:rFonts w:eastAsia="Times New Roman" w:cs="Arial"/>
          <w:sz w:val="24"/>
          <w:szCs w:val="24"/>
          <w:lang w:eastAsia="es-MX"/>
        </w:rPr>
        <w:t>INE como la autoridad responsable y del acto impugnado</w:t>
      </w:r>
      <w:r w:rsidR="00E30CDE" w:rsidRPr="002C0C73">
        <w:rPr>
          <w:rFonts w:eastAsia="Times New Roman" w:cs="Arial"/>
          <w:sz w:val="24"/>
          <w:szCs w:val="24"/>
          <w:lang w:eastAsia="es-MX"/>
        </w:rPr>
        <w:t>,</w:t>
      </w:r>
      <w:r w:rsidRPr="002C0C73">
        <w:rPr>
          <w:rFonts w:eastAsia="Times New Roman" w:cs="Arial"/>
          <w:sz w:val="24"/>
          <w:szCs w:val="24"/>
          <w:lang w:eastAsia="es-MX"/>
        </w:rPr>
        <w:t xml:space="preserve"> consistente </w:t>
      </w:r>
      <w:r w:rsidR="00E30CDE" w:rsidRPr="002C0C73">
        <w:rPr>
          <w:rFonts w:eastAsia="Times New Roman" w:cs="Arial"/>
          <w:sz w:val="24"/>
          <w:szCs w:val="24"/>
          <w:lang w:eastAsia="es-MX"/>
        </w:rPr>
        <w:t xml:space="preserve">en </w:t>
      </w:r>
      <w:r w:rsidRPr="002C0C73">
        <w:rPr>
          <w:rFonts w:eastAsia="Times New Roman" w:cs="Arial"/>
          <w:sz w:val="24"/>
          <w:szCs w:val="24"/>
          <w:lang w:eastAsia="es-MX"/>
        </w:rPr>
        <w:t xml:space="preserve">el acuerdo por el cual se reanudan actividades, respecto al </w:t>
      </w:r>
      <w:r w:rsidR="00E30CDE" w:rsidRPr="002C0C73">
        <w:rPr>
          <w:rFonts w:eastAsia="Times New Roman" w:cs="Arial"/>
          <w:sz w:val="24"/>
          <w:szCs w:val="24"/>
          <w:lang w:eastAsia="es-MX"/>
        </w:rPr>
        <w:t>pro</w:t>
      </w:r>
      <w:r w:rsidR="00A12F2F" w:rsidRPr="002C0C73">
        <w:rPr>
          <w:rFonts w:eastAsia="Times New Roman" w:cs="Arial"/>
          <w:sz w:val="24"/>
          <w:szCs w:val="24"/>
          <w:lang w:eastAsia="es-MX"/>
        </w:rPr>
        <w:t>c</w:t>
      </w:r>
      <w:r w:rsidR="00E30CDE" w:rsidRPr="002C0C73">
        <w:rPr>
          <w:rFonts w:eastAsia="Times New Roman" w:cs="Arial"/>
          <w:sz w:val="24"/>
          <w:szCs w:val="24"/>
          <w:lang w:eastAsia="es-MX"/>
        </w:rPr>
        <w:t xml:space="preserve">edimiento </w:t>
      </w:r>
      <w:r w:rsidRPr="002C0C73">
        <w:rPr>
          <w:rFonts w:eastAsia="Times New Roman" w:cs="Arial"/>
          <w:sz w:val="24"/>
          <w:szCs w:val="24"/>
          <w:lang w:eastAsia="es-MX"/>
        </w:rPr>
        <w:t xml:space="preserve">de constitución de nuevos PPN. </w:t>
      </w:r>
    </w:p>
    <w:p w:rsidR="00E30CDE" w:rsidRPr="002C0C73" w:rsidRDefault="00B54F1C" w:rsidP="00B54F1C">
      <w:pPr>
        <w:spacing w:before="100" w:beforeAutospacing="1" w:after="100" w:afterAutospacing="1" w:line="336" w:lineRule="auto"/>
        <w:jc w:val="both"/>
        <w:rPr>
          <w:rFonts w:eastAsia="Times New Roman" w:cs="Arial"/>
          <w:sz w:val="24"/>
          <w:szCs w:val="24"/>
          <w:lang w:eastAsia="es-MX"/>
        </w:rPr>
      </w:pPr>
      <w:r w:rsidRPr="002C0C73">
        <w:rPr>
          <w:rFonts w:eastAsia="Times New Roman" w:cs="Arial"/>
          <w:sz w:val="24"/>
          <w:szCs w:val="24"/>
          <w:lang w:eastAsia="es-MX"/>
        </w:rPr>
        <w:lastRenderedPageBreak/>
        <w:t xml:space="preserve">En consecuencia, </w:t>
      </w:r>
      <w:r w:rsidR="00BA513D" w:rsidRPr="002C0C73">
        <w:rPr>
          <w:rFonts w:eastAsia="Times New Roman" w:cs="Arial"/>
          <w:sz w:val="24"/>
          <w:szCs w:val="24"/>
          <w:lang w:eastAsia="es-MX"/>
        </w:rPr>
        <w:t xml:space="preserve">los juicios </w:t>
      </w:r>
      <w:r w:rsidRPr="002C0C73">
        <w:rPr>
          <w:rFonts w:eastAsia="Times New Roman" w:cs="Arial"/>
          <w:b/>
          <w:sz w:val="24"/>
          <w:szCs w:val="24"/>
          <w:lang w:eastAsia="es-MX"/>
        </w:rPr>
        <w:t>SUP-JDC-747/2020</w:t>
      </w:r>
      <w:r w:rsidR="00471D8C" w:rsidRPr="002C0C73">
        <w:rPr>
          <w:rFonts w:eastAsia="Times New Roman" w:cs="Arial"/>
          <w:b/>
          <w:sz w:val="24"/>
          <w:szCs w:val="24"/>
          <w:lang w:eastAsia="es-MX"/>
        </w:rPr>
        <w:t xml:space="preserve">, SUP-JDC-749/2020 y SUP-JDC-751/2020 </w:t>
      </w:r>
      <w:r w:rsidRPr="002C0C73">
        <w:rPr>
          <w:rFonts w:eastAsia="Times New Roman" w:cs="Arial"/>
          <w:sz w:val="24"/>
          <w:szCs w:val="24"/>
          <w:lang w:eastAsia="es-MX"/>
        </w:rPr>
        <w:t>se acumula</w:t>
      </w:r>
      <w:r w:rsidR="00A12F2F" w:rsidRPr="002C0C73">
        <w:rPr>
          <w:rFonts w:eastAsia="Times New Roman" w:cs="Arial"/>
          <w:sz w:val="24"/>
          <w:szCs w:val="24"/>
          <w:lang w:eastAsia="es-MX"/>
        </w:rPr>
        <w:t>n</w:t>
      </w:r>
      <w:r w:rsidRPr="002C0C73">
        <w:rPr>
          <w:rFonts w:eastAsia="Times New Roman" w:cs="Arial"/>
          <w:sz w:val="24"/>
          <w:szCs w:val="24"/>
          <w:lang w:eastAsia="es-MX"/>
        </w:rPr>
        <w:t xml:space="preserve"> al </w:t>
      </w:r>
      <w:r w:rsidRPr="002C0C73">
        <w:rPr>
          <w:rFonts w:eastAsia="Times New Roman" w:cs="Arial"/>
          <w:b/>
          <w:sz w:val="24"/>
          <w:szCs w:val="24"/>
          <w:lang w:eastAsia="es-MX"/>
        </w:rPr>
        <w:t>SUP-JDC-742/2020</w:t>
      </w:r>
      <w:r w:rsidRPr="002C0C73">
        <w:rPr>
          <w:rFonts w:eastAsia="Times New Roman" w:cs="Arial"/>
          <w:sz w:val="24"/>
          <w:szCs w:val="24"/>
          <w:lang w:eastAsia="es-MX"/>
        </w:rPr>
        <w:t>, por ser el más antiguo</w:t>
      </w:r>
      <w:r w:rsidR="00E30CDE" w:rsidRPr="002C0C73">
        <w:rPr>
          <w:rFonts w:eastAsia="Times New Roman" w:cs="Arial"/>
          <w:sz w:val="24"/>
          <w:szCs w:val="24"/>
          <w:lang w:eastAsia="es-MX"/>
        </w:rPr>
        <w:t xml:space="preserve">. </w:t>
      </w:r>
    </w:p>
    <w:p w:rsidR="00B54F1C" w:rsidRPr="002C0C73" w:rsidRDefault="00E30CDE" w:rsidP="00B54F1C">
      <w:pPr>
        <w:spacing w:before="100" w:beforeAutospacing="1" w:after="100" w:afterAutospacing="1" w:line="336" w:lineRule="auto"/>
        <w:jc w:val="both"/>
        <w:rPr>
          <w:rFonts w:eastAsia="Times New Roman" w:cs="Arial"/>
          <w:sz w:val="24"/>
          <w:szCs w:val="24"/>
          <w:lang w:eastAsia="es-MX"/>
        </w:rPr>
      </w:pPr>
      <w:r w:rsidRPr="002C0C73">
        <w:rPr>
          <w:rFonts w:eastAsia="Times New Roman" w:cs="Arial"/>
          <w:sz w:val="24"/>
          <w:szCs w:val="24"/>
          <w:lang w:eastAsia="es-MX"/>
        </w:rPr>
        <w:t>Se deberá</w:t>
      </w:r>
      <w:r w:rsidR="00AB58BA" w:rsidRPr="002C0C73">
        <w:rPr>
          <w:rFonts w:eastAsia="Times New Roman" w:cs="Arial"/>
          <w:sz w:val="24"/>
          <w:szCs w:val="24"/>
          <w:lang w:eastAsia="es-MX"/>
        </w:rPr>
        <w:t xml:space="preserve"> glosar</w:t>
      </w:r>
      <w:r w:rsidRPr="002C0C73">
        <w:rPr>
          <w:rFonts w:eastAsia="Times New Roman" w:cs="Arial"/>
          <w:sz w:val="24"/>
          <w:szCs w:val="24"/>
          <w:lang w:eastAsia="es-MX"/>
        </w:rPr>
        <w:t xml:space="preserve"> la certificación de los puntos resolutivos a los expedientes acumulados</w:t>
      </w:r>
      <w:r w:rsidR="00A12F2F" w:rsidRPr="002C0C73">
        <w:rPr>
          <w:rFonts w:eastAsia="Times New Roman" w:cs="Arial"/>
          <w:sz w:val="24"/>
          <w:szCs w:val="24"/>
          <w:lang w:eastAsia="es-MX"/>
        </w:rPr>
        <w:t>.</w:t>
      </w:r>
    </w:p>
    <w:p w:rsidR="00A77A32" w:rsidRPr="002C0C73" w:rsidRDefault="00A77A32" w:rsidP="003E1ACA">
      <w:pPr>
        <w:pStyle w:val="Ttulo1"/>
        <w:keepNext w:val="0"/>
        <w:keepLines w:val="0"/>
        <w:widowControl w:val="0"/>
        <w:spacing w:before="100" w:beforeAutospacing="1" w:after="100" w:afterAutospacing="1" w:line="336" w:lineRule="auto"/>
        <w:jc w:val="center"/>
        <w:rPr>
          <w:rFonts w:ascii="Arial" w:eastAsia="Times New Roman" w:hAnsi="Arial" w:cs="Arial"/>
          <w:b/>
          <w:color w:val="auto"/>
          <w:sz w:val="24"/>
          <w:szCs w:val="24"/>
          <w:lang w:eastAsia="es-MX"/>
        </w:rPr>
      </w:pPr>
      <w:bookmarkStart w:id="14" w:name="_Toc43048086"/>
      <w:r w:rsidRPr="002C0C73">
        <w:rPr>
          <w:rFonts w:ascii="Arial" w:eastAsia="Times New Roman" w:hAnsi="Arial" w:cs="Arial"/>
          <w:b/>
          <w:color w:val="auto"/>
          <w:sz w:val="24"/>
          <w:szCs w:val="24"/>
          <w:lang w:eastAsia="es-MX"/>
        </w:rPr>
        <w:t xml:space="preserve">URGENCIA </w:t>
      </w:r>
      <w:r w:rsidR="00964288" w:rsidRPr="002C0C73">
        <w:rPr>
          <w:rFonts w:ascii="Arial" w:eastAsia="Times New Roman" w:hAnsi="Arial" w:cs="Arial"/>
          <w:b/>
          <w:color w:val="auto"/>
          <w:sz w:val="24"/>
          <w:szCs w:val="24"/>
          <w:lang w:eastAsia="es-MX"/>
        </w:rPr>
        <w:t>DE RESOLVER</w:t>
      </w:r>
      <w:bookmarkEnd w:id="14"/>
      <w:r w:rsidR="00964288" w:rsidRPr="002C0C73">
        <w:rPr>
          <w:rFonts w:ascii="Arial" w:eastAsia="Times New Roman" w:hAnsi="Arial" w:cs="Arial"/>
          <w:b/>
          <w:color w:val="auto"/>
          <w:sz w:val="24"/>
          <w:szCs w:val="24"/>
          <w:lang w:eastAsia="es-MX"/>
        </w:rPr>
        <w:t xml:space="preserve"> </w:t>
      </w:r>
    </w:p>
    <w:p w:rsidR="00C02D3D" w:rsidRPr="002C0C73" w:rsidRDefault="00E30CDE" w:rsidP="003E1ACA">
      <w:pPr>
        <w:pStyle w:val="numerados"/>
        <w:widowControl w:val="0"/>
        <w:numPr>
          <w:ilvl w:val="0"/>
          <w:numId w:val="0"/>
        </w:numPr>
        <w:spacing w:before="100" w:beforeAutospacing="1" w:after="100" w:afterAutospacing="1" w:line="336" w:lineRule="auto"/>
        <w:rPr>
          <w:rFonts w:ascii="Arial" w:hAnsi="Arial" w:cs="Arial"/>
          <w:sz w:val="24"/>
          <w:szCs w:val="24"/>
        </w:rPr>
      </w:pPr>
      <w:r w:rsidRPr="002C0C73">
        <w:rPr>
          <w:rFonts w:ascii="Arial" w:hAnsi="Arial" w:cs="Arial"/>
          <w:sz w:val="24"/>
          <w:szCs w:val="24"/>
        </w:rPr>
        <w:t xml:space="preserve">Los </w:t>
      </w:r>
      <w:r w:rsidR="00840F7A" w:rsidRPr="002C0C73">
        <w:rPr>
          <w:rFonts w:ascii="Arial" w:hAnsi="Arial" w:cs="Arial"/>
          <w:sz w:val="24"/>
          <w:szCs w:val="24"/>
        </w:rPr>
        <w:t>juicio</w:t>
      </w:r>
      <w:r w:rsidRPr="002C0C73">
        <w:rPr>
          <w:rFonts w:ascii="Arial" w:hAnsi="Arial" w:cs="Arial"/>
          <w:sz w:val="24"/>
          <w:szCs w:val="24"/>
        </w:rPr>
        <w:t>s</w:t>
      </w:r>
      <w:r w:rsidR="00840F7A" w:rsidRPr="002C0C73">
        <w:rPr>
          <w:rFonts w:ascii="Arial" w:hAnsi="Arial" w:cs="Arial"/>
          <w:sz w:val="24"/>
          <w:szCs w:val="24"/>
        </w:rPr>
        <w:t xml:space="preserve"> </w:t>
      </w:r>
      <w:r w:rsidRPr="002C0C73">
        <w:rPr>
          <w:rFonts w:ascii="Arial" w:hAnsi="Arial" w:cs="Arial"/>
          <w:sz w:val="24"/>
          <w:szCs w:val="24"/>
        </w:rPr>
        <w:t xml:space="preserve">son de </w:t>
      </w:r>
      <w:r w:rsidR="00840F7A" w:rsidRPr="002C0C73">
        <w:rPr>
          <w:rFonts w:ascii="Arial" w:hAnsi="Arial" w:cs="Arial"/>
          <w:sz w:val="24"/>
          <w:szCs w:val="24"/>
        </w:rPr>
        <w:t xml:space="preserve">urgente resolución </w:t>
      </w:r>
      <w:r w:rsidR="006E110D" w:rsidRPr="002C0C73">
        <w:rPr>
          <w:rFonts w:ascii="Arial" w:hAnsi="Arial" w:cs="Arial"/>
          <w:sz w:val="24"/>
          <w:szCs w:val="24"/>
        </w:rPr>
        <w:t>conforme a</w:t>
      </w:r>
      <w:r w:rsidR="00840F7A" w:rsidRPr="002C0C73">
        <w:rPr>
          <w:rFonts w:ascii="Arial" w:hAnsi="Arial" w:cs="Arial"/>
          <w:sz w:val="24"/>
          <w:szCs w:val="24"/>
        </w:rPr>
        <w:t xml:space="preserve"> lo dispuesto </w:t>
      </w:r>
      <w:r w:rsidR="00840F7A" w:rsidRPr="002C0C73">
        <w:rPr>
          <w:rFonts w:ascii="Arial" w:hAnsi="Arial" w:cs="Arial"/>
          <w:sz w:val="24"/>
          <w:szCs w:val="24"/>
          <w:lang w:eastAsia="es-MX"/>
        </w:rPr>
        <w:t>en los Acuerdos Generales 2/2020 y 4/2020</w:t>
      </w:r>
      <w:r w:rsidR="00EF411B" w:rsidRPr="002C0C73">
        <w:rPr>
          <w:rFonts w:ascii="Arial" w:hAnsi="Arial" w:cs="Arial"/>
          <w:sz w:val="24"/>
          <w:szCs w:val="24"/>
          <w:lang w:eastAsia="es-MX"/>
        </w:rPr>
        <w:t xml:space="preserve"> de esta </w:t>
      </w:r>
      <w:r w:rsidR="00840F7A" w:rsidRPr="002C0C73">
        <w:rPr>
          <w:rFonts w:ascii="Arial" w:hAnsi="Arial" w:cs="Arial"/>
          <w:sz w:val="24"/>
          <w:szCs w:val="24"/>
          <w:lang w:eastAsia="es-MX"/>
        </w:rPr>
        <w:t>Sala Superior</w:t>
      </w:r>
      <w:r w:rsidR="00EF411B" w:rsidRPr="002C0C73">
        <w:rPr>
          <w:rFonts w:ascii="Arial" w:hAnsi="Arial" w:cs="Arial"/>
          <w:sz w:val="24"/>
          <w:szCs w:val="24"/>
          <w:lang w:eastAsia="es-MX"/>
        </w:rPr>
        <w:t>, en los que</w:t>
      </w:r>
      <w:r w:rsidRPr="002C0C73">
        <w:rPr>
          <w:rFonts w:ascii="Arial" w:hAnsi="Arial" w:cs="Arial"/>
          <w:sz w:val="24"/>
          <w:szCs w:val="24"/>
          <w:lang w:eastAsia="es-MX"/>
        </w:rPr>
        <w:t xml:space="preserve"> </w:t>
      </w:r>
      <w:r w:rsidR="00EF411B" w:rsidRPr="002C0C73">
        <w:rPr>
          <w:rFonts w:ascii="Arial" w:hAnsi="Arial" w:cs="Arial"/>
          <w:sz w:val="24"/>
          <w:szCs w:val="24"/>
          <w:lang w:eastAsia="es-MX"/>
        </w:rPr>
        <w:t xml:space="preserve">se </w:t>
      </w:r>
      <w:r w:rsidR="00840F7A" w:rsidRPr="002C0C73">
        <w:rPr>
          <w:rFonts w:ascii="Arial" w:hAnsi="Arial" w:cs="Arial"/>
          <w:sz w:val="24"/>
          <w:szCs w:val="24"/>
        </w:rPr>
        <w:t>autorizó la resolución de forma no presencial</w:t>
      </w:r>
      <w:r w:rsidR="00EF411B" w:rsidRPr="002C0C73">
        <w:rPr>
          <w:rFonts w:ascii="Arial" w:hAnsi="Arial" w:cs="Arial"/>
          <w:sz w:val="24"/>
          <w:szCs w:val="24"/>
        </w:rPr>
        <w:t xml:space="preserve"> de</w:t>
      </w:r>
      <w:r w:rsidR="00840F7A" w:rsidRPr="002C0C73">
        <w:rPr>
          <w:rFonts w:ascii="Arial" w:hAnsi="Arial" w:cs="Arial"/>
          <w:sz w:val="24"/>
          <w:szCs w:val="24"/>
        </w:rPr>
        <w:t xml:space="preserve"> los medios de impugnación</w:t>
      </w:r>
      <w:r w:rsidR="00EF411B" w:rsidRPr="002C0C73">
        <w:rPr>
          <w:rFonts w:ascii="Arial" w:hAnsi="Arial" w:cs="Arial"/>
          <w:sz w:val="24"/>
          <w:szCs w:val="24"/>
        </w:rPr>
        <w:t xml:space="preserve"> </w:t>
      </w:r>
      <w:r w:rsidR="00840F7A" w:rsidRPr="002C0C73">
        <w:rPr>
          <w:rFonts w:ascii="Arial" w:hAnsi="Arial" w:cs="Arial"/>
          <w:sz w:val="24"/>
          <w:szCs w:val="24"/>
        </w:rPr>
        <w:t>urgentes.</w:t>
      </w:r>
    </w:p>
    <w:p w:rsidR="00F11205" w:rsidRPr="002C0C73" w:rsidRDefault="00E30CDE" w:rsidP="00F11205">
      <w:pPr>
        <w:pStyle w:val="numerados"/>
        <w:widowControl w:val="0"/>
        <w:numPr>
          <w:ilvl w:val="0"/>
          <w:numId w:val="0"/>
        </w:numPr>
        <w:spacing w:before="100" w:beforeAutospacing="1" w:after="100" w:afterAutospacing="1" w:line="336" w:lineRule="auto"/>
        <w:rPr>
          <w:rFonts w:ascii="Arial" w:hAnsi="Arial" w:cs="Arial"/>
          <w:bCs/>
          <w:sz w:val="24"/>
          <w:szCs w:val="24"/>
        </w:rPr>
      </w:pPr>
      <w:r w:rsidRPr="002C0C73">
        <w:rPr>
          <w:rFonts w:ascii="Arial" w:hAnsi="Arial" w:cs="Arial"/>
          <w:sz w:val="24"/>
          <w:szCs w:val="24"/>
        </w:rPr>
        <w:t xml:space="preserve">La urgencia se debe a que </w:t>
      </w:r>
      <w:r w:rsidR="00F11205" w:rsidRPr="002C0C73">
        <w:rPr>
          <w:rFonts w:ascii="Arial" w:hAnsi="Arial" w:cs="Arial"/>
          <w:sz w:val="24"/>
          <w:szCs w:val="24"/>
        </w:rPr>
        <w:t xml:space="preserve">se impugna la </w:t>
      </w:r>
      <w:r w:rsidR="00840F7A" w:rsidRPr="002C0C73">
        <w:rPr>
          <w:rFonts w:ascii="Arial" w:hAnsi="Arial" w:cs="Arial"/>
          <w:sz w:val="24"/>
          <w:szCs w:val="24"/>
        </w:rPr>
        <w:t xml:space="preserve">determinación </w:t>
      </w:r>
      <w:r w:rsidR="00F11205" w:rsidRPr="002C0C73">
        <w:rPr>
          <w:rFonts w:ascii="Arial" w:hAnsi="Arial" w:cs="Arial"/>
          <w:sz w:val="24"/>
          <w:szCs w:val="24"/>
        </w:rPr>
        <w:t>del</w:t>
      </w:r>
      <w:r w:rsidR="00840F7A" w:rsidRPr="002C0C73">
        <w:rPr>
          <w:rFonts w:ascii="Arial" w:hAnsi="Arial" w:cs="Arial"/>
          <w:sz w:val="24"/>
          <w:szCs w:val="24"/>
        </w:rPr>
        <w:t xml:space="preserve"> </w:t>
      </w:r>
      <w:r w:rsidRPr="002C0C73">
        <w:rPr>
          <w:rFonts w:ascii="Arial" w:hAnsi="Arial" w:cs="Arial"/>
          <w:sz w:val="24"/>
          <w:szCs w:val="24"/>
        </w:rPr>
        <w:t xml:space="preserve">CG </w:t>
      </w:r>
      <w:r w:rsidR="00F11205" w:rsidRPr="002C0C73">
        <w:rPr>
          <w:rFonts w:ascii="Arial" w:hAnsi="Arial" w:cs="Arial"/>
          <w:sz w:val="24"/>
          <w:szCs w:val="24"/>
        </w:rPr>
        <w:t>del INE</w:t>
      </w:r>
      <w:r w:rsidRPr="002C0C73">
        <w:rPr>
          <w:rFonts w:ascii="Arial" w:hAnsi="Arial" w:cs="Arial"/>
          <w:sz w:val="24"/>
          <w:szCs w:val="24"/>
        </w:rPr>
        <w:t xml:space="preserve"> </w:t>
      </w:r>
      <w:r w:rsidR="00F11205" w:rsidRPr="002C0C73">
        <w:rPr>
          <w:rFonts w:ascii="Arial" w:hAnsi="Arial" w:cs="Arial"/>
          <w:sz w:val="24"/>
          <w:szCs w:val="24"/>
        </w:rPr>
        <w:t xml:space="preserve">que reanuda algunas actividades </w:t>
      </w:r>
      <w:r w:rsidRPr="002C0C73">
        <w:rPr>
          <w:rFonts w:ascii="Arial" w:hAnsi="Arial" w:cs="Arial"/>
          <w:sz w:val="24"/>
          <w:szCs w:val="24"/>
        </w:rPr>
        <w:t xml:space="preserve">del </w:t>
      </w:r>
      <w:r w:rsidR="00F11205" w:rsidRPr="002C0C73">
        <w:rPr>
          <w:rFonts w:ascii="Arial" w:hAnsi="Arial" w:cs="Arial"/>
          <w:bCs/>
          <w:sz w:val="24"/>
          <w:szCs w:val="24"/>
        </w:rPr>
        <w:t>procedimiento de constitución de PPN.</w:t>
      </w:r>
    </w:p>
    <w:p w:rsidR="00A525B6" w:rsidRPr="002C0C73" w:rsidRDefault="00F11205" w:rsidP="00F11205">
      <w:pPr>
        <w:widowControl w:val="0"/>
        <w:spacing w:before="100" w:beforeAutospacing="1" w:after="100" w:afterAutospacing="1" w:line="360" w:lineRule="auto"/>
        <w:jc w:val="both"/>
        <w:rPr>
          <w:rFonts w:eastAsia="Times New Roman" w:cs="Arial"/>
          <w:sz w:val="24"/>
          <w:szCs w:val="24"/>
        </w:rPr>
      </w:pPr>
      <w:r w:rsidRPr="002C0C73">
        <w:rPr>
          <w:rFonts w:eastAsia="Times New Roman" w:cs="Arial"/>
          <w:sz w:val="24"/>
          <w:szCs w:val="24"/>
        </w:rPr>
        <w:t>E</w:t>
      </w:r>
      <w:r w:rsidR="00A525B6" w:rsidRPr="002C0C73">
        <w:rPr>
          <w:rFonts w:eastAsia="Times New Roman" w:cs="Arial"/>
          <w:sz w:val="24"/>
          <w:szCs w:val="24"/>
        </w:rPr>
        <w:t xml:space="preserve">se acuerdo </w:t>
      </w:r>
      <w:r w:rsidRPr="002C0C73">
        <w:rPr>
          <w:rFonts w:eastAsia="Times New Roman" w:cs="Arial"/>
          <w:sz w:val="24"/>
          <w:szCs w:val="24"/>
        </w:rPr>
        <w:t xml:space="preserve">ha implicado que, una vez reanudado el procedimiento, se </w:t>
      </w:r>
      <w:r w:rsidR="00A525B6" w:rsidRPr="002C0C73">
        <w:rPr>
          <w:rFonts w:eastAsia="Times New Roman" w:cs="Arial"/>
          <w:sz w:val="24"/>
          <w:szCs w:val="24"/>
        </w:rPr>
        <w:t xml:space="preserve">ajusten </w:t>
      </w:r>
      <w:r w:rsidRPr="002C0C73">
        <w:rPr>
          <w:rFonts w:eastAsia="Times New Roman" w:cs="Arial"/>
          <w:sz w:val="24"/>
          <w:szCs w:val="24"/>
        </w:rPr>
        <w:t xml:space="preserve">los plazos </w:t>
      </w:r>
      <w:r w:rsidR="00A525B6" w:rsidRPr="002C0C73">
        <w:rPr>
          <w:rFonts w:eastAsia="Times New Roman" w:cs="Arial"/>
          <w:sz w:val="24"/>
          <w:szCs w:val="24"/>
        </w:rPr>
        <w:t>para resolver sobre el registro de PPN</w:t>
      </w:r>
      <w:r w:rsidRPr="002C0C73">
        <w:rPr>
          <w:rFonts w:eastAsia="Times New Roman" w:cs="Arial"/>
          <w:sz w:val="24"/>
          <w:szCs w:val="24"/>
        </w:rPr>
        <w:t xml:space="preserve">. </w:t>
      </w:r>
    </w:p>
    <w:p w:rsidR="00AB58BA" w:rsidRPr="002C0C73" w:rsidRDefault="00A525B6" w:rsidP="00F11205">
      <w:pPr>
        <w:widowControl w:val="0"/>
        <w:spacing w:before="100" w:beforeAutospacing="1" w:after="100" w:afterAutospacing="1" w:line="360" w:lineRule="auto"/>
        <w:jc w:val="both"/>
        <w:rPr>
          <w:rFonts w:eastAsia="Times New Roman" w:cs="Arial"/>
          <w:sz w:val="24"/>
          <w:szCs w:val="24"/>
        </w:rPr>
      </w:pPr>
      <w:r w:rsidRPr="002C0C73">
        <w:rPr>
          <w:rFonts w:eastAsia="Times New Roman" w:cs="Arial"/>
          <w:sz w:val="24"/>
          <w:szCs w:val="24"/>
        </w:rPr>
        <w:t xml:space="preserve">Así, se estableció como fecha para resolver </w:t>
      </w:r>
      <w:r w:rsidR="00F641F4" w:rsidRPr="002C0C73">
        <w:rPr>
          <w:rFonts w:eastAsia="Times New Roman" w:cs="Arial"/>
          <w:sz w:val="24"/>
          <w:szCs w:val="24"/>
        </w:rPr>
        <w:t xml:space="preserve">a más tardar </w:t>
      </w:r>
      <w:r w:rsidRPr="002C0C73">
        <w:rPr>
          <w:rFonts w:eastAsia="Times New Roman" w:cs="Arial"/>
          <w:sz w:val="24"/>
          <w:szCs w:val="24"/>
        </w:rPr>
        <w:t xml:space="preserve">el treinta y uno de agosto, además de reanudar actividades el </w:t>
      </w:r>
      <w:r w:rsidR="00196D78" w:rsidRPr="002C0C73">
        <w:rPr>
          <w:rFonts w:eastAsia="Times New Roman" w:cs="Arial"/>
          <w:sz w:val="24"/>
          <w:szCs w:val="24"/>
        </w:rPr>
        <w:t>quince</w:t>
      </w:r>
      <w:r w:rsidRPr="002C0C73">
        <w:rPr>
          <w:rFonts w:eastAsia="Times New Roman" w:cs="Arial"/>
          <w:sz w:val="24"/>
          <w:szCs w:val="24"/>
        </w:rPr>
        <w:t xml:space="preserve"> de junio, es decir, las fechas establecidas evidencian la urgencia de resolver, máxime que está relacionado con el procedimiento electoral del próximo año, cuyo inicio está previsto legalmente para septiembre.</w:t>
      </w:r>
    </w:p>
    <w:p w:rsidR="00506824" w:rsidRPr="002C0C73" w:rsidRDefault="00506824" w:rsidP="00506824">
      <w:pPr>
        <w:widowControl w:val="0"/>
        <w:spacing w:before="100" w:beforeAutospacing="1" w:after="100" w:afterAutospacing="1" w:line="360" w:lineRule="auto"/>
        <w:jc w:val="both"/>
        <w:rPr>
          <w:rFonts w:eastAsia="Times New Roman" w:cs="Arial"/>
          <w:sz w:val="24"/>
          <w:szCs w:val="24"/>
          <w:u w:color="538135" w:themeColor="accent6" w:themeShade="BF"/>
        </w:rPr>
      </w:pPr>
      <w:r w:rsidRPr="002C0C73">
        <w:rPr>
          <w:rFonts w:eastAsia="Times New Roman" w:cs="Arial"/>
          <w:sz w:val="24"/>
          <w:szCs w:val="24"/>
          <w:u w:color="538135" w:themeColor="accent6" w:themeShade="BF"/>
        </w:rPr>
        <w:t>Asimismo, la reanudación de plazos y el ajuste de fechas ya surten efectos, cuando aún es necesario determinar si es correcto que el INE decidiera resolver sobre el registro a más tardar el treinta y uno de agosto, o bien si se debe ajustar a lo dispuesto en la LGPP, es decir, antes del primero de julio, momento en el cual debería surtir efectos el registro respectivo.</w:t>
      </w:r>
    </w:p>
    <w:p w:rsidR="00F11205" w:rsidRPr="002C0C73" w:rsidRDefault="00AB58BA" w:rsidP="00AB58BA">
      <w:pPr>
        <w:spacing w:before="100" w:beforeAutospacing="1" w:after="100" w:afterAutospacing="1" w:line="336" w:lineRule="auto"/>
        <w:jc w:val="both"/>
        <w:rPr>
          <w:rFonts w:eastAsia="Times New Roman" w:cs="Arial"/>
          <w:sz w:val="24"/>
          <w:szCs w:val="24"/>
          <w:lang w:eastAsia="es-MX"/>
        </w:rPr>
      </w:pPr>
      <w:r w:rsidRPr="002C0C73">
        <w:rPr>
          <w:rFonts w:eastAsia="Times New Roman" w:cs="Arial"/>
          <w:sz w:val="24"/>
          <w:szCs w:val="24"/>
          <w:lang w:eastAsia="es-MX"/>
        </w:rPr>
        <w:t>Similares consideraciones se formularon en los juicios SUP-JDC-216/2020</w:t>
      </w:r>
      <w:r w:rsidR="00443BDA" w:rsidRPr="002C0C73">
        <w:rPr>
          <w:rFonts w:eastAsia="Times New Roman" w:cs="Arial"/>
          <w:sz w:val="24"/>
          <w:szCs w:val="24"/>
          <w:lang w:eastAsia="es-MX"/>
        </w:rPr>
        <w:t>,</w:t>
      </w:r>
      <w:r w:rsidRPr="002C0C73">
        <w:rPr>
          <w:rFonts w:eastAsia="Times New Roman" w:cs="Arial"/>
          <w:sz w:val="24"/>
          <w:szCs w:val="24"/>
          <w:lang w:eastAsia="es-MX"/>
        </w:rPr>
        <w:t xml:space="preserve"> y</w:t>
      </w:r>
      <w:r w:rsidR="00F11205" w:rsidRPr="002C0C73">
        <w:rPr>
          <w:rFonts w:eastAsia="Times New Roman" w:cs="Arial"/>
          <w:sz w:val="24"/>
          <w:szCs w:val="24"/>
          <w:lang w:eastAsia="es-MX"/>
        </w:rPr>
        <w:t xml:space="preserve"> </w:t>
      </w:r>
      <w:r w:rsidR="00443BDA" w:rsidRPr="002C0C73">
        <w:rPr>
          <w:rFonts w:eastAsia="Times New Roman" w:cs="Arial"/>
          <w:sz w:val="24"/>
          <w:szCs w:val="24"/>
          <w:lang w:eastAsia="es-MX"/>
        </w:rPr>
        <w:t>SUP-JDC-217/2020 y acumulados.</w:t>
      </w:r>
    </w:p>
    <w:p w:rsidR="00184C2E" w:rsidRPr="002C0C73" w:rsidRDefault="00E37298" w:rsidP="005766E3">
      <w:pPr>
        <w:pStyle w:val="Ttulo1"/>
        <w:spacing w:before="100" w:beforeAutospacing="1" w:after="100" w:afterAutospacing="1" w:line="336" w:lineRule="auto"/>
        <w:jc w:val="center"/>
        <w:rPr>
          <w:rFonts w:ascii="Arial" w:eastAsia="Times New Roman" w:hAnsi="Arial" w:cs="Arial"/>
          <w:b/>
          <w:color w:val="auto"/>
          <w:sz w:val="24"/>
          <w:szCs w:val="24"/>
          <w:lang w:eastAsia="es-MX"/>
        </w:rPr>
      </w:pPr>
      <w:bookmarkStart w:id="15" w:name="_Toc43048087"/>
      <w:r w:rsidRPr="002C0C73">
        <w:rPr>
          <w:rFonts w:ascii="Arial" w:eastAsia="Times New Roman" w:hAnsi="Arial" w:cs="Arial"/>
          <w:b/>
          <w:color w:val="auto"/>
          <w:sz w:val="24"/>
          <w:szCs w:val="24"/>
          <w:lang w:eastAsia="es-MX"/>
        </w:rPr>
        <w:t>PROCEDENCIA</w:t>
      </w:r>
      <w:bookmarkEnd w:id="15"/>
    </w:p>
    <w:p w:rsidR="0001640C" w:rsidRPr="002C0C73" w:rsidRDefault="00A525B6" w:rsidP="005766E3">
      <w:pPr>
        <w:pStyle w:val="NormalWeb"/>
        <w:widowControl w:val="0"/>
        <w:shd w:val="clear" w:color="auto" w:fill="FFFFFF"/>
        <w:spacing w:line="336" w:lineRule="auto"/>
        <w:jc w:val="both"/>
        <w:rPr>
          <w:rFonts w:ascii="Arial" w:hAnsi="Arial" w:cs="Arial"/>
        </w:rPr>
      </w:pPr>
      <w:r w:rsidRPr="002C0C73">
        <w:rPr>
          <w:rFonts w:ascii="Arial" w:hAnsi="Arial" w:cs="Arial"/>
        </w:rPr>
        <w:t xml:space="preserve">Los juicios </w:t>
      </w:r>
      <w:r w:rsidR="0001640C" w:rsidRPr="002C0C73">
        <w:rPr>
          <w:rFonts w:ascii="Arial" w:hAnsi="Arial" w:cs="Arial"/>
        </w:rPr>
        <w:t>cumple</w:t>
      </w:r>
      <w:r w:rsidRPr="002C0C73">
        <w:rPr>
          <w:rFonts w:ascii="Arial" w:hAnsi="Arial" w:cs="Arial"/>
        </w:rPr>
        <w:t>n</w:t>
      </w:r>
      <w:r w:rsidR="0001640C" w:rsidRPr="002C0C73">
        <w:rPr>
          <w:rFonts w:ascii="Arial" w:hAnsi="Arial" w:cs="Arial"/>
        </w:rPr>
        <w:t xml:space="preserve"> los requisitos </w:t>
      </w:r>
      <w:bookmarkStart w:id="16" w:name="_ftnref9"/>
      <w:bookmarkEnd w:id="16"/>
      <w:r w:rsidR="0001640C" w:rsidRPr="002C0C73">
        <w:rPr>
          <w:rFonts w:ascii="Arial" w:hAnsi="Arial" w:cs="Arial"/>
        </w:rPr>
        <w:t>de procedencia</w:t>
      </w:r>
      <w:r w:rsidR="00C76DCF" w:rsidRPr="002C0C73">
        <w:rPr>
          <w:rFonts w:ascii="Arial" w:hAnsi="Arial" w:cs="Arial"/>
        </w:rPr>
        <w:t>,</w:t>
      </w:r>
      <w:r w:rsidR="00376123" w:rsidRPr="002C0C73">
        <w:rPr>
          <w:rStyle w:val="Refdenotaalpie"/>
          <w:rFonts w:ascii="Arial" w:hAnsi="Arial" w:cs="Arial"/>
        </w:rPr>
        <w:footnoteReference w:id="10"/>
      </w:r>
      <w:r w:rsidR="00376123" w:rsidRPr="002C0C73">
        <w:rPr>
          <w:rFonts w:ascii="Arial" w:hAnsi="Arial" w:cs="Arial"/>
        </w:rPr>
        <w:t xml:space="preserve"> </w:t>
      </w:r>
      <w:r w:rsidR="0001640C" w:rsidRPr="002C0C73">
        <w:rPr>
          <w:rFonts w:ascii="Arial" w:hAnsi="Arial" w:cs="Arial"/>
        </w:rPr>
        <w:t>conforme con lo siguiente:</w:t>
      </w:r>
    </w:p>
    <w:p w:rsidR="0001640C" w:rsidRPr="002C0C73" w:rsidRDefault="00A525B6" w:rsidP="005766E3">
      <w:pPr>
        <w:pStyle w:val="NormalWeb"/>
        <w:widowControl w:val="0"/>
        <w:shd w:val="clear" w:color="auto" w:fill="FFFFFF"/>
        <w:spacing w:line="336" w:lineRule="auto"/>
        <w:jc w:val="both"/>
        <w:rPr>
          <w:rFonts w:ascii="Arial" w:hAnsi="Arial" w:cs="Arial"/>
        </w:rPr>
      </w:pPr>
      <w:r w:rsidRPr="002C0C73">
        <w:rPr>
          <w:rFonts w:ascii="Arial" w:hAnsi="Arial" w:cs="Arial"/>
          <w:b/>
          <w:bCs/>
        </w:rPr>
        <w:t>I</w:t>
      </w:r>
      <w:r w:rsidR="0001640C" w:rsidRPr="002C0C73">
        <w:rPr>
          <w:rFonts w:ascii="Arial" w:hAnsi="Arial" w:cs="Arial"/>
          <w:b/>
          <w:bCs/>
        </w:rPr>
        <w:t>. Forma.</w:t>
      </w:r>
      <w:r w:rsidR="00EE0B40" w:rsidRPr="002C0C73">
        <w:rPr>
          <w:rFonts w:ascii="Arial" w:hAnsi="Arial" w:cs="Arial"/>
        </w:rPr>
        <w:t xml:space="preserve"> </w:t>
      </w:r>
      <w:r w:rsidR="00C76DCF" w:rsidRPr="002C0C73">
        <w:rPr>
          <w:rFonts w:ascii="Arial" w:hAnsi="Arial" w:cs="Arial"/>
          <w:bCs/>
        </w:rPr>
        <w:t>La</w:t>
      </w:r>
      <w:r w:rsidR="00997E02" w:rsidRPr="002C0C73">
        <w:rPr>
          <w:rFonts w:ascii="Arial" w:hAnsi="Arial" w:cs="Arial"/>
          <w:bCs/>
        </w:rPr>
        <w:t>s</w:t>
      </w:r>
      <w:r w:rsidR="00C76DCF" w:rsidRPr="002C0C73">
        <w:rPr>
          <w:rFonts w:ascii="Arial" w:hAnsi="Arial" w:cs="Arial"/>
          <w:bCs/>
        </w:rPr>
        <w:t xml:space="preserve"> demanda</w:t>
      </w:r>
      <w:r w:rsidR="00997E02" w:rsidRPr="002C0C73">
        <w:rPr>
          <w:rFonts w:ascii="Arial" w:hAnsi="Arial" w:cs="Arial"/>
          <w:bCs/>
        </w:rPr>
        <w:t>s</w:t>
      </w:r>
      <w:r w:rsidR="00C76DCF" w:rsidRPr="002C0C73">
        <w:rPr>
          <w:rFonts w:ascii="Arial" w:hAnsi="Arial" w:cs="Arial"/>
          <w:bCs/>
        </w:rPr>
        <w:t xml:space="preserve"> se present</w:t>
      </w:r>
      <w:r w:rsidR="00997E02" w:rsidRPr="002C0C73">
        <w:rPr>
          <w:rFonts w:ascii="Arial" w:hAnsi="Arial" w:cs="Arial"/>
          <w:bCs/>
        </w:rPr>
        <w:t>aron</w:t>
      </w:r>
      <w:r w:rsidR="00C76DCF" w:rsidRPr="002C0C73">
        <w:rPr>
          <w:rFonts w:ascii="Arial" w:hAnsi="Arial" w:cs="Arial"/>
          <w:bCs/>
        </w:rPr>
        <w:t xml:space="preserve"> ante </w:t>
      </w:r>
      <w:r w:rsidR="00A12F2F" w:rsidRPr="002C0C73">
        <w:rPr>
          <w:rFonts w:ascii="Arial" w:hAnsi="Arial" w:cs="Arial"/>
          <w:bCs/>
        </w:rPr>
        <w:t>el INE</w:t>
      </w:r>
      <w:r w:rsidR="00E3274A" w:rsidRPr="002C0C73">
        <w:rPr>
          <w:rFonts w:ascii="Arial" w:hAnsi="Arial" w:cs="Arial"/>
          <w:bCs/>
        </w:rPr>
        <w:t xml:space="preserve"> </w:t>
      </w:r>
      <w:r w:rsidR="00443BDA" w:rsidRPr="002C0C73">
        <w:rPr>
          <w:rFonts w:ascii="Arial" w:hAnsi="Arial" w:cs="Arial"/>
          <w:bCs/>
        </w:rPr>
        <w:t xml:space="preserve">y </w:t>
      </w:r>
      <w:r w:rsidR="00C76DCF" w:rsidRPr="002C0C73">
        <w:rPr>
          <w:rFonts w:ascii="Arial" w:hAnsi="Arial" w:cs="Arial"/>
          <w:bCs/>
        </w:rPr>
        <w:t>precisa</w:t>
      </w:r>
      <w:r w:rsidR="00F96D77" w:rsidRPr="002C0C73">
        <w:rPr>
          <w:rFonts w:ascii="Arial" w:hAnsi="Arial" w:cs="Arial"/>
          <w:bCs/>
        </w:rPr>
        <w:t>n</w:t>
      </w:r>
      <w:r w:rsidR="00443BDA" w:rsidRPr="002C0C73">
        <w:rPr>
          <w:rFonts w:ascii="Arial" w:hAnsi="Arial" w:cs="Arial"/>
          <w:bCs/>
        </w:rPr>
        <w:t>:</w:t>
      </w:r>
      <w:r w:rsidR="00C76DCF" w:rsidRPr="002C0C73">
        <w:rPr>
          <w:rFonts w:ascii="Arial" w:hAnsi="Arial" w:cs="Arial"/>
          <w:bCs/>
        </w:rPr>
        <w:t xml:space="preserve"> la denominación de</w:t>
      </w:r>
      <w:r w:rsidR="00AA2C85" w:rsidRPr="002C0C73">
        <w:rPr>
          <w:rFonts w:ascii="Arial" w:hAnsi="Arial" w:cs="Arial"/>
          <w:bCs/>
        </w:rPr>
        <w:t xml:space="preserve"> la</w:t>
      </w:r>
      <w:r w:rsidR="00A12F2F" w:rsidRPr="002C0C73">
        <w:rPr>
          <w:rFonts w:ascii="Arial" w:hAnsi="Arial" w:cs="Arial"/>
          <w:bCs/>
        </w:rPr>
        <w:t>s</w:t>
      </w:r>
      <w:r w:rsidR="00AA2C85" w:rsidRPr="002C0C73">
        <w:rPr>
          <w:rFonts w:ascii="Arial" w:hAnsi="Arial" w:cs="Arial"/>
          <w:bCs/>
        </w:rPr>
        <w:t xml:space="preserve"> </w:t>
      </w:r>
      <w:r w:rsidR="00E3274A" w:rsidRPr="002C0C73">
        <w:rPr>
          <w:rFonts w:ascii="Arial" w:hAnsi="Arial" w:cs="Arial"/>
          <w:bCs/>
        </w:rPr>
        <w:t>actora</w:t>
      </w:r>
      <w:r w:rsidR="00A12F2F" w:rsidRPr="002C0C73">
        <w:rPr>
          <w:rFonts w:ascii="Arial" w:hAnsi="Arial" w:cs="Arial"/>
          <w:bCs/>
        </w:rPr>
        <w:t>s</w:t>
      </w:r>
      <w:r w:rsidR="00C76DCF" w:rsidRPr="002C0C73">
        <w:rPr>
          <w:rFonts w:ascii="Arial" w:hAnsi="Arial" w:cs="Arial"/>
          <w:bCs/>
        </w:rPr>
        <w:t>; domicilio; acto impugnado; hechos</w:t>
      </w:r>
      <w:r w:rsidR="00443BDA" w:rsidRPr="002C0C73">
        <w:rPr>
          <w:rFonts w:ascii="Arial" w:hAnsi="Arial" w:cs="Arial"/>
          <w:bCs/>
        </w:rPr>
        <w:t xml:space="preserve">; </w:t>
      </w:r>
      <w:r w:rsidR="00C76DCF" w:rsidRPr="002C0C73">
        <w:rPr>
          <w:rFonts w:ascii="Arial" w:hAnsi="Arial" w:cs="Arial"/>
          <w:bCs/>
        </w:rPr>
        <w:t xml:space="preserve">conceptos </w:t>
      </w:r>
      <w:r w:rsidR="00C76DCF" w:rsidRPr="002C0C73">
        <w:rPr>
          <w:rFonts w:ascii="Arial" w:hAnsi="Arial" w:cs="Arial"/>
          <w:bCs/>
        </w:rPr>
        <w:lastRenderedPageBreak/>
        <w:t xml:space="preserve">de agravio, y </w:t>
      </w:r>
      <w:r w:rsidR="00A12F2F" w:rsidRPr="002C0C73">
        <w:rPr>
          <w:rFonts w:ascii="Arial" w:hAnsi="Arial" w:cs="Arial"/>
          <w:bCs/>
        </w:rPr>
        <w:t>est</w:t>
      </w:r>
      <w:r w:rsidR="00F641F4" w:rsidRPr="002C0C73">
        <w:rPr>
          <w:rFonts w:ascii="Arial" w:hAnsi="Arial" w:cs="Arial"/>
          <w:bCs/>
        </w:rPr>
        <w:t>á</w:t>
      </w:r>
      <w:r w:rsidR="00A12F2F" w:rsidRPr="002C0C73">
        <w:rPr>
          <w:rFonts w:ascii="Arial" w:hAnsi="Arial" w:cs="Arial"/>
          <w:bCs/>
        </w:rPr>
        <w:t xml:space="preserve"> </w:t>
      </w:r>
      <w:r w:rsidR="00E3274A" w:rsidRPr="002C0C73">
        <w:rPr>
          <w:rFonts w:ascii="Arial" w:hAnsi="Arial" w:cs="Arial"/>
          <w:bCs/>
        </w:rPr>
        <w:t>la firma de quien las representa</w:t>
      </w:r>
      <w:r w:rsidR="00A12F2F" w:rsidRPr="002C0C73">
        <w:rPr>
          <w:rFonts w:ascii="Arial" w:hAnsi="Arial" w:cs="Arial"/>
          <w:bCs/>
        </w:rPr>
        <w:t>.</w:t>
      </w:r>
    </w:p>
    <w:p w:rsidR="004732F7" w:rsidRPr="002C0C73" w:rsidRDefault="0053756B" w:rsidP="006E6A91">
      <w:pPr>
        <w:pStyle w:val="NormalWeb"/>
        <w:widowControl w:val="0"/>
        <w:shd w:val="clear" w:color="auto" w:fill="FFFFFF"/>
        <w:spacing w:line="336" w:lineRule="auto"/>
        <w:jc w:val="both"/>
        <w:rPr>
          <w:rFonts w:ascii="Arial" w:hAnsi="Arial" w:cs="Arial"/>
          <w:bCs/>
        </w:rPr>
      </w:pPr>
      <w:r w:rsidRPr="002C0C73">
        <w:rPr>
          <w:rFonts w:ascii="Arial" w:hAnsi="Arial" w:cs="Arial"/>
          <w:b/>
          <w:bCs/>
        </w:rPr>
        <w:t>II</w:t>
      </w:r>
      <w:r w:rsidR="0001640C" w:rsidRPr="002C0C73">
        <w:rPr>
          <w:rFonts w:ascii="Arial" w:hAnsi="Arial" w:cs="Arial"/>
          <w:b/>
          <w:bCs/>
        </w:rPr>
        <w:t>. Oportunidad</w:t>
      </w:r>
      <w:r w:rsidR="00B94D97" w:rsidRPr="002C0C73">
        <w:t xml:space="preserve">. </w:t>
      </w:r>
      <w:r w:rsidR="00E3274A" w:rsidRPr="002C0C73">
        <w:rPr>
          <w:rFonts w:ascii="Arial" w:hAnsi="Arial" w:cs="Arial"/>
        </w:rPr>
        <w:t>Se cumple el requisito en todas las demandas.</w:t>
      </w:r>
      <w:r w:rsidR="006E0BEA" w:rsidRPr="002C0C73">
        <w:rPr>
          <w:rFonts w:ascii="Arial" w:hAnsi="Arial" w:cs="Arial"/>
          <w:bCs/>
        </w:rPr>
        <w:t xml:space="preserve"> </w:t>
      </w:r>
      <w:r w:rsidR="00E3274A" w:rsidRPr="002C0C73">
        <w:rPr>
          <w:rFonts w:ascii="Arial" w:hAnsi="Arial" w:cs="Arial"/>
          <w:bCs/>
        </w:rPr>
        <w:t xml:space="preserve">En primer lugar, </w:t>
      </w:r>
      <w:r w:rsidR="00ED54A8" w:rsidRPr="002C0C73">
        <w:rPr>
          <w:rFonts w:ascii="Arial" w:hAnsi="Arial" w:cs="Arial"/>
          <w:bCs/>
        </w:rPr>
        <w:t xml:space="preserve">la materia de impugnación no incide en algún </w:t>
      </w:r>
      <w:r w:rsidR="00E3274A" w:rsidRPr="002C0C73">
        <w:rPr>
          <w:rFonts w:ascii="Arial" w:hAnsi="Arial" w:cs="Arial"/>
          <w:bCs/>
        </w:rPr>
        <w:t xml:space="preserve">procedimiento </w:t>
      </w:r>
      <w:r w:rsidR="00ED54A8" w:rsidRPr="002C0C73">
        <w:rPr>
          <w:rFonts w:ascii="Arial" w:hAnsi="Arial" w:cs="Arial"/>
          <w:bCs/>
        </w:rPr>
        <w:t>electoral</w:t>
      </w:r>
      <w:r w:rsidR="00E3274A" w:rsidRPr="002C0C73">
        <w:rPr>
          <w:rFonts w:ascii="Arial" w:hAnsi="Arial" w:cs="Arial"/>
          <w:bCs/>
        </w:rPr>
        <w:t xml:space="preserve"> en curso. Por tanto</w:t>
      </w:r>
      <w:r w:rsidR="00ED54A8" w:rsidRPr="002C0C73">
        <w:rPr>
          <w:rFonts w:ascii="Arial" w:hAnsi="Arial" w:cs="Arial"/>
          <w:bCs/>
        </w:rPr>
        <w:t xml:space="preserve">, el plazo </w:t>
      </w:r>
      <w:r w:rsidR="00E3274A" w:rsidRPr="002C0C73">
        <w:rPr>
          <w:rFonts w:ascii="Arial" w:hAnsi="Arial" w:cs="Arial"/>
          <w:bCs/>
        </w:rPr>
        <w:t>se computa s</w:t>
      </w:r>
      <w:r w:rsidR="00AB58BA" w:rsidRPr="002C0C73">
        <w:rPr>
          <w:rFonts w:ascii="Arial" w:hAnsi="Arial" w:cs="Arial"/>
          <w:bCs/>
        </w:rPr>
        <w:t>ó</w:t>
      </w:r>
      <w:r w:rsidR="00E3274A" w:rsidRPr="002C0C73">
        <w:rPr>
          <w:rFonts w:ascii="Arial" w:hAnsi="Arial" w:cs="Arial"/>
          <w:bCs/>
        </w:rPr>
        <w:t>lo con los días hábiles</w:t>
      </w:r>
      <w:r w:rsidR="00ED54A8" w:rsidRPr="002C0C73">
        <w:rPr>
          <w:rFonts w:ascii="Arial" w:hAnsi="Arial" w:cs="Arial"/>
          <w:bCs/>
        </w:rPr>
        <w:t xml:space="preserve">. </w:t>
      </w:r>
    </w:p>
    <w:p w:rsidR="006E6A91" w:rsidRPr="002C0C73" w:rsidRDefault="00E3274A" w:rsidP="00AE46CD">
      <w:pPr>
        <w:spacing w:before="100" w:beforeAutospacing="1" w:after="100" w:afterAutospacing="1" w:line="360" w:lineRule="auto"/>
        <w:jc w:val="both"/>
        <w:rPr>
          <w:rFonts w:eastAsia="Cambria" w:cs="Arial"/>
          <w:sz w:val="24"/>
          <w:szCs w:val="24"/>
        </w:rPr>
      </w:pPr>
      <w:r w:rsidRPr="002C0C73">
        <w:rPr>
          <w:rFonts w:eastAsia="Cambria" w:cs="Arial"/>
          <w:sz w:val="24"/>
          <w:szCs w:val="24"/>
        </w:rPr>
        <w:t xml:space="preserve">Por otra parte, las actoras afirman tener </w:t>
      </w:r>
      <w:r w:rsidR="006E6A91" w:rsidRPr="002C0C73">
        <w:rPr>
          <w:rFonts w:eastAsia="Cambria" w:cs="Arial"/>
          <w:sz w:val="24"/>
          <w:szCs w:val="24"/>
        </w:rPr>
        <w:t xml:space="preserve">conocimiento del </w:t>
      </w:r>
      <w:r w:rsidRPr="002C0C73">
        <w:rPr>
          <w:rFonts w:eastAsia="Cambria" w:cs="Arial"/>
          <w:sz w:val="24"/>
          <w:szCs w:val="24"/>
        </w:rPr>
        <w:t xml:space="preserve">acto impugnado </w:t>
      </w:r>
      <w:r w:rsidR="006E6A91" w:rsidRPr="002C0C73">
        <w:rPr>
          <w:rFonts w:eastAsia="Cambria" w:cs="Arial"/>
          <w:sz w:val="24"/>
          <w:szCs w:val="24"/>
        </w:rPr>
        <w:t xml:space="preserve">el </w:t>
      </w:r>
      <w:r w:rsidR="009A56E8" w:rsidRPr="002C0C73">
        <w:rPr>
          <w:rFonts w:eastAsia="Cambria" w:cs="Arial"/>
          <w:b/>
          <w:sz w:val="24"/>
          <w:szCs w:val="24"/>
        </w:rPr>
        <w:t xml:space="preserve">día </w:t>
      </w:r>
      <w:r w:rsidR="006E6A91" w:rsidRPr="002C0C73">
        <w:rPr>
          <w:rFonts w:eastAsia="Cambria" w:cs="Arial"/>
          <w:b/>
          <w:sz w:val="24"/>
          <w:szCs w:val="24"/>
        </w:rPr>
        <w:t>veintinueve</w:t>
      </w:r>
      <w:r w:rsidR="00ED54A8" w:rsidRPr="002C0C73">
        <w:rPr>
          <w:rStyle w:val="Refdenotaalpie"/>
          <w:rFonts w:eastAsia="Cambria" w:cs="Arial"/>
          <w:sz w:val="24"/>
          <w:szCs w:val="24"/>
        </w:rPr>
        <w:footnoteReference w:id="11"/>
      </w:r>
      <w:r w:rsidR="00AB58BA" w:rsidRPr="002C0C73">
        <w:rPr>
          <w:rFonts w:eastAsia="Cambria" w:cs="Arial"/>
          <w:sz w:val="24"/>
          <w:szCs w:val="24"/>
        </w:rPr>
        <w:t xml:space="preserve"> de mayo</w:t>
      </w:r>
      <w:r w:rsidRPr="002C0C73">
        <w:rPr>
          <w:rFonts w:eastAsia="Cambria" w:cs="Arial"/>
          <w:sz w:val="24"/>
          <w:szCs w:val="24"/>
        </w:rPr>
        <w:t xml:space="preserve">, lo cual </w:t>
      </w:r>
      <w:r w:rsidR="00A12F2F" w:rsidRPr="002C0C73">
        <w:rPr>
          <w:rFonts w:eastAsia="Cambria" w:cs="Arial"/>
          <w:sz w:val="24"/>
          <w:szCs w:val="24"/>
        </w:rPr>
        <w:t xml:space="preserve">es </w:t>
      </w:r>
      <w:r w:rsidR="006E6A91" w:rsidRPr="002C0C73">
        <w:rPr>
          <w:rFonts w:eastAsia="Cambria" w:cs="Arial"/>
          <w:sz w:val="24"/>
          <w:szCs w:val="24"/>
        </w:rPr>
        <w:t xml:space="preserve">suficiente para tener </w:t>
      </w:r>
      <w:r w:rsidR="00AE46CD" w:rsidRPr="002C0C73">
        <w:rPr>
          <w:rFonts w:eastAsia="Cambria" w:cs="Arial"/>
          <w:sz w:val="24"/>
          <w:szCs w:val="24"/>
        </w:rPr>
        <w:t xml:space="preserve">esa fecha como cierta, </w:t>
      </w:r>
      <w:r w:rsidR="00AE46CD" w:rsidRPr="002C0C73">
        <w:rPr>
          <w:rFonts w:eastAsia="Cambria" w:cs="Arial"/>
          <w:sz w:val="24"/>
          <w:szCs w:val="24"/>
          <w:u w:color="538135" w:themeColor="accent6" w:themeShade="BF"/>
        </w:rPr>
        <w:t>máxime</w:t>
      </w:r>
      <w:r w:rsidR="008147C7" w:rsidRPr="002C0C73">
        <w:rPr>
          <w:rFonts w:eastAsia="Cambria" w:cs="Arial"/>
          <w:sz w:val="24"/>
          <w:szCs w:val="24"/>
          <w:u w:color="538135" w:themeColor="accent6" w:themeShade="BF"/>
        </w:rPr>
        <w:t xml:space="preserve"> si el propio INE lo publicó en su portal de internet en esa misma fecha</w:t>
      </w:r>
      <w:r w:rsidR="008147C7" w:rsidRPr="002C0C73">
        <w:rPr>
          <w:rStyle w:val="Refdenotaalpie"/>
          <w:rFonts w:eastAsia="Cambria" w:cs="Arial"/>
          <w:sz w:val="24"/>
          <w:szCs w:val="24"/>
          <w:u w:color="538135" w:themeColor="accent6" w:themeShade="BF"/>
        </w:rPr>
        <w:footnoteReference w:id="12"/>
      </w:r>
      <w:r w:rsidR="008147C7" w:rsidRPr="002C0C73">
        <w:rPr>
          <w:rFonts w:eastAsia="Cambria" w:cs="Arial"/>
          <w:sz w:val="24"/>
          <w:szCs w:val="24"/>
          <w:u w:color="538135" w:themeColor="accent6" w:themeShade="BF"/>
        </w:rPr>
        <w:t xml:space="preserve"> y</w:t>
      </w:r>
      <w:r w:rsidR="00AE46CD" w:rsidRPr="002C0C73">
        <w:rPr>
          <w:rFonts w:eastAsia="Cambria" w:cs="Arial"/>
          <w:sz w:val="24"/>
          <w:szCs w:val="24"/>
        </w:rPr>
        <w:t xml:space="preserve"> que no obran constancias de notificación</w:t>
      </w:r>
      <w:r w:rsidR="008147C7" w:rsidRPr="002C0C73">
        <w:rPr>
          <w:rFonts w:eastAsia="Cambria" w:cs="Arial"/>
          <w:sz w:val="24"/>
          <w:szCs w:val="24"/>
        </w:rPr>
        <w:t>;</w:t>
      </w:r>
      <w:r w:rsidR="00AE46CD" w:rsidRPr="002C0C73">
        <w:rPr>
          <w:rFonts w:eastAsia="Cambria" w:cs="Arial"/>
          <w:sz w:val="24"/>
          <w:szCs w:val="24"/>
        </w:rPr>
        <w:t xml:space="preserve"> además,</w:t>
      </w:r>
      <w:r w:rsidR="008147C7" w:rsidRPr="002C0C73">
        <w:rPr>
          <w:rFonts w:eastAsia="Cambria" w:cs="Arial"/>
          <w:sz w:val="24"/>
          <w:szCs w:val="24"/>
        </w:rPr>
        <w:t xml:space="preserve"> </w:t>
      </w:r>
      <w:r w:rsidR="008147C7" w:rsidRPr="002C0C73">
        <w:rPr>
          <w:rFonts w:eastAsia="Cambria" w:cs="Arial"/>
          <w:sz w:val="24"/>
          <w:szCs w:val="24"/>
          <w:u w:color="538135" w:themeColor="accent6" w:themeShade="BF"/>
        </w:rPr>
        <w:t>la oportunidad</w:t>
      </w:r>
      <w:r w:rsidR="00AE46CD" w:rsidRPr="002C0C73">
        <w:rPr>
          <w:rFonts w:eastAsia="Cambria" w:cs="Arial"/>
          <w:sz w:val="24"/>
          <w:szCs w:val="24"/>
        </w:rPr>
        <w:t xml:space="preserve"> </w:t>
      </w:r>
      <w:r w:rsidR="006E6A91" w:rsidRPr="002C0C73">
        <w:rPr>
          <w:rFonts w:eastAsia="Cambria" w:cs="Arial"/>
          <w:sz w:val="24"/>
          <w:szCs w:val="24"/>
        </w:rPr>
        <w:t>no es refutad</w:t>
      </w:r>
      <w:r w:rsidR="008147C7" w:rsidRPr="002C0C73">
        <w:rPr>
          <w:rFonts w:eastAsia="Cambria" w:cs="Arial"/>
          <w:sz w:val="24"/>
          <w:szCs w:val="24"/>
        </w:rPr>
        <w:t>a</w:t>
      </w:r>
      <w:r w:rsidR="006E6A91" w:rsidRPr="002C0C73">
        <w:rPr>
          <w:rFonts w:eastAsia="Cambria" w:cs="Arial"/>
          <w:sz w:val="24"/>
          <w:szCs w:val="24"/>
        </w:rPr>
        <w:t xml:space="preserve"> por </w:t>
      </w:r>
      <w:r w:rsidR="00AE46CD" w:rsidRPr="002C0C73">
        <w:rPr>
          <w:rFonts w:eastAsia="Cambria" w:cs="Arial"/>
          <w:sz w:val="24"/>
          <w:szCs w:val="24"/>
        </w:rPr>
        <w:t xml:space="preserve">el INE </w:t>
      </w:r>
      <w:r w:rsidR="006E6A91" w:rsidRPr="002C0C73">
        <w:rPr>
          <w:rFonts w:eastAsia="Cambria" w:cs="Arial"/>
          <w:sz w:val="24"/>
          <w:szCs w:val="24"/>
        </w:rPr>
        <w:t>en los informes circunstanciados</w:t>
      </w:r>
      <w:r w:rsidR="009A56E8" w:rsidRPr="002C0C73">
        <w:rPr>
          <w:rFonts w:eastAsia="Cambria" w:cs="Arial"/>
          <w:sz w:val="24"/>
          <w:szCs w:val="24"/>
        </w:rPr>
        <w:t>.</w:t>
      </w:r>
      <w:r w:rsidR="006E6A91" w:rsidRPr="002C0C73">
        <w:rPr>
          <w:rFonts w:eastAsia="Cambria" w:cs="Arial"/>
          <w:sz w:val="24"/>
          <w:szCs w:val="24"/>
          <w:vertAlign w:val="superscript"/>
        </w:rPr>
        <w:footnoteReference w:id="13"/>
      </w:r>
    </w:p>
    <w:p w:rsidR="00AE46CD" w:rsidRPr="002C0C73" w:rsidRDefault="0054386D" w:rsidP="00B94D97">
      <w:pPr>
        <w:pStyle w:val="NormalWeb"/>
        <w:widowControl w:val="0"/>
        <w:shd w:val="clear" w:color="auto" w:fill="FFFFFF"/>
        <w:spacing w:line="336" w:lineRule="auto"/>
        <w:jc w:val="both"/>
        <w:rPr>
          <w:rFonts w:ascii="Arial" w:eastAsia="Cambria" w:hAnsi="Arial" w:cs="Arial"/>
        </w:rPr>
      </w:pPr>
      <w:r w:rsidRPr="002C0C73">
        <w:rPr>
          <w:rFonts w:ascii="Arial" w:hAnsi="Arial" w:cs="Arial"/>
          <w:bCs/>
        </w:rPr>
        <w:t xml:space="preserve">Por tanto, </w:t>
      </w:r>
      <w:r w:rsidRPr="002C0C73">
        <w:rPr>
          <w:rFonts w:ascii="Arial" w:eastAsia="Cambria" w:hAnsi="Arial" w:cs="Arial"/>
        </w:rPr>
        <w:t>el plazo para pr</w:t>
      </w:r>
      <w:r w:rsidR="009A56E8" w:rsidRPr="002C0C73">
        <w:rPr>
          <w:rFonts w:ascii="Arial" w:eastAsia="Cambria" w:hAnsi="Arial" w:cs="Arial"/>
        </w:rPr>
        <w:t>omover</w:t>
      </w:r>
      <w:r w:rsidRPr="002C0C73">
        <w:rPr>
          <w:rFonts w:ascii="Arial" w:eastAsia="Cambria" w:hAnsi="Arial" w:cs="Arial"/>
        </w:rPr>
        <w:t xml:space="preserve"> los juicios transcurrió</w:t>
      </w:r>
      <w:r w:rsidR="009A56E8" w:rsidRPr="002C0C73">
        <w:rPr>
          <w:rFonts w:ascii="Arial" w:eastAsia="Cambria" w:hAnsi="Arial" w:cs="Arial"/>
        </w:rPr>
        <w:t xml:space="preserve"> </w:t>
      </w:r>
      <w:r w:rsidRPr="002C0C73">
        <w:rPr>
          <w:rFonts w:ascii="Arial" w:eastAsia="Cambria" w:hAnsi="Arial" w:cs="Arial"/>
        </w:rPr>
        <w:t xml:space="preserve">del primero de </w:t>
      </w:r>
      <w:r w:rsidR="00A40A78" w:rsidRPr="002C0C73">
        <w:rPr>
          <w:rFonts w:ascii="Arial" w:eastAsia="Cambria" w:hAnsi="Arial" w:cs="Arial"/>
        </w:rPr>
        <w:t xml:space="preserve">junio </w:t>
      </w:r>
      <w:r w:rsidRPr="002C0C73">
        <w:rPr>
          <w:rFonts w:ascii="Arial" w:eastAsia="Cambria" w:hAnsi="Arial" w:cs="Arial"/>
        </w:rPr>
        <w:t>(día</w:t>
      </w:r>
      <w:r w:rsidR="00AE46CD" w:rsidRPr="002C0C73">
        <w:rPr>
          <w:rFonts w:ascii="Arial" w:eastAsia="Cambria" w:hAnsi="Arial" w:cs="Arial"/>
        </w:rPr>
        <w:t xml:space="preserve"> hábil </w:t>
      </w:r>
      <w:r w:rsidRPr="002C0C73">
        <w:rPr>
          <w:rFonts w:ascii="Arial" w:eastAsia="Cambria" w:hAnsi="Arial" w:cs="Arial"/>
        </w:rPr>
        <w:t>siguiente a aquel en que se tuvo conocimiento del acuerdo) al cuatro siguiente</w:t>
      </w:r>
      <w:r w:rsidR="00AB58BA" w:rsidRPr="002C0C73">
        <w:rPr>
          <w:rFonts w:ascii="Arial" w:eastAsia="Cambria" w:hAnsi="Arial" w:cs="Arial"/>
        </w:rPr>
        <w:t>, sin computar el sábado treinta y domingo treinta y uno de mayo, por ser inhábiles.</w:t>
      </w:r>
    </w:p>
    <w:p w:rsidR="00B94D97" w:rsidRPr="002C0C73" w:rsidRDefault="00AE46CD" w:rsidP="00B94D97">
      <w:pPr>
        <w:pStyle w:val="NormalWeb"/>
        <w:widowControl w:val="0"/>
        <w:shd w:val="clear" w:color="auto" w:fill="FFFFFF"/>
        <w:spacing w:line="336" w:lineRule="auto"/>
        <w:jc w:val="both"/>
        <w:rPr>
          <w:rFonts w:ascii="Arial" w:hAnsi="Arial" w:cs="Arial"/>
          <w:bCs/>
        </w:rPr>
      </w:pPr>
      <w:r w:rsidRPr="002C0C73">
        <w:rPr>
          <w:rFonts w:ascii="Arial" w:eastAsia="Cambria" w:hAnsi="Arial" w:cs="Arial"/>
        </w:rPr>
        <w:t xml:space="preserve">Entonces, si </w:t>
      </w:r>
      <w:r w:rsidR="004A023B" w:rsidRPr="002C0C73">
        <w:rPr>
          <w:rFonts w:ascii="Arial" w:eastAsia="Cambria" w:hAnsi="Arial" w:cs="Arial"/>
        </w:rPr>
        <w:t xml:space="preserve">las demandas se presentaron </w:t>
      </w:r>
      <w:r w:rsidRPr="002C0C73">
        <w:rPr>
          <w:rFonts w:ascii="Arial" w:eastAsia="Cambria" w:hAnsi="Arial" w:cs="Arial"/>
        </w:rPr>
        <w:t xml:space="preserve">en </w:t>
      </w:r>
      <w:r w:rsidR="004A023B" w:rsidRPr="002C0C73">
        <w:rPr>
          <w:rFonts w:ascii="Arial" w:eastAsia="Cambria" w:hAnsi="Arial" w:cs="Arial"/>
        </w:rPr>
        <w:t>el último día del plazo</w:t>
      </w:r>
      <w:r w:rsidRPr="002C0C73">
        <w:rPr>
          <w:rFonts w:ascii="Arial" w:eastAsia="Cambria" w:hAnsi="Arial" w:cs="Arial"/>
        </w:rPr>
        <w:t>, es evidente su oportunidad.</w:t>
      </w:r>
    </w:p>
    <w:p w:rsidR="00E13D1D" w:rsidRPr="002C0C73" w:rsidRDefault="0053756B" w:rsidP="00B94D97">
      <w:pPr>
        <w:pStyle w:val="NormalWeb"/>
        <w:widowControl w:val="0"/>
        <w:shd w:val="clear" w:color="auto" w:fill="FFFFFF"/>
        <w:spacing w:line="336" w:lineRule="auto"/>
        <w:jc w:val="both"/>
        <w:rPr>
          <w:rFonts w:ascii="Arial" w:hAnsi="Arial" w:cs="Arial"/>
        </w:rPr>
      </w:pPr>
      <w:r w:rsidRPr="002C0C73">
        <w:rPr>
          <w:rFonts w:ascii="Arial" w:hAnsi="Arial" w:cs="Arial"/>
          <w:b/>
          <w:bCs/>
        </w:rPr>
        <w:t>III</w:t>
      </w:r>
      <w:r w:rsidR="0001640C" w:rsidRPr="002C0C73">
        <w:rPr>
          <w:rFonts w:ascii="Arial" w:hAnsi="Arial" w:cs="Arial"/>
          <w:b/>
          <w:bCs/>
        </w:rPr>
        <w:t>. Legitimación y personería.</w:t>
      </w:r>
      <w:r w:rsidR="00246D01" w:rsidRPr="002C0C73">
        <w:rPr>
          <w:rFonts w:ascii="Arial" w:hAnsi="Arial" w:cs="Arial"/>
        </w:rPr>
        <w:t xml:space="preserve"> </w:t>
      </w:r>
      <w:r w:rsidR="007168A3" w:rsidRPr="002C0C73">
        <w:rPr>
          <w:rFonts w:ascii="Arial" w:hAnsi="Arial" w:cs="Arial"/>
        </w:rPr>
        <w:t>La</w:t>
      </w:r>
      <w:r w:rsidR="00E13D1D" w:rsidRPr="002C0C73">
        <w:rPr>
          <w:rFonts w:ascii="Arial" w:hAnsi="Arial" w:cs="Arial"/>
        </w:rPr>
        <w:t>s</w:t>
      </w:r>
      <w:r w:rsidR="007168A3" w:rsidRPr="002C0C73">
        <w:rPr>
          <w:rFonts w:ascii="Arial" w:hAnsi="Arial" w:cs="Arial"/>
        </w:rPr>
        <w:t xml:space="preserve"> actora</w:t>
      </w:r>
      <w:r w:rsidR="00E13D1D" w:rsidRPr="002C0C73">
        <w:rPr>
          <w:rFonts w:ascii="Arial" w:hAnsi="Arial" w:cs="Arial"/>
        </w:rPr>
        <w:t>s</w:t>
      </w:r>
      <w:r w:rsidR="007168A3" w:rsidRPr="002C0C73">
        <w:rPr>
          <w:rFonts w:ascii="Arial" w:hAnsi="Arial" w:cs="Arial"/>
        </w:rPr>
        <w:t xml:space="preserve"> </w:t>
      </w:r>
      <w:r w:rsidR="00246D01" w:rsidRPr="002C0C73">
        <w:rPr>
          <w:rFonts w:ascii="Arial" w:hAnsi="Arial" w:cs="Arial"/>
        </w:rPr>
        <w:t>está</w:t>
      </w:r>
      <w:r w:rsidR="00E13D1D" w:rsidRPr="002C0C73">
        <w:rPr>
          <w:rFonts w:ascii="Arial" w:hAnsi="Arial" w:cs="Arial"/>
        </w:rPr>
        <w:t>n</w:t>
      </w:r>
      <w:r w:rsidR="00246D01" w:rsidRPr="002C0C73">
        <w:rPr>
          <w:rFonts w:ascii="Arial" w:hAnsi="Arial" w:cs="Arial"/>
        </w:rPr>
        <w:t xml:space="preserve"> legitimad</w:t>
      </w:r>
      <w:r w:rsidR="007168A3" w:rsidRPr="002C0C73">
        <w:rPr>
          <w:rFonts w:ascii="Arial" w:hAnsi="Arial" w:cs="Arial"/>
        </w:rPr>
        <w:t>a</w:t>
      </w:r>
      <w:r w:rsidR="00E13D1D" w:rsidRPr="002C0C73">
        <w:rPr>
          <w:rFonts w:ascii="Arial" w:hAnsi="Arial" w:cs="Arial"/>
        </w:rPr>
        <w:t>s</w:t>
      </w:r>
      <w:r w:rsidR="007168A3" w:rsidRPr="002C0C73">
        <w:rPr>
          <w:rFonts w:ascii="Arial" w:hAnsi="Arial" w:cs="Arial"/>
        </w:rPr>
        <w:t xml:space="preserve"> </w:t>
      </w:r>
      <w:r w:rsidR="00246D01" w:rsidRPr="002C0C73">
        <w:rPr>
          <w:rFonts w:ascii="Arial" w:hAnsi="Arial" w:cs="Arial"/>
        </w:rPr>
        <w:t xml:space="preserve">para promover </w:t>
      </w:r>
      <w:r w:rsidR="00AE46CD" w:rsidRPr="002C0C73">
        <w:rPr>
          <w:rFonts w:ascii="Arial" w:hAnsi="Arial" w:cs="Arial"/>
        </w:rPr>
        <w:t xml:space="preserve">por ser </w:t>
      </w:r>
      <w:r w:rsidR="00AA2C85" w:rsidRPr="002C0C73">
        <w:rPr>
          <w:rFonts w:ascii="Arial" w:hAnsi="Arial" w:cs="Arial"/>
        </w:rPr>
        <w:t>organizaci</w:t>
      </w:r>
      <w:r w:rsidR="00E13D1D" w:rsidRPr="002C0C73">
        <w:rPr>
          <w:rFonts w:ascii="Arial" w:hAnsi="Arial" w:cs="Arial"/>
        </w:rPr>
        <w:t>ones que pretenden constituir un partido político.</w:t>
      </w:r>
    </w:p>
    <w:p w:rsidR="006F6759" w:rsidRPr="002C0C73" w:rsidRDefault="00246D01" w:rsidP="00B94D97">
      <w:pPr>
        <w:pStyle w:val="NormalWeb"/>
        <w:widowControl w:val="0"/>
        <w:shd w:val="clear" w:color="auto" w:fill="FFFFFF"/>
        <w:spacing w:line="336" w:lineRule="auto"/>
        <w:jc w:val="both"/>
        <w:rPr>
          <w:rFonts w:ascii="Arial" w:hAnsi="Arial" w:cs="Arial"/>
        </w:rPr>
      </w:pPr>
      <w:r w:rsidRPr="002C0C73">
        <w:rPr>
          <w:rFonts w:ascii="Arial" w:hAnsi="Arial" w:cs="Arial"/>
        </w:rPr>
        <w:t xml:space="preserve">Asimismo, </w:t>
      </w:r>
      <w:r w:rsidR="00DA48B7" w:rsidRPr="002C0C73">
        <w:rPr>
          <w:rFonts w:ascii="Arial" w:hAnsi="Arial" w:cs="Arial"/>
        </w:rPr>
        <w:t>las organizaciones están</w:t>
      </w:r>
      <w:r w:rsidRPr="002C0C73">
        <w:rPr>
          <w:rFonts w:ascii="Arial" w:hAnsi="Arial" w:cs="Arial"/>
        </w:rPr>
        <w:t xml:space="preserve"> debidamente representad</w:t>
      </w:r>
      <w:r w:rsidR="00AA2C85" w:rsidRPr="002C0C73">
        <w:rPr>
          <w:rFonts w:ascii="Arial" w:hAnsi="Arial" w:cs="Arial"/>
        </w:rPr>
        <w:t>a</w:t>
      </w:r>
      <w:r w:rsidR="00E13D1D" w:rsidRPr="002C0C73">
        <w:rPr>
          <w:rFonts w:ascii="Arial" w:hAnsi="Arial" w:cs="Arial"/>
        </w:rPr>
        <w:t>s</w:t>
      </w:r>
      <w:r w:rsidRPr="002C0C73">
        <w:rPr>
          <w:rFonts w:ascii="Arial" w:hAnsi="Arial" w:cs="Arial"/>
        </w:rPr>
        <w:t xml:space="preserve">, porque </w:t>
      </w:r>
      <w:r w:rsidR="0053756B" w:rsidRPr="002C0C73">
        <w:rPr>
          <w:rFonts w:ascii="Arial" w:hAnsi="Arial" w:cs="Arial"/>
        </w:rPr>
        <w:t xml:space="preserve">las demandas las presentaron </w:t>
      </w:r>
      <w:r w:rsidR="00AA2C85" w:rsidRPr="002C0C73">
        <w:rPr>
          <w:rFonts w:ascii="Arial" w:hAnsi="Arial" w:cs="Arial"/>
        </w:rPr>
        <w:t>Carlos Eduardo Pérez Ventura</w:t>
      </w:r>
      <w:r w:rsidR="00DA48B7" w:rsidRPr="002C0C73">
        <w:rPr>
          <w:rStyle w:val="Refdenotaalpie"/>
          <w:rFonts w:ascii="Arial" w:hAnsi="Arial" w:cs="Arial"/>
        </w:rPr>
        <w:footnoteReference w:id="14"/>
      </w:r>
      <w:r w:rsidR="00EE44DE" w:rsidRPr="002C0C73">
        <w:rPr>
          <w:rFonts w:ascii="Arial" w:hAnsi="Arial" w:cs="Arial"/>
        </w:rPr>
        <w:t>,</w:t>
      </w:r>
      <w:r w:rsidR="00E13D1D" w:rsidRPr="002C0C73">
        <w:rPr>
          <w:rFonts w:ascii="Arial" w:hAnsi="Arial" w:cs="Arial"/>
        </w:rPr>
        <w:t xml:space="preserve"> Ernesto Guerra Mota</w:t>
      </w:r>
      <w:r w:rsidR="00DA48B7" w:rsidRPr="002C0C73">
        <w:rPr>
          <w:rStyle w:val="Refdenotaalpie"/>
          <w:rFonts w:ascii="Arial" w:hAnsi="Arial" w:cs="Arial"/>
        </w:rPr>
        <w:footnoteReference w:id="15"/>
      </w:r>
      <w:r w:rsidRPr="002C0C73">
        <w:rPr>
          <w:rFonts w:ascii="Arial" w:hAnsi="Arial" w:cs="Arial"/>
        </w:rPr>
        <w:t>,</w:t>
      </w:r>
      <w:r w:rsidR="00E13D1D" w:rsidRPr="002C0C73">
        <w:rPr>
          <w:rFonts w:ascii="Arial" w:hAnsi="Arial" w:cs="Arial"/>
        </w:rPr>
        <w:t xml:space="preserve"> </w:t>
      </w:r>
      <w:r w:rsidR="00DA48B7" w:rsidRPr="002C0C73">
        <w:rPr>
          <w:rFonts w:ascii="Arial" w:hAnsi="Arial" w:cs="Arial"/>
        </w:rPr>
        <w:t>Johanna Cecilia Asiain Carbonell</w:t>
      </w:r>
      <w:r w:rsidR="00DA48B7" w:rsidRPr="002C0C73">
        <w:rPr>
          <w:rStyle w:val="Refdenotaalpie"/>
          <w:rFonts w:ascii="Arial" w:hAnsi="Arial" w:cs="Arial"/>
        </w:rPr>
        <w:footnoteReference w:id="16"/>
      </w:r>
      <w:r w:rsidR="00DA48B7" w:rsidRPr="002C0C73">
        <w:rPr>
          <w:rFonts w:ascii="Arial" w:hAnsi="Arial" w:cs="Arial"/>
        </w:rPr>
        <w:t xml:space="preserve"> y Alfonso Alcántara Hernández</w:t>
      </w:r>
      <w:r w:rsidR="00DA48B7" w:rsidRPr="002C0C73">
        <w:rPr>
          <w:rStyle w:val="Refdenotaalpie"/>
          <w:rFonts w:ascii="Arial" w:hAnsi="Arial" w:cs="Arial"/>
        </w:rPr>
        <w:footnoteReference w:id="17"/>
      </w:r>
      <w:r w:rsidR="00DA48B7" w:rsidRPr="002C0C73">
        <w:rPr>
          <w:rFonts w:ascii="Arial" w:hAnsi="Arial" w:cs="Arial"/>
        </w:rPr>
        <w:t xml:space="preserve">, </w:t>
      </w:r>
      <w:r w:rsidRPr="002C0C73">
        <w:rPr>
          <w:rFonts w:ascii="Arial" w:hAnsi="Arial" w:cs="Arial"/>
        </w:rPr>
        <w:t>quien</w:t>
      </w:r>
      <w:r w:rsidR="00E13D1D" w:rsidRPr="002C0C73">
        <w:rPr>
          <w:rFonts w:ascii="Arial" w:hAnsi="Arial" w:cs="Arial"/>
        </w:rPr>
        <w:t>es son sus</w:t>
      </w:r>
      <w:r w:rsidRPr="002C0C73">
        <w:rPr>
          <w:rFonts w:ascii="Arial" w:hAnsi="Arial" w:cs="Arial"/>
        </w:rPr>
        <w:t xml:space="preserve"> representante</w:t>
      </w:r>
      <w:r w:rsidR="00E13D1D" w:rsidRPr="002C0C73">
        <w:rPr>
          <w:rFonts w:ascii="Arial" w:hAnsi="Arial" w:cs="Arial"/>
        </w:rPr>
        <w:t>s</w:t>
      </w:r>
      <w:r w:rsidRPr="002C0C73">
        <w:rPr>
          <w:rFonts w:ascii="Arial" w:hAnsi="Arial" w:cs="Arial"/>
        </w:rPr>
        <w:t xml:space="preserve"> ante el </w:t>
      </w:r>
      <w:r w:rsidR="0053756B" w:rsidRPr="002C0C73">
        <w:rPr>
          <w:rFonts w:ascii="Arial" w:hAnsi="Arial" w:cs="Arial"/>
        </w:rPr>
        <w:t xml:space="preserve">CG del INE </w:t>
      </w:r>
      <w:r w:rsidR="00DA48B7" w:rsidRPr="002C0C73">
        <w:rPr>
          <w:rFonts w:ascii="Arial" w:hAnsi="Arial" w:cs="Arial"/>
        </w:rPr>
        <w:t>y la DEP</w:t>
      </w:r>
      <w:r w:rsidR="00A40A78" w:rsidRPr="002C0C73">
        <w:rPr>
          <w:rFonts w:ascii="Arial" w:hAnsi="Arial" w:cs="Arial"/>
        </w:rPr>
        <w:t>P</w:t>
      </w:r>
      <w:r w:rsidR="00DA48B7" w:rsidRPr="002C0C73">
        <w:rPr>
          <w:rFonts w:ascii="Arial" w:hAnsi="Arial" w:cs="Arial"/>
        </w:rPr>
        <w:t>P</w:t>
      </w:r>
      <w:r w:rsidR="009C2307" w:rsidRPr="002C0C73">
        <w:rPr>
          <w:rStyle w:val="Refdenotaalpie"/>
          <w:rFonts w:ascii="Arial" w:hAnsi="Arial" w:cs="Arial"/>
        </w:rPr>
        <w:footnoteReference w:id="18"/>
      </w:r>
      <w:r w:rsidR="00AB58BA" w:rsidRPr="002C0C73">
        <w:rPr>
          <w:rFonts w:ascii="Arial" w:hAnsi="Arial" w:cs="Arial"/>
        </w:rPr>
        <w:t>, como expresamente lo reconoce la autoridad responsable en los informes circunstanciados</w:t>
      </w:r>
      <w:r w:rsidR="00AB58BA" w:rsidRPr="002C0C73">
        <w:rPr>
          <w:rStyle w:val="Refdenotaalpie"/>
          <w:rFonts w:ascii="Arial" w:hAnsi="Arial" w:cs="Arial"/>
        </w:rPr>
        <w:footnoteReference w:id="19"/>
      </w:r>
      <w:r w:rsidR="00AB58BA" w:rsidRPr="002C0C73">
        <w:rPr>
          <w:rFonts w:ascii="Arial" w:hAnsi="Arial" w:cs="Arial"/>
        </w:rPr>
        <w:t>.</w:t>
      </w:r>
    </w:p>
    <w:p w:rsidR="0001640C" w:rsidRPr="002C0C73" w:rsidRDefault="0053756B" w:rsidP="005766E3">
      <w:pPr>
        <w:pStyle w:val="NormalWeb"/>
        <w:shd w:val="clear" w:color="auto" w:fill="FFFFFF"/>
        <w:spacing w:line="336" w:lineRule="auto"/>
        <w:jc w:val="both"/>
        <w:rPr>
          <w:rFonts w:ascii="Arial" w:hAnsi="Arial" w:cs="Arial"/>
          <w:spacing w:val="4"/>
        </w:rPr>
      </w:pPr>
      <w:r w:rsidRPr="002C0C73">
        <w:rPr>
          <w:rFonts w:ascii="Arial" w:hAnsi="Arial" w:cs="Arial"/>
          <w:b/>
          <w:bCs/>
          <w:spacing w:val="4"/>
        </w:rPr>
        <w:lastRenderedPageBreak/>
        <w:t>IV</w:t>
      </w:r>
      <w:r w:rsidR="0001640C" w:rsidRPr="002C0C73">
        <w:rPr>
          <w:rFonts w:ascii="Arial" w:hAnsi="Arial" w:cs="Arial"/>
          <w:b/>
          <w:bCs/>
          <w:spacing w:val="4"/>
        </w:rPr>
        <w:t>. Interés jurídico.</w:t>
      </w:r>
      <w:r w:rsidR="001C19C7" w:rsidRPr="002C0C73">
        <w:rPr>
          <w:rFonts w:ascii="Arial" w:hAnsi="Arial" w:cs="Arial"/>
          <w:spacing w:val="4"/>
        </w:rPr>
        <w:t xml:space="preserve"> </w:t>
      </w:r>
      <w:r w:rsidR="007168A3" w:rsidRPr="002C0C73">
        <w:rPr>
          <w:rFonts w:ascii="Arial" w:hAnsi="Arial" w:cs="Arial"/>
          <w:spacing w:val="4"/>
        </w:rPr>
        <w:t>La</w:t>
      </w:r>
      <w:r w:rsidR="002D0DB6" w:rsidRPr="002C0C73">
        <w:rPr>
          <w:rFonts w:ascii="Arial" w:hAnsi="Arial" w:cs="Arial"/>
          <w:spacing w:val="4"/>
        </w:rPr>
        <w:t xml:space="preserve">s </w:t>
      </w:r>
      <w:r w:rsidR="007168A3" w:rsidRPr="002C0C73">
        <w:rPr>
          <w:rFonts w:ascii="Arial" w:hAnsi="Arial" w:cs="Arial"/>
          <w:spacing w:val="4"/>
        </w:rPr>
        <w:t>actora</w:t>
      </w:r>
      <w:r w:rsidR="002D0DB6" w:rsidRPr="002C0C73">
        <w:rPr>
          <w:rFonts w:ascii="Arial" w:hAnsi="Arial" w:cs="Arial"/>
          <w:spacing w:val="4"/>
        </w:rPr>
        <w:t>s</w:t>
      </w:r>
      <w:r w:rsidR="007168A3" w:rsidRPr="002C0C73">
        <w:rPr>
          <w:rFonts w:ascii="Arial" w:hAnsi="Arial" w:cs="Arial"/>
          <w:spacing w:val="4"/>
        </w:rPr>
        <w:t xml:space="preserve"> </w:t>
      </w:r>
      <w:r w:rsidR="001C19C7" w:rsidRPr="002C0C73">
        <w:rPr>
          <w:rFonts w:ascii="Arial" w:hAnsi="Arial" w:cs="Arial"/>
          <w:spacing w:val="4"/>
        </w:rPr>
        <w:t>tiene</w:t>
      </w:r>
      <w:r w:rsidR="002D0DB6" w:rsidRPr="002C0C73">
        <w:rPr>
          <w:rFonts w:ascii="Arial" w:hAnsi="Arial" w:cs="Arial"/>
          <w:spacing w:val="4"/>
        </w:rPr>
        <w:t>n</w:t>
      </w:r>
      <w:r w:rsidR="001C19C7" w:rsidRPr="002C0C73">
        <w:rPr>
          <w:rFonts w:ascii="Arial" w:hAnsi="Arial" w:cs="Arial"/>
          <w:spacing w:val="4"/>
        </w:rPr>
        <w:t xml:space="preserve"> interés jurídico porque controvierte</w:t>
      </w:r>
      <w:r w:rsidR="002D0DB6" w:rsidRPr="002C0C73">
        <w:rPr>
          <w:rFonts w:ascii="Arial" w:hAnsi="Arial" w:cs="Arial"/>
          <w:spacing w:val="4"/>
        </w:rPr>
        <w:t>n</w:t>
      </w:r>
      <w:r w:rsidR="001C19C7" w:rsidRPr="002C0C73">
        <w:rPr>
          <w:rFonts w:ascii="Arial" w:hAnsi="Arial" w:cs="Arial"/>
          <w:spacing w:val="4"/>
        </w:rPr>
        <w:t xml:space="preserve"> </w:t>
      </w:r>
      <w:r w:rsidR="003B742F" w:rsidRPr="002C0C73">
        <w:rPr>
          <w:rFonts w:ascii="Arial" w:hAnsi="Arial" w:cs="Arial"/>
          <w:spacing w:val="4"/>
        </w:rPr>
        <w:t xml:space="preserve">un acuerdo del </w:t>
      </w:r>
      <w:r w:rsidRPr="002C0C73">
        <w:rPr>
          <w:rFonts w:ascii="Arial" w:hAnsi="Arial" w:cs="Arial"/>
          <w:spacing w:val="4"/>
        </w:rPr>
        <w:t xml:space="preserve">CG </w:t>
      </w:r>
      <w:r w:rsidR="007168A3" w:rsidRPr="002C0C73">
        <w:rPr>
          <w:rFonts w:ascii="Arial" w:hAnsi="Arial" w:cs="Arial"/>
          <w:spacing w:val="4"/>
        </w:rPr>
        <w:t>del INE</w:t>
      </w:r>
      <w:r w:rsidR="001C19C7" w:rsidRPr="002C0C73">
        <w:rPr>
          <w:rFonts w:ascii="Arial" w:hAnsi="Arial" w:cs="Arial"/>
          <w:spacing w:val="4"/>
        </w:rPr>
        <w:t xml:space="preserve"> </w:t>
      </w:r>
      <w:r w:rsidR="007168A3" w:rsidRPr="002C0C73">
        <w:rPr>
          <w:rFonts w:ascii="Arial" w:hAnsi="Arial" w:cs="Arial"/>
          <w:spacing w:val="4"/>
        </w:rPr>
        <w:t xml:space="preserve">por el cual se aprueba la reanudación del procedimiento de constitución de los nuevos </w:t>
      </w:r>
      <w:r w:rsidR="009628A3" w:rsidRPr="002C0C73">
        <w:rPr>
          <w:rFonts w:ascii="Arial" w:hAnsi="Arial" w:cs="Arial"/>
          <w:spacing w:val="4"/>
        </w:rPr>
        <w:t>partidos políticos nacionales.</w:t>
      </w:r>
    </w:p>
    <w:p w:rsidR="00BD6C5B" w:rsidRPr="002C0C73" w:rsidRDefault="00BD6C5B" w:rsidP="005766E3">
      <w:pPr>
        <w:spacing w:before="100" w:beforeAutospacing="1" w:after="100" w:afterAutospacing="1" w:line="336" w:lineRule="auto"/>
        <w:jc w:val="both"/>
        <w:rPr>
          <w:rFonts w:cs="Arial"/>
          <w:sz w:val="24"/>
          <w:szCs w:val="24"/>
        </w:rPr>
      </w:pPr>
      <w:r w:rsidRPr="002C0C73">
        <w:rPr>
          <w:rFonts w:cs="Arial"/>
          <w:sz w:val="24"/>
          <w:szCs w:val="24"/>
        </w:rPr>
        <w:t xml:space="preserve">En </w:t>
      </w:r>
      <w:r w:rsidR="00A40A78" w:rsidRPr="002C0C73">
        <w:rPr>
          <w:rFonts w:cs="Arial"/>
          <w:sz w:val="24"/>
          <w:szCs w:val="24"/>
        </w:rPr>
        <w:t>su opinión</w:t>
      </w:r>
      <w:r w:rsidRPr="002C0C73">
        <w:rPr>
          <w:rFonts w:cs="Arial"/>
          <w:sz w:val="24"/>
          <w:szCs w:val="24"/>
        </w:rPr>
        <w:t xml:space="preserve">, </w:t>
      </w:r>
      <w:r w:rsidR="00A40A78" w:rsidRPr="002C0C73">
        <w:rPr>
          <w:rFonts w:cs="Arial"/>
          <w:sz w:val="24"/>
          <w:szCs w:val="24"/>
        </w:rPr>
        <w:t xml:space="preserve">esa determinación </w:t>
      </w:r>
      <w:r w:rsidR="009628A3" w:rsidRPr="002C0C73">
        <w:rPr>
          <w:rFonts w:cs="Arial"/>
          <w:sz w:val="24"/>
          <w:szCs w:val="24"/>
        </w:rPr>
        <w:t>le</w:t>
      </w:r>
      <w:r w:rsidR="002D0DB6" w:rsidRPr="002C0C73">
        <w:rPr>
          <w:rFonts w:cs="Arial"/>
          <w:sz w:val="24"/>
          <w:szCs w:val="24"/>
        </w:rPr>
        <w:t>s</w:t>
      </w:r>
      <w:r w:rsidR="009628A3" w:rsidRPr="002C0C73">
        <w:rPr>
          <w:rFonts w:cs="Arial"/>
          <w:sz w:val="24"/>
          <w:szCs w:val="24"/>
        </w:rPr>
        <w:t xml:space="preserve"> causa </w:t>
      </w:r>
      <w:r w:rsidR="00A40A78" w:rsidRPr="002C0C73">
        <w:rPr>
          <w:rFonts w:cs="Arial"/>
          <w:sz w:val="24"/>
          <w:szCs w:val="24"/>
        </w:rPr>
        <w:t>agravio</w:t>
      </w:r>
      <w:r w:rsidR="009628A3" w:rsidRPr="002C0C73">
        <w:rPr>
          <w:rFonts w:cs="Arial"/>
          <w:sz w:val="24"/>
          <w:szCs w:val="24"/>
        </w:rPr>
        <w:t xml:space="preserve">, </w:t>
      </w:r>
      <w:r w:rsidR="00A40A78" w:rsidRPr="002C0C73">
        <w:rPr>
          <w:rFonts w:cs="Arial"/>
          <w:sz w:val="24"/>
          <w:szCs w:val="24"/>
        </w:rPr>
        <w:t>porque vulnera los principios de legalidad, igualdad y equidad en la contienda electoral</w:t>
      </w:r>
      <w:r w:rsidR="00DD09D0" w:rsidRPr="002C0C73">
        <w:rPr>
          <w:rFonts w:cs="Arial"/>
          <w:sz w:val="24"/>
          <w:szCs w:val="24"/>
        </w:rPr>
        <w:t>.</w:t>
      </w:r>
    </w:p>
    <w:p w:rsidR="0001640C" w:rsidRPr="002C0C73" w:rsidRDefault="0053756B" w:rsidP="005766E3">
      <w:pPr>
        <w:pStyle w:val="NormalWeb"/>
        <w:shd w:val="clear" w:color="auto" w:fill="FFFFFF"/>
        <w:spacing w:line="336" w:lineRule="auto"/>
        <w:jc w:val="both"/>
        <w:rPr>
          <w:rFonts w:ascii="Arial" w:hAnsi="Arial" w:cs="Arial"/>
        </w:rPr>
      </w:pPr>
      <w:r w:rsidRPr="002C0C73">
        <w:rPr>
          <w:rFonts w:ascii="Arial" w:hAnsi="Arial" w:cs="Arial"/>
          <w:b/>
          <w:bCs/>
          <w:spacing w:val="4"/>
        </w:rPr>
        <w:t>V</w:t>
      </w:r>
      <w:r w:rsidR="0001640C" w:rsidRPr="002C0C73">
        <w:rPr>
          <w:rFonts w:ascii="Arial" w:hAnsi="Arial" w:cs="Arial"/>
          <w:b/>
          <w:bCs/>
          <w:spacing w:val="4"/>
        </w:rPr>
        <w:t>. Definitividad.</w:t>
      </w:r>
      <w:r w:rsidR="00C239B4" w:rsidRPr="002C0C73">
        <w:rPr>
          <w:rFonts w:ascii="Arial" w:hAnsi="Arial" w:cs="Arial"/>
          <w:spacing w:val="4"/>
        </w:rPr>
        <w:t xml:space="preserve"> </w:t>
      </w:r>
      <w:r w:rsidRPr="002C0C73">
        <w:rPr>
          <w:rFonts w:ascii="Arial" w:hAnsi="Arial" w:cs="Arial"/>
          <w:spacing w:val="4"/>
        </w:rPr>
        <w:t>E</w:t>
      </w:r>
      <w:r w:rsidR="002D0DB6" w:rsidRPr="002C0C73">
        <w:rPr>
          <w:rFonts w:ascii="Arial" w:hAnsi="Arial" w:cs="Arial"/>
          <w:bCs/>
        </w:rPr>
        <w:t>l acto impugnado es</w:t>
      </w:r>
      <w:r w:rsidR="00C239B4" w:rsidRPr="002C0C73">
        <w:rPr>
          <w:rFonts w:ascii="Arial" w:hAnsi="Arial" w:cs="Arial"/>
          <w:bCs/>
        </w:rPr>
        <w:t xml:space="preserve"> definitivo y firme, dado que no existe algún medio de impugnación previsto </w:t>
      </w:r>
      <w:r w:rsidRPr="002C0C73">
        <w:rPr>
          <w:rFonts w:ascii="Arial" w:hAnsi="Arial" w:cs="Arial"/>
          <w:bCs/>
        </w:rPr>
        <w:t xml:space="preserve">por </w:t>
      </w:r>
      <w:r w:rsidR="00C239B4" w:rsidRPr="002C0C73">
        <w:rPr>
          <w:rFonts w:ascii="Arial" w:hAnsi="Arial" w:cs="Arial"/>
          <w:bCs/>
        </w:rPr>
        <w:t>agotar.</w:t>
      </w:r>
    </w:p>
    <w:p w:rsidR="00E37298" w:rsidRPr="002C0C73" w:rsidRDefault="00123E6F" w:rsidP="00F74EAE">
      <w:pPr>
        <w:pStyle w:val="NormalWeb"/>
        <w:widowControl w:val="0"/>
        <w:shd w:val="clear" w:color="auto" w:fill="FFFFFF"/>
        <w:spacing w:line="336" w:lineRule="auto"/>
        <w:jc w:val="center"/>
        <w:outlineLvl w:val="0"/>
        <w:rPr>
          <w:rFonts w:ascii="Arial" w:hAnsi="Arial" w:cs="Arial"/>
          <w:b/>
        </w:rPr>
      </w:pPr>
      <w:bookmarkStart w:id="17" w:name="_Toc43048088"/>
      <w:r w:rsidRPr="002C0C73">
        <w:rPr>
          <w:rFonts w:ascii="Arial" w:hAnsi="Arial" w:cs="Arial"/>
          <w:b/>
        </w:rPr>
        <w:t>METODOLOGÍA</w:t>
      </w:r>
      <w:bookmarkEnd w:id="17"/>
    </w:p>
    <w:p w:rsidR="00583688" w:rsidRPr="002C0C73" w:rsidRDefault="00583688" w:rsidP="00F74EAE">
      <w:pPr>
        <w:pStyle w:val="NormalWeb"/>
        <w:widowControl w:val="0"/>
        <w:shd w:val="clear" w:color="auto" w:fill="FFFFFF"/>
        <w:spacing w:line="336" w:lineRule="auto"/>
        <w:jc w:val="both"/>
        <w:rPr>
          <w:rFonts w:ascii="Arial" w:hAnsi="Arial" w:cs="Arial"/>
          <w:bCs/>
        </w:rPr>
      </w:pPr>
      <w:r w:rsidRPr="002C0C73">
        <w:rPr>
          <w:rFonts w:ascii="Arial" w:hAnsi="Arial" w:cs="Arial"/>
          <w:bCs/>
        </w:rPr>
        <w:t>De la lectura conjunta de las demandas, se advierte la existencia de argumentos específicos sobre ciertos temas, los cuales se pueden analizar, unos de forma individual y, otros de manera conjunta</w:t>
      </w:r>
      <w:r w:rsidR="00202ADC" w:rsidRPr="002C0C73">
        <w:rPr>
          <w:rStyle w:val="Refdenotaalpie"/>
          <w:rFonts w:ascii="Arial" w:hAnsi="Arial" w:cs="Arial"/>
          <w:bCs/>
        </w:rPr>
        <w:footnoteReference w:id="20"/>
      </w:r>
      <w:r w:rsidRPr="002C0C73">
        <w:rPr>
          <w:rFonts w:ascii="Arial" w:hAnsi="Arial" w:cs="Arial"/>
          <w:bCs/>
        </w:rPr>
        <w:t>.</w:t>
      </w:r>
    </w:p>
    <w:p w:rsidR="00583688" w:rsidRPr="002C0C73" w:rsidRDefault="00583688" w:rsidP="00F74EAE">
      <w:pPr>
        <w:pStyle w:val="NormalWeb"/>
        <w:widowControl w:val="0"/>
        <w:shd w:val="clear" w:color="auto" w:fill="FFFFFF"/>
        <w:spacing w:line="336" w:lineRule="auto"/>
        <w:jc w:val="both"/>
        <w:rPr>
          <w:rFonts w:ascii="Arial" w:hAnsi="Arial" w:cs="Arial"/>
          <w:bCs/>
        </w:rPr>
      </w:pPr>
      <w:r w:rsidRPr="002C0C73">
        <w:rPr>
          <w:rFonts w:ascii="Arial" w:hAnsi="Arial" w:cs="Arial"/>
          <w:bCs/>
        </w:rPr>
        <w:t>En ese sentido, los temas que se observan de los escritos de demanda y el orden por estudiar en esta sentencia son los siguientes:</w:t>
      </w:r>
    </w:p>
    <w:p w:rsidR="00583688" w:rsidRPr="002C0C73" w:rsidRDefault="00202ADC" w:rsidP="00F74EAE">
      <w:pPr>
        <w:pStyle w:val="NormalWeb"/>
        <w:widowControl w:val="0"/>
        <w:shd w:val="clear" w:color="auto" w:fill="FFFFFF"/>
        <w:spacing w:line="336" w:lineRule="auto"/>
        <w:jc w:val="both"/>
        <w:rPr>
          <w:rFonts w:ascii="Arial" w:hAnsi="Arial" w:cs="Arial"/>
          <w:bCs/>
        </w:rPr>
      </w:pPr>
      <w:r w:rsidRPr="002C0C73">
        <w:rPr>
          <w:rFonts w:ascii="Arial" w:hAnsi="Arial" w:cs="Arial"/>
          <w:b/>
          <w:bCs/>
        </w:rPr>
        <w:t xml:space="preserve">Primer tema. </w:t>
      </w:r>
      <w:r w:rsidRPr="002C0C73">
        <w:rPr>
          <w:rFonts w:ascii="Arial" w:hAnsi="Arial" w:cs="Arial"/>
          <w:bCs/>
        </w:rPr>
        <w:t xml:space="preserve">Inconstitucionalidad </w:t>
      </w:r>
      <w:r w:rsidR="00583688" w:rsidRPr="002C0C73">
        <w:rPr>
          <w:rFonts w:ascii="Arial" w:hAnsi="Arial" w:cs="Arial"/>
          <w:bCs/>
        </w:rPr>
        <w:t>de diversos preceptos de la LGPP</w:t>
      </w:r>
      <w:r w:rsidRPr="002C0C73">
        <w:rPr>
          <w:rFonts w:ascii="Arial" w:hAnsi="Arial" w:cs="Arial"/>
          <w:bCs/>
        </w:rPr>
        <w:t xml:space="preserve"> y del instructivo</w:t>
      </w:r>
      <w:r w:rsidRPr="002C0C73">
        <w:rPr>
          <w:rStyle w:val="Refdenotaalpie"/>
          <w:rFonts w:ascii="Arial" w:hAnsi="Arial" w:cs="Arial"/>
          <w:bCs/>
        </w:rPr>
        <w:footnoteReference w:id="21"/>
      </w:r>
      <w:r w:rsidRPr="002C0C73">
        <w:rPr>
          <w:rFonts w:ascii="Arial" w:hAnsi="Arial" w:cs="Arial"/>
          <w:bCs/>
        </w:rPr>
        <w:t>.</w:t>
      </w:r>
    </w:p>
    <w:p w:rsidR="00A12F2F" w:rsidRPr="002C0C73" w:rsidRDefault="00A12F2F" w:rsidP="00A12F2F">
      <w:pPr>
        <w:pStyle w:val="NormalWeb"/>
        <w:widowControl w:val="0"/>
        <w:shd w:val="clear" w:color="auto" w:fill="FFFFFF"/>
        <w:spacing w:line="336" w:lineRule="auto"/>
        <w:jc w:val="both"/>
        <w:rPr>
          <w:rFonts w:ascii="Arial" w:hAnsi="Arial" w:cs="Arial"/>
          <w:bCs/>
        </w:rPr>
      </w:pPr>
      <w:r w:rsidRPr="002C0C73">
        <w:rPr>
          <w:rFonts w:ascii="Arial" w:hAnsi="Arial" w:cs="Arial"/>
          <w:b/>
          <w:bCs/>
        </w:rPr>
        <w:t xml:space="preserve">Segundo tema. </w:t>
      </w:r>
      <w:r w:rsidRPr="002C0C73">
        <w:rPr>
          <w:rFonts w:ascii="Arial" w:hAnsi="Arial" w:cs="Arial"/>
          <w:bCs/>
        </w:rPr>
        <w:t xml:space="preserve">Posibilidad </w:t>
      </w:r>
      <w:r w:rsidR="005D4F9F" w:rsidRPr="002C0C73">
        <w:rPr>
          <w:rFonts w:ascii="Arial" w:hAnsi="Arial" w:cs="Arial"/>
          <w:bCs/>
        </w:rPr>
        <w:t xml:space="preserve">de reanudar actividades relativas a la constitución como </w:t>
      </w:r>
      <w:r w:rsidR="00443BDA" w:rsidRPr="002C0C73">
        <w:rPr>
          <w:rFonts w:ascii="Arial" w:hAnsi="Arial" w:cs="Arial"/>
          <w:bCs/>
        </w:rPr>
        <w:t>PPN</w:t>
      </w:r>
      <w:r w:rsidR="005D4F9F" w:rsidRPr="002C0C73">
        <w:rPr>
          <w:rFonts w:ascii="Arial" w:hAnsi="Arial" w:cs="Arial"/>
          <w:bCs/>
        </w:rPr>
        <w:t>.</w:t>
      </w:r>
      <w:r w:rsidRPr="002C0C73">
        <w:rPr>
          <w:rStyle w:val="Refdenotaalpie"/>
          <w:rFonts w:ascii="Arial" w:hAnsi="Arial" w:cs="Arial"/>
          <w:bCs/>
        </w:rPr>
        <w:footnoteReference w:id="22"/>
      </w:r>
    </w:p>
    <w:p w:rsidR="00202ADC" w:rsidRPr="002C0C73" w:rsidRDefault="00A12F2F" w:rsidP="00F74EAE">
      <w:pPr>
        <w:pStyle w:val="NormalWeb"/>
        <w:widowControl w:val="0"/>
        <w:shd w:val="clear" w:color="auto" w:fill="FFFFFF"/>
        <w:spacing w:line="336" w:lineRule="auto"/>
        <w:jc w:val="both"/>
        <w:rPr>
          <w:rFonts w:ascii="Arial" w:hAnsi="Arial" w:cs="Arial"/>
          <w:bCs/>
        </w:rPr>
      </w:pPr>
      <w:r w:rsidRPr="002C0C73">
        <w:rPr>
          <w:rFonts w:ascii="Arial" w:hAnsi="Arial" w:cs="Arial"/>
          <w:b/>
          <w:bCs/>
        </w:rPr>
        <w:t xml:space="preserve">Tercer </w:t>
      </w:r>
      <w:r w:rsidR="00202ADC" w:rsidRPr="002C0C73">
        <w:rPr>
          <w:rFonts w:ascii="Arial" w:hAnsi="Arial" w:cs="Arial"/>
          <w:b/>
          <w:bCs/>
        </w:rPr>
        <w:t xml:space="preserve">tema. </w:t>
      </w:r>
      <w:r w:rsidR="00202ADC" w:rsidRPr="002C0C73">
        <w:rPr>
          <w:rFonts w:ascii="Arial" w:hAnsi="Arial" w:cs="Arial"/>
          <w:bCs/>
        </w:rPr>
        <w:t>Fecha límite para resolver sobre el registro</w:t>
      </w:r>
      <w:r w:rsidR="00202ADC" w:rsidRPr="002C0C73">
        <w:rPr>
          <w:rStyle w:val="Refdenotaalpie"/>
          <w:rFonts w:ascii="Arial" w:hAnsi="Arial" w:cs="Arial"/>
          <w:bCs/>
        </w:rPr>
        <w:footnoteReference w:id="23"/>
      </w:r>
      <w:r w:rsidR="00202ADC" w:rsidRPr="002C0C73">
        <w:rPr>
          <w:rFonts w:ascii="Arial" w:hAnsi="Arial" w:cs="Arial"/>
          <w:bCs/>
        </w:rPr>
        <w:t xml:space="preserve"> y violación a otros derechos.</w:t>
      </w:r>
    </w:p>
    <w:p w:rsidR="00F66A68" w:rsidRPr="002C0C73" w:rsidRDefault="00F66A68" w:rsidP="00F74EAE">
      <w:pPr>
        <w:pStyle w:val="NormalWeb"/>
        <w:widowControl w:val="0"/>
        <w:shd w:val="clear" w:color="auto" w:fill="FFFFFF"/>
        <w:spacing w:line="336" w:lineRule="auto"/>
        <w:jc w:val="both"/>
        <w:rPr>
          <w:rFonts w:ascii="Arial" w:hAnsi="Arial" w:cs="Arial"/>
          <w:bCs/>
        </w:rPr>
      </w:pPr>
      <w:r w:rsidRPr="002C0C73">
        <w:rPr>
          <w:rFonts w:ascii="Arial" w:hAnsi="Arial" w:cs="Arial"/>
          <w:b/>
          <w:bCs/>
        </w:rPr>
        <w:t xml:space="preserve">Cuarto tema. </w:t>
      </w:r>
      <w:r w:rsidRPr="002C0C73">
        <w:rPr>
          <w:rFonts w:ascii="Arial" w:hAnsi="Arial" w:cs="Arial"/>
          <w:bCs/>
        </w:rPr>
        <w:t>Imposibilidad de recibir financiamiento</w:t>
      </w:r>
      <w:r w:rsidRPr="002C0C73">
        <w:rPr>
          <w:rStyle w:val="Refdenotaalpie"/>
          <w:rFonts w:ascii="Arial" w:hAnsi="Arial" w:cs="Arial"/>
          <w:bCs/>
        </w:rPr>
        <w:footnoteReference w:id="24"/>
      </w:r>
      <w:r w:rsidRPr="002C0C73">
        <w:rPr>
          <w:rFonts w:ascii="Arial" w:hAnsi="Arial" w:cs="Arial"/>
          <w:bCs/>
        </w:rPr>
        <w:t>.</w:t>
      </w:r>
    </w:p>
    <w:p w:rsidR="00202ADC" w:rsidRPr="002C0C73" w:rsidRDefault="00F66A68" w:rsidP="00F74EAE">
      <w:pPr>
        <w:pStyle w:val="NormalWeb"/>
        <w:widowControl w:val="0"/>
        <w:shd w:val="clear" w:color="auto" w:fill="FFFFFF"/>
        <w:spacing w:line="336" w:lineRule="auto"/>
        <w:jc w:val="both"/>
        <w:rPr>
          <w:rFonts w:ascii="Arial" w:hAnsi="Arial" w:cs="Arial"/>
          <w:bCs/>
        </w:rPr>
      </w:pPr>
      <w:r w:rsidRPr="002C0C73">
        <w:rPr>
          <w:rFonts w:ascii="Arial" w:hAnsi="Arial" w:cs="Arial"/>
          <w:b/>
          <w:bCs/>
        </w:rPr>
        <w:t xml:space="preserve">Quinto </w:t>
      </w:r>
      <w:r w:rsidR="00202ADC" w:rsidRPr="002C0C73">
        <w:rPr>
          <w:rFonts w:ascii="Arial" w:hAnsi="Arial" w:cs="Arial"/>
          <w:b/>
          <w:bCs/>
        </w:rPr>
        <w:t xml:space="preserve">tema. </w:t>
      </w:r>
      <w:r w:rsidR="00202ADC" w:rsidRPr="002C0C73">
        <w:rPr>
          <w:rFonts w:ascii="Arial" w:hAnsi="Arial" w:cs="Arial"/>
          <w:bCs/>
        </w:rPr>
        <w:t xml:space="preserve">Procedimiento </w:t>
      </w:r>
      <w:r w:rsidR="00A12F2F" w:rsidRPr="002C0C73">
        <w:rPr>
          <w:rFonts w:ascii="Arial" w:hAnsi="Arial" w:cs="Arial"/>
          <w:bCs/>
        </w:rPr>
        <w:t>sumario</w:t>
      </w:r>
      <w:r w:rsidR="00202ADC" w:rsidRPr="002C0C73">
        <w:rPr>
          <w:rStyle w:val="Refdenotaalpie"/>
          <w:rFonts w:ascii="Arial" w:hAnsi="Arial" w:cs="Arial"/>
          <w:bCs/>
        </w:rPr>
        <w:footnoteReference w:id="25"/>
      </w:r>
      <w:r w:rsidR="00202ADC" w:rsidRPr="002C0C73">
        <w:rPr>
          <w:rFonts w:ascii="Arial" w:hAnsi="Arial" w:cs="Arial"/>
          <w:bCs/>
        </w:rPr>
        <w:t>.</w:t>
      </w:r>
    </w:p>
    <w:p w:rsidR="00123E6F" w:rsidRPr="002C0C73" w:rsidRDefault="00123E6F" w:rsidP="005766E3">
      <w:pPr>
        <w:pStyle w:val="NormalWeb"/>
        <w:widowControl w:val="0"/>
        <w:shd w:val="clear" w:color="auto" w:fill="FFFFFF"/>
        <w:spacing w:line="336" w:lineRule="auto"/>
        <w:jc w:val="center"/>
        <w:outlineLvl w:val="0"/>
        <w:rPr>
          <w:rFonts w:ascii="Arial" w:hAnsi="Arial" w:cs="Arial"/>
          <w:b/>
        </w:rPr>
      </w:pPr>
      <w:bookmarkStart w:id="19" w:name="_Toc43048089"/>
      <w:r w:rsidRPr="002C0C73">
        <w:rPr>
          <w:rFonts w:ascii="Arial" w:hAnsi="Arial" w:cs="Arial"/>
          <w:b/>
        </w:rPr>
        <w:t>ESTUDIO DE FONDO</w:t>
      </w:r>
      <w:bookmarkEnd w:id="19"/>
    </w:p>
    <w:p w:rsidR="00F14C5B" w:rsidRPr="002C0C73" w:rsidRDefault="00202ADC" w:rsidP="00F14C5B">
      <w:pPr>
        <w:pStyle w:val="NormalWeb"/>
        <w:widowControl w:val="0"/>
        <w:shd w:val="clear" w:color="auto" w:fill="FFFFFF"/>
        <w:spacing w:line="360" w:lineRule="auto"/>
        <w:jc w:val="both"/>
        <w:outlineLvl w:val="0"/>
        <w:rPr>
          <w:rFonts w:ascii="Arial" w:hAnsi="Arial" w:cs="Arial"/>
          <w:b/>
        </w:rPr>
      </w:pPr>
      <w:bookmarkStart w:id="20" w:name="_Toc43048090"/>
      <w:bookmarkStart w:id="21" w:name="_Toc39767044"/>
      <w:r w:rsidRPr="002C0C73">
        <w:rPr>
          <w:rFonts w:ascii="Arial" w:hAnsi="Arial" w:cs="Arial"/>
          <w:b/>
        </w:rPr>
        <w:t>Primer tema.</w:t>
      </w:r>
      <w:r w:rsidRPr="002C0C73">
        <w:rPr>
          <w:rFonts w:ascii="Arial" w:hAnsi="Arial" w:cs="Arial"/>
        </w:rPr>
        <w:t xml:space="preserve"> </w:t>
      </w:r>
      <w:r w:rsidRPr="002C0C73">
        <w:rPr>
          <w:rFonts w:ascii="Arial" w:hAnsi="Arial" w:cs="Arial"/>
          <w:b/>
        </w:rPr>
        <w:t>Inconstitucionalidad de preceptos de la LGPP y del Instructivo (</w:t>
      </w:r>
      <w:r w:rsidR="00F14C5B" w:rsidRPr="002C0C73">
        <w:rPr>
          <w:rFonts w:ascii="Arial" w:hAnsi="Arial" w:cs="Arial"/>
          <w:b/>
        </w:rPr>
        <w:t>JDC-742</w:t>
      </w:r>
      <w:r w:rsidRPr="002C0C73">
        <w:rPr>
          <w:rFonts w:ascii="Arial" w:hAnsi="Arial" w:cs="Arial"/>
          <w:b/>
        </w:rPr>
        <w:t xml:space="preserve"> del FCT</w:t>
      </w:r>
      <w:r w:rsidR="00F14C5B" w:rsidRPr="002C0C73">
        <w:rPr>
          <w:rFonts w:ascii="Arial" w:hAnsi="Arial" w:cs="Arial"/>
          <w:b/>
        </w:rPr>
        <w:t>)</w:t>
      </w:r>
      <w:bookmarkEnd w:id="20"/>
    </w:p>
    <w:p w:rsidR="00F14C5B" w:rsidRPr="002C0C73" w:rsidRDefault="00202ADC"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lastRenderedPageBreak/>
        <w:t>I</w:t>
      </w:r>
      <w:r w:rsidR="00F14C5B" w:rsidRPr="002C0C73">
        <w:rPr>
          <w:rFonts w:ascii="Arial" w:hAnsi="Arial" w:cs="Arial"/>
          <w:b/>
        </w:rPr>
        <w:t>. Planteamientos</w:t>
      </w:r>
      <w:bookmarkEnd w:id="21"/>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La demandante </w:t>
      </w:r>
      <w:r w:rsidR="00202ADC" w:rsidRPr="002C0C73">
        <w:rPr>
          <w:rFonts w:ascii="Arial" w:hAnsi="Arial" w:cs="Arial"/>
          <w:bCs/>
        </w:rPr>
        <w:t>expone los siguientes argumentos:</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Desconoce las causas de cancelación de asambleas distritales.</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El INE omitió implementar un mecanismo para garantizar el derecho de audiencia.</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Inconstitucionalidad de los numerales 27, 30, 47, 98, 110, 113 y 115 del Instructivo.</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Inaplicación de los artículos 10, párrafo 2, inciso b); 12, párrafo 1, inciso a); 14, párrafo 2, y 15 de la LGPP.</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Inaplicación de diversos preceptos debido a la existencia de actos de violencia.</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Falta de confiabilidad y fallas de la aplicación informática.</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Afectación a las personas integrantes de los pueblos y comunidades indígenas.</w:t>
      </w:r>
    </w:p>
    <w:p w:rsidR="00F14C5B" w:rsidRPr="002C0C73" w:rsidRDefault="00F14C5B" w:rsidP="00F14C5B">
      <w:pPr>
        <w:pStyle w:val="NormalWeb"/>
        <w:widowControl w:val="0"/>
        <w:numPr>
          <w:ilvl w:val="0"/>
          <w:numId w:val="13"/>
        </w:numPr>
        <w:shd w:val="clear" w:color="auto" w:fill="FFFFFF"/>
        <w:spacing w:before="120" w:beforeAutospacing="0" w:after="120" w:afterAutospacing="0" w:line="360" w:lineRule="auto"/>
        <w:ind w:left="425" w:hanging="357"/>
        <w:jc w:val="both"/>
        <w:rPr>
          <w:rFonts w:ascii="Arial" w:hAnsi="Arial" w:cs="Arial"/>
          <w:bCs/>
        </w:rPr>
      </w:pPr>
      <w:r w:rsidRPr="002C0C73">
        <w:rPr>
          <w:rFonts w:ascii="Arial" w:hAnsi="Arial" w:cs="Arial"/>
          <w:bCs/>
        </w:rPr>
        <w:t xml:space="preserve">El INE no consideró que estaba </w:t>
      </w:r>
      <w:r w:rsidRPr="002C0C73">
        <w:rPr>
          <w:rFonts w:ascii="Arial" w:hAnsi="Arial" w:cs="Arial"/>
          <w:bCs/>
          <w:i/>
          <w:iCs/>
        </w:rPr>
        <w:t xml:space="preserve">sub </w:t>
      </w:r>
      <w:proofErr w:type="spellStart"/>
      <w:r w:rsidRPr="002C0C73">
        <w:rPr>
          <w:rFonts w:ascii="Arial" w:hAnsi="Arial" w:cs="Arial"/>
          <w:bCs/>
          <w:i/>
          <w:iCs/>
        </w:rPr>
        <w:t>iudice</w:t>
      </w:r>
      <w:proofErr w:type="spellEnd"/>
      <w:r w:rsidRPr="002C0C73">
        <w:rPr>
          <w:rFonts w:ascii="Arial" w:hAnsi="Arial" w:cs="Arial"/>
          <w:bCs/>
        </w:rPr>
        <w:t xml:space="preserve"> la impugnación que promovió para controvertir el informe del </w:t>
      </w:r>
      <w:r w:rsidR="00A12F2F" w:rsidRPr="002C0C73">
        <w:rPr>
          <w:rFonts w:ascii="Arial" w:hAnsi="Arial" w:cs="Arial"/>
          <w:bCs/>
          <w:lang w:val="es-ES"/>
        </w:rPr>
        <w:t xml:space="preserve">SE del INE </w:t>
      </w:r>
      <w:r w:rsidRPr="002C0C73">
        <w:rPr>
          <w:rFonts w:ascii="Arial" w:hAnsi="Arial" w:cs="Arial"/>
          <w:bCs/>
          <w:lang w:val="es-ES"/>
        </w:rPr>
        <w:t>(SUP-JDC-216/2020)</w:t>
      </w:r>
      <w:r w:rsidRPr="002C0C73">
        <w:rPr>
          <w:rFonts w:ascii="Arial" w:hAnsi="Arial" w:cs="Arial"/>
          <w:bCs/>
        </w:rPr>
        <w:t>.</w:t>
      </w:r>
    </w:p>
    <w:p w:rsidR="00F14C5B" w:rsidRPr="002C0C73" w:rsidRDefault="006E4E36" w:rsidP="00F14C5B">
      <w:pPr>
        <w:pStyle w:val="NormalWeb"/>
        <w:widowControl w:val="0"/>
        <w:shd w:val="clear" w:color="auto" w:fill="FFFFFF"/>
        <w:spacing w:line="360" w:lineRule="auto"/>
        <w:ind w:left="68"/>
        <w:jc w:val="both"/>
        <w:rPr>
          <w:rFonts w:ascii="Arial" w:hAnsi="Arial" w:cs="Arial"/>
          <w:bCs/>
        </w:rPr>
      </w:pPr>
      <w:r w:rsidRPr="002C0C73">
        <w:rPr>
          <w:rFonts w:ascii="Arial" w:hAnsi="Arial" w:cs="Arial"/>
          <w:bCs/>
        </w:rPr>
        <w:t xml:space="preserve">Los argumentos anteriores son expuestos por el FCT para impugnar </w:t>
      </w:r>
      <w:r w:rsidR="00F14C5B" w:rsidRPr="002C0C73">
        <w:rPr>
          <w:rFonts w:ascii="Arial" w:hAnsi="Arial" w:cs="Arial"/>
          <w:bCs/>
        </w:rPr>
        <w:t xml:space="preserve">el acuerdo mediante el cual, el </w:t>
      </w:r>
      <w:r w:rsidRPr="002C0C73">
        <w:rPr>
          <w:rFonts w:ascii="Arial" w:hAnsi="Arial" w:cs="Arial"/>
          <w:bCs/>
        </w:rPr>
        <w:t xml:space="preserve">CG del INE </w:t>
      </w:r>
      <w:r w:rsidR="00F14C5B" w:rsidRPr="002C0C73">
        <w:rPr>
          <w:rFonts w:ascii="Arial" w:hAnsi="Arial" w:cs="Arial"/>
          <w:bCs/>
        </w:rPr>
        <w:t xml:space="preserve">determinó reanudar el procedimiento de registro de nuevos </w:t>
      </w:r>
      <w:r w:rsidRPr="002C0C73">
        <w:rPr>
          <w:rFonts w:ascii="Arial" w:hAnsi="Arial" w:cs="Arial"/>
          <w:bCs/>
        </w:rPr>
        <w:t>PPN</w:t>
      </w:r>
      <w:r w:rsidRPr="002C0C73">
        <w:rPr>
          <w:rStyle w:val="Refdenotaalpie"/>
          <w:rFonts w:ascii="Arial" w:hAnsi="Arial" w:cs="Arial"/>
          <w:bCs/>
        </w:rPr>
        <w:footnoteReference w:id="26"/>
      </w:r>
      <w:r w:rsidR="00F14C5B" w:rsidRPr="002C0C73">
        <w:rPr>
          <w:rFonts w:ascii="Arial" w:hAnsi="Arial" w:cs="Arial"/>
          <w:bCs/>
        </w:rPr>
        <w:t>.</w:t>
      </w:r>
    </w:p>
    <w:p w:rsidR="00F14C5B" w:rsidRPr="002C0C73" w:rsidRDefault="00751D0A" w:rsidP="00F14C5B">
      <w:pPr>
        <w:pStyle w:val="NormalWeb"/>
        <w:widowControl w:val="0"/>
        <w:shd w:val="clear" w:color="auto" w:fill="FFFFFF"/>
        <w:spacing w:line="360" w:lineRule="auto"/>
        <w:jc w:val="both"/>
        <w:rPr>
          <w:rFonts w:ascii="Arial" w:hAnsi="Arial" w:cs="Arial"/>
          <w:b/>
        </w:rPr>
      </w:pPr>
      <w:bookmarkStart w:id="22" w:name="_Toc39767045"/>
      <w:r w:rsidRPr="002C0C73">
        <w:rPr>
          <w:rFonts w:ascii="Arial" w:hAnsi="Arial" w:cs="Arial"/>
          <w:b/>
        </w:rPr>
        <w:t>II.</w:t>
      </w:r>
      <w:r w:rsidR="00F14C5B" w:rsidRPr="002C0C73">
        <w:rPr>
          <w:rFonts w:ascii="Arial" w:hAnsi="Arial" w:cs="Arial"/>
          <w:b/>
        </w:rPr>
        <w:t xml:space="preserve"> </w:t>
      </w:r>
      <w:bookmarkEnd w:id="22"/>
      <w:r w:rsidR="00EF2FC7" w:rsidRPr="002C0C73">
        <w:rPr>
          <w:rFonts w:ascii="Arial" w:hAnsi="Arial" w:cs="Arial"/>
          <w:b/>
        </w:rPr>
        <w:t>Tesis</w:t>
      </w:r>
    </w:p>
    <w:p w:rsidR="00443BDA" w:rsidRPr="002C0C73" w:rsidRDefault="00C767FC" w:rsidP="00C767FC">
      <w:pPr>
        <w:pStyle w:val="NormalWeb"/>
        <w:shd w:val="clear" w:color="auto" w:fill="FFFFFF"/>
        <w:spacing w:line="360" w:lineRule="auto"/>
        <w:jc w:val="both"/>
        <w:rPr>
          <w:rFonts w:ascii="Arial" w:hAnsi="Arial" w:cs="Arial"/>
        </w:rPr>
      </w:pPr>
      <w:r w:rsidRPr="002C0C73">
        <w:rPr>
          <w:rFonts w:ascii="Arial" w:hAnsi="Arial" w:cs="Arial"/>
        </w:rPr>
        <w:t xml:space="preserve">Con independencia de que se pueda actualizar alguna otra razón que amerite la inoperancia de los conceptos de agravio, en el caso los </w:t>
      </w:r>
      <w:r w:rsidR="00751D0A" w:rsidRPr="002C0C73">
        <w:rPr>
          <w:rFonts w:ascii="Arial" w:hAnsi="Arial" w:cs="Arial"/>
        </w:rPr>
        <w:t xml:space="preserve">argumentos </w:t>
      </w:r>
      <w:r w:rsidR="00EF2FC7" w:rsidRPr="002C0C73">
        <w:rPr>
          <w:rFonts w:ascii="Arial" w:hAnsi="Arial" w:cs="Arial"/>
        </w:rPr>
        <w:t xml:space="preserve">son </w:t>
      </w:r>
      <w:r w:rsidR="00751D0A" w:rsidRPr="002C0C73">
        <w:rPr>
          <w:rFonts w:ascii="Arial" w:hAnsi="Arial" w:cs="Arial"/>
        </w:rPr>
        <w:t xml:space="preserve">inoperantes, </w:t>
      </w:r>
      <w:r w:rsidRPr="002C0C73">
        <w:rPr>
          <w:rFonts w:ascii="Arial" w:hAnsi="Arial" w:cs="Arial"/>
        </w:rPr>
        <w:t>por las siguientes razones</w:t>
      </w:r>
      <w:r w:rsidR="00443BDA" w:rsidRPr="002C0C73">
        <w:rPr>
          <w:rFonts w:ascii="Arial" w:hAnsi="Arial" w:cs="Arial"/>
        </w:rPr>
        <w:t>:</w:t>
      </w:r>
    </w:p>
    <w:p w:rsidR="00F14C5B" w:rsidRPr="002C0C73" w:rsidRDefault="00443BDA" w:rsidP="00F14C5B">
      <w:pPr>
        <w:pStyle w:val="NormalWeb"/>
        <w:shd w:val="clear" w:color="auto" w:fill="FFFFFF"/>
        <w:spacing w:line="360" w:lineRule="auto"/>
        <w:jc w:val="both"/>
        <w:rPr>
          <w:rFonts w:ascii="Arial" w:hAnsi="Arial" w:cs="Arial"/>
        </w:rPr>
      </w:pPr>
      <w:r w:rsidRPr="002C0C73">
        <w:rPr>
          <w:rFonts w:ascii="Arial" w:hAnsi="Arial" w:cs="Arial"/>
          <w:b/>
          <w:bCs/>
        </w:rPr>
        <w:t xml:space="preserve">1. </w:t>
      </w:r>
      <w:r w:rsidRPr="002C0C73">
        <w:rPr>
          <w:rFonts w:ascii="Arial" w:hAnsi="Arial" w:cs="Arial"/>
        </w:rPr>
        <w:t>S</w:t>
      </w:r>
      <w:r w:rsidR="00AB58BA" w:rsidRPr="002C0C73">
        <w:rPr>
          <w:rFonts w:ascii="Arial" w:hAnsi="Arial" w:cs="Arial"/>
        </w:rPr>
        <w:t xml:space="preserve">e actualiza la </w:t>
      </w:r>
      <w:r w:rsidR="00F14C5B" w:rsidRPr="002C0C73">
        <w:rPr>
          <w:rFonts w:ascii="Arial" w:hAnsi="Arial" w:cs="Arial"/>
          <w:b/>
        </w:rPr>
        <w:t>eficacia refleja de la cosa juzgada</w:t>
      </w:r>
      <w:r w:rsidR="00F14C5B" w:rsidRPr="002C0C73">
        <w:rPr>
          <w:rFonts w:ascii="Arial" w:hAnsi="Arial" w:cs="Arial"/>
        </w:rPr>
        <w:t>,</w:t>
      </w:r>
      <w:r w:rsidR="00751D0A" w:rsidRPr="002C0C73">
        <w:rPr>
          <w:rFonts w:ascii="Arial" w:hAnsi="Arial" w:cs="Arial"/>
        </w:rPr>
        <w:t xml:space="preserve"> debido a que </w:t>
      </w:r>
      <w:r w:rsidR="00F14C5B" w:rsidRPr="002C0C73">
        <w:rPr>
          <w:rFonts w:ascii="Arial" w:hAnsi="Arial" w:cs="Arial"/>
        </w:rPr>
        <w:t xml:space="preserve">esta Sala Superior ya se ha pronunciado sobre </w:t>
      </w:r>
      <w:r w:rsidR="00751D0A" w:rsidRPr="002C0C73">
        <w:rPr>
          <w:rFonts w:ascii="Arial" w:hAnsi="Arial" w:cs="Arial"/>
        </w:rPr>
        <w:t xml:space="preserve">esos </w:t>
      </w:r>
      <w:r w:rsidR="00F14C5B" w:rsidRPr="002C0C73">
        <w:rPr>
          <w:rFonts w:ascii="Arial" w:hAnsi="Arial" w:cs="Arial"/>
        </w:rPr>
        <w:t>temas, al resolver el diverso juicio ciudadano SUP-JDC-216/2020.</w:t>
      </w:r>
    </w:p>
    <w:p w:rsidR="00443BDA" w:rsidRPr="002C0C73" w:rsidRDefault="00443BDA" w:rsidP="00F14C5B">
      <w:pPr>
        <w:pStyle w:val="NormalWeb"/>
        <w:shd w:val="clear" w:color="auto" w:fill="FFFFFF"/>
        <w:spacing w:line="360" w:lineRule="auto"/>
        <w:jc w:val="both"/>
        <w:rPr>
          <w:rFonts w:ascii="Arial" w:hAnsi="Arial" w:cs="Arial"/>
        </w:rPr>
      </w:pPr>
      <w:r w:rsidRPr="002C0C73">
        <w:rPr>
          <w:rFonts w:ascii="Arial" w:hAnsi="Arial" w:cs="Arial"/>
          <w:b/>
          <w:bCs/>
        </w:rPr>
        <w:lastRenderedPageBreak/>
        <w:t xml:space="preserve">2. </w:t>
      </w:r>
      <w:r w:rsidRPr="002C0C73">
        <w:rPr>
          <w:rFonts w:ascii="Arial" w:hAnsi="Arial" w:cs="Arial"/>
        </w:rPr>
        <w:t>La actora no controvierte las consideraciones del acto impugnado, porque sus argumentos son ajenos a lo que determinó el CG del INE.</w:t>
      </w:r>
    </w:p>
    <w:p w:rsidR="00F14C5B" w:rsidRPr="002C0C73" w:rsidRDefault="00EF2FC7" w:rsidP="00F14C5B">
      <w:pPr>
        <w:pStyle w:val="NormalWeb"/>
        <w:widowControl w:val="0"/>
        <w:shd w:val="clear" w:color="auto" w:fill="FFFFFF"/>
        <w:spacing w:line="360" w:lineRule="auto"/>
        <w:jc w:val="both"/>
        <w:rPr>
          <w:rFonts w:ascii="Arial" w:hAnsi="Arial" w:cs="Arial"/>
          <w:b/>
        </w:rPr>
      </w:pPr>
      <w:bookmarkStart w:id="23" w:name="_Toc39767046"/>
      <w:r w:rsidRPr="002C0C73">
        <w:rPr>
          <w:rFonts w:ascii="Arial" w:hAnsi="Arial" w:cs="Arial"/>
          <w:b/>
        </w:rPr>
        <w:t xml:space="preserve">III. </w:t>
      </w:r>
      <w:r w:rsidR="00F14C5B" w:rsidRPr="002C0C73">
        <w:rPr>
          <w:rFonts w:ascii="Arial" w:hAnsi="Arial" w:cs="Arial"/>
          <w:b/>
        </w:rPr>
        <w:t>Justificación</w:t>
      </w:r>
      <w:bookmarkEnd w:id="23"/>
    </w:p>
    <w:p w:rsidR="00443BDA" w:rsidRPr="002C0C73" w:rsidRDefault="00443BDA"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t>1. Eficacia refleja</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La eficacia refleja de la cosa juzgada se actualiza cuando, a pesar de no existir plena identidad entre los sujetos, objeto y causa de la pretensión, entre ambos litigios, existe, sin embargo, identidad en lo sustancial o dependencia jurídica.</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Lo anterior, por tener una misma causa, hipótesis en la cual, el efecto de lo decidido en el primer juicio se refleja en el segundo, de modo que las partes de éste quedan vinculadas por la primera sentencia.</w:t>
      </w:r>
      <w:r w:rsidRPr="002C0C73">
        <w:rPr>
          <w:rFonts w:ascii="Arial" w:hAnsi="Arial" w:cs="Arial"/>
          <w:bCs/>
          <w:vertAlign w:val="superscript"/>
        </w:rPr>
        <w:footnoteReference w:id="27"/>
      </w:r>
    </w:p>
    <w:p w:rsidR="00F14C5B" w:rsidRPr="002C0C73" w:rsidRDefault="00F14C5B" w:rsidP="00F14C5B">
      <w:pPr>
        <w:pStyle w:val="NormalWeb"/>
        <w:widowControl w:val="0"/>
        <w:shd w:val="clear" w:color="auto" w:fill="FFFFFF"/>
        <w:spacing w:line="360" w:lineRule="auto"/>
        <w:jc w:val="both"/>
        <w:rPr>
          <w:rFonts w:ascii="Arial" w:hAnsi="Arial" w:cs="Arial"/>
        </w:rPr>
      </w:pPr>
      <w:r w:rsidRPr="002C0C73">
        <w:rPr>
          <w:rFonts w:ascii="Arial" w:hAnsi="Arial" w:cs="Arial"/>
        </w:rPr>
        <w:t xml:space="preserve">Para que se </w:t>
      </w:r>
      <w:r w:rsidR="00EF2FC7" w:rsidRPr="002C0C73">
        <w:rPr>
          <w:rFonts w:ascii="Arial" w:hAnsi="Arial" w:cs="Arial"/>
        </w:rPr>
        <w:t xml:space="preserve">actualice </w:t>
      </w:r>
      <w:r w:rsidRPr="002C0C73">
        <w:rPr>
          <w:rFonts w:ascii="Arial" w:hAnsi="Arial" w:cs="Arial"/>
        </w:rPr>
        <w:t xml:space="preserve">la eficacia refleja </w:t>
      </w:r>
      <w:r w:rsidR="00EF2FC7" w:rsidRPr="002C0C73">
        <w:rPr>
          <w:rFonts w:ascii="Arial" w:hAnsi="Arial" w:cs="Arial"/>
        </w:rPr>
        <w:t xml:space="preserve">se </w:t>
      </w:r>
      <w:r w:rsidRPr="002C0C73">
        <w:rPr>
          <w:rFonts w:ascii="Arial" w:hAnsi="Arial" w:cs="Arial"/>
        </w:rPr>
        <w:t xml:space="preserve">deben presentar los siguientes elementos: </w:t>
      </w:r>
    </w:p>
    <w:p w:rsidR="00F14C5B" w:rsidRPr="002C0C73" w:rsidRDefault="00F14C5B" w:rsidP="00EF2FC7">
      <w:pPr>
        <w:pStyle w:val="NormalWeb"/>
        <w:widowControl w:val="0"/>
        <w:numPr>
          <w:ilvl w:val="0"/>
          <w:numId w:val="15"/>
        </w:numPr>
        <w:shd w:val="clear" w:color="auto" w:fill="FFFFFF"/>
        <w:spacing w:before="240" w:beforeAutospacing="0" w:after="240" w:afterAutospacing="0" w:line="360" w:lineRule="auto"/>
        <w:ind w:left="0" w:firstLine="0"/>
        <w:jc w:val="both"/>
        <w:rPr>
          <w:rFonts w:ascii="Arial" w:hAnsi="Arial" w:cs="Arial"/>
          <w:bCs/>
        </w:rPr>
      </w:pPr>
      <w:r w:rsidRPr="002C0C73">
        <w:rPr>
          <w:rFonts w:ascii="Arial" w:hAnsi="Arial" w:cs="Arial"/>
          <w:b/>
          <w:bCs/>
        </w:rPr>
        <w:t xml:space="preserve">La existencia de un proceso resuelto con sentencia que ha causado ejecutoria y de otro proceso en trámite. </w:t>
      </w:r>
      <w:r w:rsidR="00EF2FC7" w:rsidRPr="002C0C73">
        <w:rPr>
          <w:rFonts w:ascii="Arial" w:hAnsi="Arial" w:cs="Arial"/>
          <w:bCs/>
        </w:rPr>
        <w:t>S</w:t>
      </w:r>
      <w:r w:rsidRPr="002C0C73">
        <w:rPr>
          <w:rFonts w:ascii="Arial" w:hAnsi="Arial" w:cs="Arial"/>
          <w:bCs/>
        </w:rPr>
        <w:t>e actualiza, porque el diez de junio, se resolvió el juicio ciudadano SUP-JDC-216/2020</w:t>
      </w:r>
      <w:r w:rsidR="00EF2FC7" w:rsidRPr="002C0C73">
        <w:rPr>
          <w:rFonts w:ascii="Arial" w:hAnsi="Arial" w:cs="Arial"/>
          <w:bCs/>
        </w:rPr>
        <w:t>;</w:t>
      </w:r>
      <w:r w:rsidRPr="002C0C73">
        <w:rPr>
          <w:rFonts w:ascii="Arial" w:hAnsi="Arial" w:cs="Arial"/>
          <w:bCs/>
        </w:rPr>
        <w:t xml:space="preserve"> en tanto que, el actual proceso se encuentra en trámite.</w:t>
      </w:r>
    </w:p>
    <w:p w:rsidR="00F14C5B" w:rsidRPr="002C0C73" w:rsidRDefault="00F14C5B" w:rsidP="00EF2FC7">
      <w:pPr>
        <w:pStyle w:val="NormalWeb"/>
        <w:widowControl w:val="0"/>
        <w:numPr>
          <w:ilvl w:val="0"/>
          <w:numId w:val="15"/>
        </w:numPr>
        <w:shd w:val="clear" w:color="auto" w:fill="FFFFFF"/>
        <w:spacing w:before="240" w:beforeAutospacing="0" w:after="240" w:afterAutospacing="0" w:line="360" w:lineRule="auto"/>
        <w:ind w:left="0" w:firstLine="0"/>
        <w:jc w:val="both"/>
        <w:rPr>
          <w:rFonts w:ascii="Arial" w:hAnsi="Arial" w:cs="Arial"/>
          <w:bCs/>
        </w:rPr>
      </w:pPr>
      <w:r w:rsidRPr="002C0C73">
        <w:rPr>
          <w:rFonts w:ascii="Arial" w:hAnsi="Arial" w:cs="Arial"/>
          <w:b/>
          <w:bCs/>
        </w:rPr>
        <w:t>El objeto de los dos procedimientos debe ser conexo.</w:t>
      </w:r>
      <w:r w:rsidRPr="002C0C73">
        <w:rPr>
          <w:rFonts w:ascii="Arial" w:hAnsi="Arial" w:cs="Arial"/>
          <w:bCs/>
        </w:rPr>
        <w:t xml:space="preserve"> Se satisface, porque al resolver el mencionado juicio ciudadano (SUP-JDC-216/2020) se desestimaron los planeamientos sobre la inconstitucionalidad de los preceptos de la LGPP y los relativos al Instructivo, así como los relacionados a la cancelación de asambleas distritales, derecho de audiencia, actos de violencia, fallas de la aplicación y afectación a la población indígena, cuyos argumentos sustancialmente </w:t>
      </w:r>
      <w:r w:rsidR="00EF2FC7" w:rsidRPr="002C0C73">
        <w:rPr>
          <w:rFonts w:ascii="Arial" w:hAnsi="Arial" w:cs="Arial"/>
          <w:bCs/>
        </w:rPr>
        <w:t xml:space="preserve">se </w:t>
      </w:r>
      <w:r w:rsidRPr="002C0C73">
        <w:rPr>
          <w:rFonts w:ascii="Arial" w:hAnsi="Arial" w:cs="Arial"/>
          <w:bCs/>
        </w:rPr>
        <w:t>reitera</w:t>
      </w:r>
      <w:r w:rsidR="00EF2FC7" w:rsidRPr="002C0C73">
        <w:rPr>
          <w:rFonts w:ascii="Arial" w:hAnsi="Arial" w:cs="Arial"/>
          <w:bCs/>
        </w:rPr>
        <w:t>n</w:t>
      </w:r>
      <w:r w:rsidRPr="002C0C73">
        <w:rPr>
          <w:rFonts w:ascii="Arial" w:hAnsi="Arial" w:cs="Arial"/>
          <w:bCs/>
        </w:rPr>
        <w:t xml:space="preserve"> en el </w:t>
      </w:r>
      <w:r w:rsidR="00EF2FC7" w:rsidRPr="002C0C73">
        <w:rPr>
          <w:rFonts w:ascii="Arial" w:hAnsi="Arial" w:cs="Arial"/>
          <w:bCs/>
        </w:rPr>
        <w:t xml:space="preserve">actual </w:t>
      </w:r>
      <w:r w:rsidRPr="002C0C73">
        <w:rPr>
          <w:rFonts w:ascii="Arial" w:hAnsi="Arial" w:cs="Arial"/>
          <w:bCs/>
        </w:rPr>
        <w:t>juicio que se resuelve.</w:t>
      </w:r>
      <w:r w:rsidRPr="002C0C73">
        <w:rPr>
          <w:rStyle w:val="Refdenotaalpie"/>
          <w:rFonts w:ascii="Arial" w:hAnsi="Arial" w:cs="Arial"/>
          <w:bCs/>
        </w:rPr>
        <w:footnoteReference w:id="28"/>
      </w:r>
    </w:p>
    <w:p w:rsidR="00F14C5B" w:rsidRPr="002C0C73" w:rsidRDefault="00F14C5B" w:rsidP="00EF2FC7">
      <w:pPr>
        <w:pStyle w:val="NormalWeb"/>
        <w:widowControl w:val="0"/>
        <w:numPr>
          <w:ilvl w:val="0"/>
          <w:numId w:val="15"/>
        </w:numPr>
        <w:shd w:val="clear" w:color="auto" w:fill="FFFFFF"/>
        <w:spacing w:before="240" w:beforeAutospacing="0" w:after="240" w:afterAutospacing="0" w:line="360" w:lineRule="auto"/>
        <w:ind w:left="0" w:firstLine="0"/>
        <w:jc w:val="both"/>
        <w:rPr>
          <w:rFonts w:ascii="Arial" w:hAnsi="Arial" w:cs="Arial"/>
          <w:bCs/>
        </w:rPr>
      </w:pPr>
      <w:r w:rsidRPr="002C0C73">
        <w:rPr>
          <w:rFonts w:ascii="Arial" w:hAnsi="Arial" w:cs="Arial"/>
          <w:b/>
          <w:bCs/>
        </w:rPr>
        <w:t>Las partes del segundo medio de impugnación deben quedar obligadas con la ejecutoria del primero.</w:t>
      </w:r>
      <w:r w:rsidRPr="002C0C73">
        <w:rPr>
          <w:rFonts w:ascii="Arial" w:hAnsi="Arial" w:cs="Arial"/>
          <w:bCs/>
        </w:rPr>
        <w:t xml:space="preserve"> Se cumple, porque es evidente que ambos casos se encuentran vinculados al procedimiento de constitución de nuevos </w:t>
      </w:r>
      <w:r w:rsidR="00EF2FC7" w:rsidRPr="002C0C73">
        <w:rPr>
          <w:rFonts w:ascii="Arial" w:hAnsi="Arial" w:cs="Arial"/>
          <w:bCs/>
        </w:rPr>
        <w:t>PPN. E</w:t>
      </w:r>
      <w:r w:rsidRPr="002C0C73">
        <w:rPr>
          <w:rFonts w:ascii="Arial" w:hAnsi="Arial" w:cs="Arial"/>
          <w:bCs/>
        </w:rPr>
        <w:t xml:space="preserve">n ese sentido, </w:t>
      </w:r>
      <w:r w:rsidR="00EF2FC7" w:rsidRPr="002C0C73">
        <w:rPr>
          <w:rFonts w:ascii="Arial" w:hAnsi="Arial" w:cs="Arial"/>
          <w:bCs/>
        </w:rPr>
        <w:t xml:space="preserve">FCT </w:t>
      </w:r>
      <w:r w:rsidRPr="002C0C73">
        <w:rPr>
          <w:rFonts w:ascii="Arial" w:hAnsi="Arial" w:cs="Arial"/>
          <w:bCs/>
        </w:rPr>
        <w:t xml:space="preserve">no </w:t>
      </w:r>
      <w:r w:rsidR="00EF2FC7" w:rsidRPr="002C0C73">
        <w:rPr>
          <w:rFonts w:ascii="Arial" w:hAnsi="Arial" w:cs="Arial"/>
          <w:bCs/>
        </w:rPr>
        <w:t xml:space="preserve">puede tener </w:t>
      </w:r>
      <w:r w:rsidRPr="002C0C73">
        <w:rPr>
          <w:rFonts w:ascii="Arial" w:hAnsi="Arial" w:cs="Arial"/>
          <w:bCs/>
        </w:rPr>
        <w:t xml:space="preserve">una decisión diversa a la </w:t>
      </w:r>
      <w:r w:rsidR="00EF2FC7" w:rsidRPr="002C0C73">
        <w:rPr>
          <w:rFonts w:ascii="Arial" w:hAnsi="Arial" w:cs="Arial"/>
          <w:bCs/>
        </w:rPr>
        <w:lastRenderedPageBreak/>
        <w:t xml:space="preserve">emitida en juicio </w:t>
      </w:r>
      <w:r w:rsidRPr="002C0C73">
        <w:rPr>
          <w:rFonts w:ascii="Arial" w:hAnsi="Arial" w:cs="Arial"/>
          <w:bCs/>
        </w:rPr>
        <w:t>SUP-JDC-216/2020.</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Importa precisar que, en el </w:t>
      </w:r>
      <w:r w:rsidR="006402CB" w:rsidRPr="002C0C73">
        <w:rPr>
          <w:rFonts w:ascii="Arial" w:hAnsi="Arial" w:cs="Arial"/>
          <w:bCs/>
        </w:rPr>
        <w:t xml:space="preserve">actual </w:t>
      </w:r>
      <w:r w:rsidRPr="002C0C73">
        <w:rPr>
          <w:rFonts w:ascii="Arial" w:hAnsi="Arial" w:cs="Arial"/>
          <w:bCs/>
        </w:rPr>
        <w:t xml:space="preserve">caso, </w:t>
      </w:r>
      <w:r w:rsidR="006402CB" w:rsidRPr="002C0C73">
        <w:rPr>
          <w:rFonts w:ascii="Arial" w:hAnsi="Arial" w:cs="Arial"/>
          <w:bCs/>
        </w:rPr>
        <w:t xml:space="preserve">el FCT </w:t>
      </w:r>
      <w:r w:rsidRPr="002C0C73">
        <w:rPr>
          <w:rFonts w:ascii="Arial" w:hAnsi="Arial" w:cs="Arial"/>
          <w:bCs/>
        </w:rPr>
        <w:t>también promovió el juicio precedente, por lo que se acentúa la vinculación de ambos litigios.</w:t>
      </w:r>
    </w:p>
    <w:p w:rsidR="00F14C5B" w:rsidRPr="002C0C73" w:rsidRDefault="00F14C5B" w:rsidP="006402CB">
      <w:pPr>
        <w:pStyle w:val="NormalWeb"/>
        <w:widowControl w:val="0"/>
        <w:numPr>
          <w:ilvl w:val="0"/>
          <w:numId w:val="15"/>
        </w:numPr>
        <w:shd w:val="clear" w:color="auto" w:fill="FFFFFF"/>
        <w:spacing w:before="240" w:beforeAutospacing="0" w:after="240" w:afterAutospacing="0" w:line="360" w:lineRule="auto"/>
        <w:ind w:left="0" w:firstLine="0"/>
        <w:jc w:val="both"/>
        <w:rPr>
          <w:rFonts w:ascii="Arial" w:hAnsi="Arial" w:cs="Arial"/>
          <w:bCs/>
        </w:rPr>
      </w:pPr>
      <w:r w:rsidRPr="002C0C73">
        <w:rPr>
          <w:rFonts w:ascii="Arial" w:hAnsi="Arial" w:cs="Arial"/>
          <w:b/>
          <w:bCs/>
        </w:rPr>
        <w:t>En ambos casos se presenta un hecho o situación que constituye un elemento o presupuesto lógico necesario para sustentar el sentido de la decisión del nuevo litigio.</w:t>
      </w:r>
      <w:r w:rsidRPr="002C0C73">
        <w:rPr>
          <w:rFonts w:ascii="Arial" w:hAnsi="Arial" w:cs="Arial"/>
          <w:bCs/>
        </w:rPr>
        <w:t xml:space="preserve"> Se actualiza, porque en el asunto </w:t>
      </w:r>
      <w:r w:rsidR="006402CB" w:rsidRPr="002C0C73">
        <w:rPr>
          <w:rFonts w:ascii="Arial" w:hAnsi="Arial" w:cs="Arial"/>
          <w:bCs/>
        </w:rPr>
        <w:t>actual</w:t>
      </w:r>
      <w:r w:rsidRPr="002C0C73">
        <w:rPr>
          <w:rFonts w:ascii="Arial" w:hAnsi="Arial" w:cs="Arial"/>
          <w:bCs/>
        </w:rPr>
        <w:t xml:space="preserve">, se debe dilucidar, como ya se hizo al resolver el diverso </w:t>
      </w:r>
      <w:r w:rsidR="006402CB" w:rsidRPr="002C0C73">
        <w:rPr>
          <w:rFonts w:ascii="Arial" w:hAnsi="Arial" w:cs="Arial"/>
          <w:bCs/>
        </w:rPr>
        <w:t>juicio</w:t>
      </w:r>
      <w:r w:rsidRPr="002C0C73">
        <w:rPr>
          <w:rFonts w:ascii="Arial" w:hAnsi="Arial" w:cs="Arial"/>
          <w:bCs/>
        </w:rPr>
        <w:t>, si la normativa precisada se debe inaplicar</w:t>
      </w:r>
      <w:r w:rsidR="006402CB" w:rsidRPr="002C0C73">
        <w:rPr>
          <w:rFonts w:ascii="Arial" w:hAnsi="Arial" w:cs="Arial"/>
          <w:bCs/>
        </w:rPr>
        <w:t xml:space="preserve"> o </w:t>
      </w:r>
      <w:r w:rsidRPr="002C0C73">
        <w:rPr>
          <w:rFonts w:ascii="Arial" w:hAnsi="Arial" w:cs="Arial"/>
          <w:bCs/>
        </w:rPr>
        <w:t xml:space="preserve">si le asiste razón </w:t>
      </w:r>
      <w:r w:rsidR="006402CB" w:rsidRPr="002C0C73">
        <w:rPr>
          <w:rFonts w:ascii="Arial" w:hAnsi="Arial" w:cs="Arial"/>
          <w:bCs/>
        </w:rPr>
        <w:t xml:space="preserve">en </w:t>
      </w:r>
      <w:r w:rsidRPr="002C0C73">
        <w:rPr>
          <w:rFonts w:ascii="Arial" w:hAnsi="Arial" w:cs="Arial"/>
          <w:bCs/>
        </w:rPr>
        <w:t xml:space="preserve">los </w:t>
      </w:r>
      <w:r w:rsidR="006402CB" w:rsidRPr="002C0C73">
        <w:rPr>
          <w:rFonts w:ascii="Arial" w:hAnsi="Arial" w:cs="Arial"/>
          <w:bCs/>
        </w:rPr>
        <w:t xml:space="preserve">demás </w:t>
      </w:r>
      <w:r w:rsidRPr="002C0C73">
        <w:rPr>
          <w:rFonts w:ascii="Arial" w:hAnsi="Arial" w:cs="Arial"/>
          <w:bCs/>
        </w:rPr>
        <w:t>temas.</w:t>
      </w:r>
    </w:p>
    <w:p w:rsidR="00F14C5B" w:rsidRPr="002C0C73" w:rsidRDefault="00F14C5B" w:rsidP="006402CB">
      <w:pPr>
        <w:pStyle w:val="NormalWeb"/>
        <w:widowControl w:val="0"/>
        <w:numPr>
          <w:ilvl w:val="0"/>
          <w:numId w:val="15"/>
        </w:numPr>
        <w:shd w:val="clear" w:color="auto" w:fill="FFFFFF"/>
        <w:spacing w:before="240" w:beforeAutospacing="0" w:after="240" w:afterAutospacing="0" w:line="360" w:lineRule="auto"/>
        <w:ind w:left="0" w:firstLine="0"/>
        <w:jc w:val="both"/>
        <w:rPr>
          <w:rFonts w:ascii="Arial" w:hAnsi="Arial" w:cs="Arial"/>
          <w:bCs/>
        </w:rPr>
      </w:pPr>
      <w:r w:rsidRPr="002C0C73">
        <w:rPr>
          <w:rFonts w:ascii="Arial" w:hAnsi="Arial" w:cs="Arial"/>
          <w:b/>
          <w:bCs/>
        </w:rPr>
        <w:t>En la sentencia ejecutoriada se debe sustentar un criterio preciso, claro e indubitable sobre ese elemento o presupuesto lógico.</w:t>
      </w:r>
      <w:r w:rsidRPr="002C0C73">
        <w:rPr>
          <w:rFonts w:ascii="Arial" w:hAnsi="Arial" w:cs="Arial"/>
          <w:bCs/>
        </w:rPr>
        <w:t xml:space="preserve"> Se satisface, porque al resolver el </w:t>
      </w:r>
      <w:r w:rsidR="006402CB" w:rsidRPr="002C0C73">
        <w:rPr>
          <w:rFonts w:ascii="Arial" w:hAnsi="Arial" w:cs="Arial"/>
          <w:bCs/>
        </w:rPr>
        <w:t xml:space="preserve">juicio </w:t>
      </w:r>
      <w:r w:rsidRPr="002C0C73">
        <w:rPr>
          <w:rFonts w:ascii="Arial" w:hAnsi="Arial" w:cs="Arial"/>
          <w:bCs/>
        </w:rPr>
        <w:t>SUP-JDC-216/2020, esta Sala Superior ya se pronunció respecto a los planteamientos de la actora en cuanto a la constitucionalidad de la normativa legal y reglamentaria cuestionada, así como de la cancelación de las asambleas distritales, el derecho de audiencia, actos de violencia, las fallas de la aplicación y la afectación a la población indígena.</w:t>
      </w:r>
    </w:p>
    <w:p w:rsidR="00F14C5B" w:rsidRPr="002C0C73" w:rsidRDefault="00F14C5B" w:rsidP="006402CB">
      <w:pPr>
        <w:pStyle w:val="NormalWeb"/>
        <w:widowControl w:val="0"/>
        <w:numPr>
          <w:ilvl w:val="0"/>
          <w:numId w:val="15"/>
        </w:numPr>
        <w:shd w:val="clear" w:color="auto" w:fill="FFFFFF"/>
        <w:spacing w:before="240" w:beforeAutospacing="0" w:after="240" w:afterAutospacing="0" w:line="360" w:lineRule="auto"/>
        <w:ind w:left="0" w:firstLine="0"/>
        <w:jc w:val="both"/>
        <w:rPr>
          <w:rFonts w:ascii="Arial" w:hAnsi="Arial" w:cs="Arial"/>
          <w:bCs/>
        </w:rPr>
      </w:pPr>
      <w:r w:rsidRPr="002C0C73">
        <w:rPr>
          <w:rFonts w:ascii="Arial" w:hAnsi="Arial" w:cs="Arial"/>
          <w:b/>
          <w:bCs/>
        </w:rPr>
        <w:t>Para resolver el segundo medio de impugnación, se requiere asumir también un criterio sobre el elemento o presupuesto lógico-común, por ser indispensable para apoyar lo resuelto.</w:t>
      </w:r>
      <w:r w:rsidRPr="002C0C73">
        <w:rPr>
          <w:rFonts w:ascii="Arial" w:hAnsi="Arial" w:cs="Arial"/>
          <w:bCs/>
        </w:rPr>
        <w:t xml:space="preserve"> Esto también se cumple, puesto que en el juicio que se resuelve también se debe pronunciar respecto al planteamiento de inconstitucionalidad de las normas señaladas y los demás temas sobre el procedimiento de registro de nuevos </w:t>
      </w:r>
      <w:r w:rsidR="006402CB" w:rsidRPr="002C0C73">
        <w:rPr>
          <w:rFonts w:ascii="Arial" w:hAnsi="Arial" w:cs="Arial"/>
          <w:bCs/>
        </w:rPr>
        <w:t>PPN</w:t>
      </w:r>
      <w:r w:rsidRPr="002C0C73">
        <w:rPr>
          <w:rFonts w:ascii="Arial" w:hAnsi="Arial" w:cs="Arial"/>
          <w:bCs/>
        </w:rPr>
        <w:t>.</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efecto, en la </w:t>
      </w:r>
      <w:r w:rsidR="00713CA1" w:rsidRPr="002C0C73">
        <w:rPr>
          <w:rFonts w:ascii="Arial" w:hAnsi="Arial" w:cs="Arial"/>
          <w:bCs/>
        </w:rPr>
        <w:t>sentencia</w:t>
      </w:r>
      <w:r w:rsidRPr="002C0C73">
        <w:rPr>
          <w:rFonts w:ascii="Arial" w:hAnsi="Arial" w:cs="Arial"/>
          <w:bCs/>
        </w:rPr>
        <w:t xml:space="preserve"> </w:t>
      </w:r>
      <w:r w:rsidR="006402CB" w:rsidRPr="002C0C73">
        <w:rPr>
          <w:rFonts w:ascii="Arial" w:hAnsi="Arial" w:cs="Arial"/>
          <w:bCs/>
        </w:rPr>
        <w:t xml:space="preserve">del juicio </w:t>
      </w:r>
      <w:r w:rsidRPr="002C0C73">
        <w:rPr>
          <w:rFonts w:ascii="Arial" w:hAnsi="Arial" w:cs="Arial"/>
          <w:bCs/>
        </w:rPr>
        <w:t xml:space="preserve">SUP-JDC-216/2020, se </w:t>
      </w:r>
      <w:r w:rsidR="00713CA1" w:rsidRPr="002C0C73">
        <w:rPr>
          <w:rFonts w:ascii="Arial" w:hAnsi="Arial" w:cs="Arial"/>
          <w:bCs/>
        </w:rPr>
        <w:t xml:space="preserve">analizaron </w:t>
      </w:r>
      <w:r w:rsidR="007B77D9" w:rsidRPr="002C0C73">
        <w:rPr>
          <w:rFonts w:ascii="Arial" w:hAnsi="Arial" w:cs="Arial"/>
          <w:bCs/>
        </w:rPr>
        <w:t>los siguientes temas</w:t>
      </w:r>
      <w:r w:rsidR="0004607E" w:rsidRPr="002C0C73">
        <w:rPr>
          <w:rStyle w:val="Refdenotaalpie"/>
          <w:rFonts w:ascii="Arial" w:hAnsi="Arial" w:cs="Arial"/>
          <w:bCs/>
        </w:rPr>
        <w:footnoteReference w:id="29"/>
      </w:r>
      <w:r w:rsidR="007B77D9" w:rsidRPr="002C0C73">
        <w:rPr>
          <w:rFonts w:ascii="Arial" w:hAnsi="Arial" w:cs="Arial"/>
          <w:bCs/>
        </w:rPr>
        <w:t>:</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Cs/>
          <w:lang w:val="es-ES"/>
        </w:rPr>
      </w:pPr>
      <w:r w:rsidRPr="002C0C73">
        <w:rPr>
          <w:rFonts w:ascii="Arial" w:hAnsi="Arial" w:cs="Arial"/>
          <w:b/>
          <w:lang w:val="es-ES"/>
        </w:rPr>
        <w:t>Desconocimiento de causas de cancelación de asambleas.</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 xml:space="preserve">El argumento se declaró infundado porque se acreditó que </w:t>
      </w:r>
      <w:r w:rsidR="00943B71" w:rsidRPr="002C0C73">
        <w:rPr>
          <w:rFonts w:ascii="Arial" w:hAnsi="Arial" w:cs="Arial"/>
          <w:bCs/>
          <w:lang w:val="es-ES"/>
        </w:rPr>
        <w:t xml:space="preserve">el propio </w:t>
      </w:r>
      <w:r w:rsidR="009D10A8" w:rsidRPr="002C0C73">
        <w:rPr>
          <w:rFonts w:ascii="Arial" w:hAnsi="Arial" w:cs="Arial"/>
          <w:bCs/>
          <w:lang w:val="es-ES"/>
        </w:rPr>
        <w:t>FCT</w:t>
      </w:r>
      <w:r w:rsidRPr="002C0C73">
        <w:rPr>
          <w:rFonts w:ascii="Arial" w:hAnsi="Arial" w:cs="Arial"/>
          <w:bCs/>
          <w:lang w:val="es-ES"/>
        </w:rPr>
        <w:t xml:space="preserve"> canceló, ante la DEPPP, ochenta y seis asambleas.</w:t>
      </w:r>
      <w:r w:rsidR="006E0BEA" w:rsidRPr="002C0C73">
        <w:rPr>
          <w:rFonts w:ascii="Arial" w:hAnsi="Arial" w:cs="Arial"/>
          <w:bCs/>
          <w:lang w:val="es-ES"/>
        </w:rPr>
        <w:t xml:space="preserve"> </w:t>
      </w:r>
      <w:r w:rsidRPr="002C0C73">
        <w:rPr>
          <w:rFonts w:ascii="Arial" w:hAnsi="Arial" w:cs="Arial"/>
          <w:bCs/>
          <w:lang w:val="es-ES"/>
        </w:rPr>
        <w:t xml:space="preserve">Asimismo, se probaron las razones de cancelación de otras cuarenta asambleas, caso en el cual, </w:t>
      </w:r>
      <w:r w:rsidR="00943B71" w:rsidRPr="002C0C73">
        <w:rPr>
          <w:rFonts w:ascii="Arial" w:hAnsi="Arial" w:cs="Arial"/>
          <w:bCs/>
          <w:lang w:val="es-ES"/>
        </w:rPr>
        <w:t xml:space="preserve">el </w:t>
      </w:r>
      <w:r w:rsidR="00943B71" w:rsidRPr="002C0C73">
        <w:rPr>
          <w:rFonts w:ascii="Arial" w:hAnsi="Arial" w:cs="Arial"/>
          <w:bCs/>
          <w:lang w:val="es-ES"/>
        </w:rPr>
        <w:lastRenderedPageBreak/>
        <w:t>FC</w:t>
      </w:r>
      <w:r w:rsidR="006E0BEA" w:rsidRPr="002C0C73">
        <w:rPr>
          <w:rFonts w:ascii="Arial" w:hAnsi="Arial" w:cs="Arial"/>
          <w:bCs/>
          <w:lang w:val="es-ES"/>
        </w:rPr>
        <w:t>T</w:t>
      </w:r>
      <w:r w:rsidR="00943B71" w:rsidRPr="002C0C73">
        <w:rPr>
          <w:rFonts w:ascii="Arial" w:hAnsi="Arial" w:cs="Arial"/>
          <w:bCs/>
          <w:lang w:val="es-ES"/>
        </w:rPr>
        <w:t xml:space="preserve"> </w:t>
      </w:r>
      <w:r w:rsidRPr="002C0C73">
        <w:rPr>
          <w:rFonts w:ascii="Arial" w:hAnsi="Arial" w:cs="Arial"/>
          <w:bCs/>
          <w:lang w:val="es-ES"/>
        </w:rPr>
        <w:t>tuvo la posibilidad de reprogramarlas.</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Finalmente, en cuanto a nueve asambleas se consideró que, si bien no se notificó las razones de su cancelación, el agravio devino en inoperante</w:t>
      </w:r>
      <w:r w:rsidR="006E0BEA" w:rsidRPr="002C0C73">
        <w:rPr>
          <w:rFonts w:ascii="Arial" w:hAnsi="Arial" w:cs="Arial"/>
          <w:bCs/>
          <w:lang w:val="es-ES"/>
        </w:rPr>
        <w:t xml:space="preserve">, </w:t>
      </w:r>
      <w:r w:rsidRPr="002C0C73">
        <w:rPr>
          <w:rFonts w:ascii="Arial" w:hAnsi="Arial" w:cs="Arial"/>
          <w:bCs/>
          <w:lang w:val="es-ES"/>
        </w:rPr>
        <w:t xml:space="preserve"> porque en el mejor de los casos para </w:t>
      </w:r>
      <w:r w:rsidR="00943B71" w:rsidRPr="002C0C73">
        <w:rPr>
          <w:rFonts w:ascii="Arial" w:hAnsi="Arial" w:cs="Arial"/>
          <w:bCs/>
          <w:lang w:val="es-ES"/>
        </w:rPr>
        <w:t>el FC</w:t>
      </w:r>
      <w:r w:rsidR="006E0BEA" w:rsidRPr="002C0C73">
        <w:rPr>
          <w:rFonts w:ascii="Arial" w:hAnsi="Arial" w:cs="Arial"/>
          <w:bCs/>
          <w:lang w:val="es-ES"/>
        </w:rPr>
        <w:t>T</w:t>
      </w:r>
      <w:r w:rsidRPr="002C0C73">
        <w:rPr>
          <w:rFonts w:ascii="Arial" w:hAnsi="Arial" w:cs="Arial"/>
          <w:bCs/>
          <w:lang w:val="es-ES"/>
        </w:rPr>
        <w:t xml:space="preserve">, </w:t>
      </w:r>
      <w:r w:rsidR="00943B71" w:rsidRPr="002C0C73">
        <w:rPr>
          <w:rFonts w:ascii="Arial" w:hAnsi="Arial" w:cs="Arial"/>
          <w:bCs/>
          <w:lang w:val="es-ES"/>
        </w:rPr>
        <w:t xml:space="preserve">si se </w:t>
      </w:r>
      <w:r w:rsidRPr="002C0C73">
        <w:rPr>
          <w:rFonts w:ascii="Arial" w:hAnsi="Arial" w:cs="Arial"/>
          <w:bCs/>
          <w:lang w:val="es-ES"/>
        </w:rPr>
        <w:t>considera</w:t>
      </w:r>
      <w:r w:rsidR="00943B71" w:rsidRPr="002C0C73">
        <w:rPr>
          <w:rFonts w:ascii="Arial" w:hAnsi="Arial" w:cs="Arial"/>
          <w:bCs/>
          <w:lang w:val="es-ES"/>
        </w:rPr>
        <w:t xml:space="preserve">n </w:t>
      </w:r>
      <w:r w:rsidRPr="002C0C73">
        <w:rPr>
          <w:rFonts w:ascii="Arial" w:hAnsi="Arial" w:cs="Arial"/>
          <w:bCs/>
          <w:lang w:val="es-ES"/>
        </w:rPr>
        <w:t>esas nueve asambleas</w:t>
      </w:r>
      <w:r w:rsidR="00943B71" w:rsidRPr="002C0C73">
        <w:rPr>
          <w:rFonts w:ascii="Arial" w:hAnsi="Arial" w:cs="Arial"/>
          <w:bCs/>
          <w:lang w:val="es-ES"/>
        </w:rPr>
        <w:t xml:space="preserve"> distritales</w:t>
      </w:r>
      <w:r w:rsidRPr="002C0C73">
        <w:rPr>
          <w:rFonts w:ascii="Arial" w:hAnsi="Arial" w:cs="Arial"/>
          <w:bCs/>
          <w:lang w:val="es-ES"/>
        </w:rPr>
        <w:t xml:space="preserve">, más las cuarenta </w:t>
      </w:r>
      <w:r w:rsidR="00943B71" w:rsidRPr="002C0C73">
        <w:rPr>
          <w:rFonts w:ascii="Arial" w:hAnsi="Arial" w:cs="Arial"/>
          <w:bCs/>
          <w:lang w:val="es-ES"/>
        </w:rPr>
        <w:t xml:space="preserve">ya </w:t>
      </w:r>
      <w:r w:rsidRPr="002C0C73">
        <w:rPr>
          <w:rFonts w:ascii="Arial" w:hAnsi="Arial" w:cs="Arial"/>
          <w:bCs/>
          <w:lang w:val="es-ES"/>
        </w:rPr>
        <w:t>mencionadas, más las sesenta y ocho que sí se celebraron, se obtendría un total de ciento diecisiete asambleas de un total de doscientas, lo que representa únicamente el 58.5%.</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Omisión de implementar un mecanismo para garantizar el derecho de audiencia y violación a las formalidades esenciales del procedimiento.</w:t>
      </w:r>
    </w:p>
    <w:p w:rsidR="00F14C5B" w:rsidRPr="002C0C73" w:rsidRDefault="00943B71"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S</w:t>
      </w:r>
      <w:r w:rsidR="00F14C5B" w:rsidRPr="002C0C73">
        <w:rPr>
          <w:rFonts w:ascii="Arial" w:hAnsi="Arial" w:cs="Arial"/>
          <w:bCs/>
          <w:lang w:val="es-ES"/>
        </w:rPr>
        <w:t>e consideró infundado, porque la actora solicitó, en dos ocasiones, la ampliación de plazo para llevar a cabo sus asambleas distritales, a las cuales les recayó una respuesta que en modo alguno fue controvertida.</w:t>
      </w:r>
    </w:p>
    <w:p w:rsidR="00F14C5B" w:rsidRPr="002C0C73" w:rsidRDefault="00943B71"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T</w:t>
      </w:r>
      <w:r w:rsidR="00F14C5B" w:rsidRPr="002C0C73">
        <w:rPr>
          <w:rFonts w:ascii="Arial" w:hAnsi="Arial" w:cs="Arial"/>
          <w:bCs/>
          <w:lang w:val="es-ES"/>
        </w:rPr>
        <w:t>ambién se declaró infundado el argumento sobre la violación del derecho de audiencia sobre el desconocimiento de cuántas afiliaciones habían sido admitidas y cuántas rechazadas.</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Esto, porque las organizaciones interesadas tenían la posibilidad, en todo momento, de verificar en el Sistema de Información de Registro de Partidos Políticos Nacionales, el número de manifestaciones cargadas al sistema, el nombre de quienes las habían suscrito, así como el estatus de cada una.</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Inconstitucionalidad del numeral 98 del Instructivo.</w:t>
      </w:r>
    </w:p>
    <w:p w:rsidR="00F14C5B" w:rsidRPr="002C0C73" w:rsidRDefault="00943B71"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El FC</w:t>
      </w:r>
      <w:r w:rsidR="006E0BEA" w:rsidRPr="002C0C73">
        <w:rPr>
          <w:rFonts w:ascii="Arial" w:hAnsi="Arial" w:cs="Arial"/>
          <w:bCs/>
          <w:lang w:val="es-ES"/>
        </w:rPr>
        <w:t>T</w:t>
      </w:r>
      <w:r w:rsidRPr="002C0C73">
        <w:rPr>
          <w:rFonts w:ascii="Arial" w:hAnsi="Arial" w:cs="Arial"/>
          <w:bCs/>
          <w:lang w:val="es-ES"/>
        </w:rPr>
        <w:t xml:space="preserve"> </w:t>
      </w:r>
      <w:r w:rsidR="00F14C5B" w:rsidRPr="002C0C73">
        <w:rPr>
          <w:rFonts w:ascii="Arial" w:hAnsi="Arial" w:cs="Arial"/>
          <w:bCs/>
          <w:lang w:val="es-ES"/>
        </w:rPr>
        <w:t xml:space="preserve">argumentó que la citada norma reglamentaria era inconstitucional </w:t>
      </w:r>
      <w:r w:rsidRPr="002C0C73">
        <w:rPr>
          <w:rFonts w:ascii="Arial" w:hAnsi="Arial" w:cs="Arial"/>
          <w:bCs/>
          <w:lang w:val="es-ES"/>
        </w:rPr>
        <w:t xml:space="preserve">al sujetar la </w:t>
      </w:r>
      <w:r w:rsidR="00F14C5B" w:rsidRPr="002C0C73">
        <w:rPr>
          <w:rFonts w:ascii="Arial" w:hAnsi="Arial" w:cs="Arial"/>
          <w:bCs/>
          <w:lang w:val="es-ES"/>
        </w:rPr>
        <w:t xml:space="preserve">garantía de audiencia para verificar </w:t>
      </w:r>
      <w:r w:rsidRPr="002C0C73">
        <w:rPr>
          <w:rFonts w:ascii="Arial" w:hAnsi="Arial" w:cs="Arial"/>
          <w:bCs/>
          <w:lang w:val="es-ES"/>
        </w:rPr>
        <w:t>la contabilización correcta de afiliaciones</w:t>
      </w:r>
      <w:r w:rsidR="00F14C5B" w:rsidRPr="002C0C73">
        <w:rPr>
          <w:rFonts w:ascii="Arial" w:hAnsi="Arial" w:cs="Arial"/>
          <w:bCs/>
          <w:lang w:val="es-ES"/>
        </w:rPr>
        <w:t xml:space="preserve">, solo </w:t>
      </w:r>
      <w:r w:rsidRPr="002C0C73">
        <w:rPr>
          <w:rFonts w:ascii="Arial" w:hAnsi="Arial" w:cs="Arial"/>
          <w:bCs/>
          <w:lang w:val="es-ES"/>
        </w:rPr>
        <w:t xml:space="preserve">si se </w:t>
      </w:r>
      <w:r w:rsidR="00F14C5B" w:rsidRPr="002C0C73">
        <w:rPr>
          <w:rFonts w:ascii="Arial" w:hAnsi="Arial" w:cs="Arial"/>
          <w:bCs/>
          <w:lang w:val="es-ES"/>
        </w:rPr>
        <w:t>reun</w:t>
      </w:r>
      <w:r w:rsidRPr="002C0C73">
        <w:rPr>
          <w:rFonts w:ascii="Arial" w:hAnsi="Arial" w:cs="Arial"/>
          <w:bCs/>
          <w:lang w:val="es-ES"/>
        </w:rPr>
        <w:t>í</w:t>
      </w:r>
      <w:r w:rsidR="00F14C5B" w:rsidRPr="002C0C73">
        <w:rPr>
          <w:rFonts w:ascii="Arial" w:hAnsi="Arial" w:cs="Arial"/>
          <w:bCs/>
          <w:lang w:val="es-ES"/>
        </w:rPr>
        <w:t>a la mitad de</w:t>
      </w:r>
      <w:r w:rsidRPr="002C0C73">
        <w:rPr>
          <w:rFonts w:ascii="Arial" w:hAnsi="Arial" w:cs="Arial"/>
          <w:bCs/>
          <w:lang w:val="es-ES"/>
        </w:rPr>
        <w:t xml:space="preserve"> </w:t>
      </w:r>
      <w:proofErr w:type="gramStart"/>
      <w:r w:rsidR="00F14C5B" w:rsidRPr="002C0C73">
        <w:rPr>
          <w:rFonts w:ascii="Arial" w:hAnsi="Arial" w:cs="Arial"/>
          <w:bCs/>
          <w:lang w:val="es-ES"/>
        </w:rPr>
        <w:t>asambleas</w:t>
      </w:r>
      <w:proofErr w:type="gramEnd"/>
      <w:r w:rsidRPr="002C0C73">
        <w:rPr>
          <w:rFonts w:ascii="Arial" w:hAnsi="Arial" w:cs="Arial"/>
          <w:bCs/>
          <w:lang w:val="es-ES"/>
        </w:rPr>
        <w:t xml:space="preserve"> </w:t>
      </w:r>
      <w:r w:rsidR="00F14C5B" w:rsidRPr="002C0C73">
        <w:rPr>
          <w:rFonts w:ascii="Arial" w:hAnsi="Arial" w:cs="Arial"/>
          <w:bCs/>
          <w:lang w:val="es-ES"/>
        </w:rPr>
        <w:t>y hasta el trece de febrero.</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 xml:space="preserve">El planteamiento se declaró infundado, porque </w:t>
      </w:r>
      <w:r w:rsidR="008A5007" w:rsidRPr="002C0C73">
        <w:rPr>
          <w:rFonts w:ascii="Arial" w:hAnsi="Arial" w:cs="Arial"/>
          <w:bCs/>
          <w:lang w:val="es-ES"/>
        </w:rPr>
        <w:t xml:space="preserve">el </w:t>
      </w:r>
      <w:r w:rsidRPr="002C0C73">
        <w:rPr>
          <w:rFonts w:ascii="Arial" w:hAnsi="Arial" w:cs="Arial"/>
          <w:bCs/>
          <w:lang w:val="es-ES"/>
        </w:rPr>
        <w:t>numeral no constituía un obstáculo para que expusiera aspectos vinculados con la cancelación de las asambleas, en tanto que</w:t>
      </w:r>
      <w:r w:rsidR="008A5007" w:rsidRPr="002C0C73">
        <w:rPr>
          <w:rFonts w:ascii="Arial" w:hAnsi="Arial" w:cs="Arial"/>
          <w:bCs/>
          <w:lang w:val="es-ES"/>
        </w:rPr>
        <w:t xml:space="preserve"> </w:t>
      </w:r>
      <w:r w:rsidRPr="002C0C73">
        <w:rPr>
          <w:rFonts w:ascii="Arial" w:hAnsi="Arial" w:cs="Arial"/>
          <w:bCs/>
          <w:lang w:val="es-ES"/>
        </w:rPr>
        <w:t>persigue un fin constitucional legítimo.</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 xml:space="preserve">Inconstitucionalidad y solicitud de inaplicación de los artículos </w:t>
      </w:r>
      <w:bookmarkStart w:id="24" w:name="_Hlk42775177"/>
      <w:r w:rsidRPr="002C0C73">
        <w:rPr>
          <w:rFonts w:ascii="Arial" w:hAnsi="Arial" w:cs="Arial"/>
          <w:b/>
          <w:lang w:val="es-ES"/>
        </w:rPr>
        <w:t>14, párrafo 2 y 15 de la LGPP y los numerales 110, 113 y 115 del Instructivo</w:t>
      </w:r>
      <w:bookmarkEnd w:id="24"/>
      <w:r w:rsidRPr="002C0C73">
        <w:rPr>
          <w:rFonts w:ascii="Arial" w:hAnsi="Arial" w:cs="Arial"/>
          <w:b/>
          <w:lang w:val="es-ES"/>
        </w:rPr>
        <w:t xml:space="preserve">. </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 xml:space="preserve">La actora solicitó la inaplicación de </w:t>
      </w:r>
      <w:r w:rsidR="008A5007" w:rsidRPr="002C0C73">
        <w:rPr>
          <w:rFonts w:ascii="Arial" w:hAnsi="Arial" w:cs="Arial"/>
          <w:bCs/>
          <w:lang w:val="es-ES"/>
        </w:rPr>
        <w:t xml:space="preserve">esos </w:t>
      </w:r>
      <w:r w:rsidRPr="002C0C73">
        <w:rPr>
          <w:rFonts w:ascii="Arial" w:hAnsi="Arial" w:cs="Arial"/>
          <w:bCs/>
          <w:lang w:val="es-ES"/>
        </w:rPr>
        <w:t xml:space="preserve">preceptos en cuanto a la fecha límite </w:t>
      </w:r>
      <w:r w:rsidRPr="002C0C73">
        <w:rPr>
          <w:rFonts w:ascii="Arial" w:hAnsi="Arial" w:cs="Arial"/>
          <w:bCs/>
          <w:lang w:val="es-ES"/>
        </w:rPr>
        <w:lastRenderedPageBreak/>
        <w:t xml:space="preserve">para solicitar el registro como </w:t>
      </w:r>
      <w:r w:rsidR="008A5007" w:rsidRPr="002C0C73">
        <w:rPr>
          <w:rFonts w:ascii="Arial" w:hAnsi="Arial" w:cs="Arial"/>
          <w:bCs/>
          <w:lang w:val="es-ES"/>
        </w:rPr>
        <w:t>PPN</w:t>
      </w:r>
      <w:r w:rsidRPr="002C0C73">
        <w:rPr>
          <w:rFonts w:ascii="Arial" w:hAnsi="Arial" w:cs="Arial"/>
          <w:bCs/>
          <w:lang w:val="es-ES"/>
        </w:rPr>
        <w:t>,</w:t>
      </w:r>
      <w:r w:rsidRPr="002C0C73">
        <w:rPr>
          <w:rStyle w:val="Refdenotaalpie"/>
          <w:rFonts w:ascii="Arial" w:hAnsi="Arial" w:cs="Arial"/>
          <w:bCs/>
          <w:lang w:val="es-ES"/>
        </w:rPr>
        <w:footnoteReference w:id="30"/>
      </w:r>
      <w:r w:rsidRPr="002C0C73">
        <w:rPr>
          <w:rFonts w:ascii="Arial" w:hAnsi="Arial" w:cs="Arial"/>
          <w:bCs/>
          <w:lang w:val="es-ES"/>
        </w:rPr>
        <w:t xml:space="preserve"> porque en su opinión no se le tuteló el derecho de audiencia, adecuada defensa y el debido proceso.</w:t>
      </w:r>
    </w:p>
    <w:p w:rsidR="00F14C5B" w:rsidRPr="002C0C73" w:rsidRDefault="00F14C5B" w:rsidP="008A5007">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El argumento se declaró infundado, porque la actora tuvo conocimiento</w:t>
      </w:r>
      <w:r w:rsidR="008A5007" w:rsidRPr="002C0C73">
        <w:rPr>
          <w:rFonts w:ascii="Arial" w:hAnsi="Arial" w:cs="Arial"/>
          <w:bCs/>
          <w:lang w:val="es-ES"/>
        </w:rPr>
        <w:t xml:space="preserve"> </w:t>
      </w:r>
      <w:r w:rsidRPr="002C0C73">
        <w:rPr>
          <w:rFonts w:ascii="Arial" w:hAnsi="Arial" w:cs="Arial"/>
          <w:bCs/>
          <w:lang w:val="es-ES"/>
        </w:rPr>
        <w:t>de las razones por las cuales la mayoría de las asambleas se cancelaron.</w:t>
      </w:r>
      <w:r w:rsidR="008A5007" w:rsidRPr="002C0C73">
        <w:rPr>
          <w:rFonts w:ascii="Arial" w:hAnsi="Arial" w:cs="Arial"/>
          <w:bCs/>
          <w:lang w:val="es-ES"/>
        </w:rPr>
        <w:t xml:space="preserve"> Además, </w:t>
      </w:r>
      <w:r w:rsidRPr="002C0C73">
        <w:rPr>
          <w:rFonts w:ascii="Arial" w:hAnsi="Arial" w:cs="Arial"/>
          <w:bCs/>
          <w:lang w:val="es-ES"/>
        </w:rPr>
        <w:t xml:space="preserve">tuvo a su alcance una herramienta informática que le permitía conocer las causas por las cuales algunas solicitudes de afiliación no </w:t>
      </w:r>
      <w:r w:rsidR="008A5007" w:rsidRPr="002C0C73">
        <w:rPr>
          <w:rFonts w:ascii="Arial" w:hAnsi="Arial" w:cs="Arial"/>
          <w:bCs/>
          <w:lang w:val="es-ES"/>
        </w:rPr>
        <w:t>se contabilizaron</w:t>
      </w:r>
      <w:r w:rsidRPr="002C0C73">
        <w:rPr>
          <w:rFonts w:ascii="Arial" w:hAnsi="Arial" w:cs="Arial"/>
          <w:bCs/>
          <w:lang w:val="es-ES"/>
        </w:rPr>
        <w:t>.</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Inconstitucionalidad y solicitud de inaplicación de los artículos 10, párrafo 2, inciso b) y 12, párrafo 1, inciso a), de la LGPP; así como el punto 47 del Instructivo.</w:t>
      </w:r>
    </w:p>
    <w:p w:rsidR="00F14C5B" w:rsidRPr="002C0C73" w:rsidRDefault="008A5007"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 xml:space="preserve">El </w:t>
      </w:r>
      <w:r w:rsidR="009D10A8" w:rsidRPr="002C0C73">
        <w:rPr>
          <w:rFonts w:ascii="Arial" w:hAnsi="Arial" w:cs="Arial"/>
          <w:bCs/>
          <w:lang w:val="es-ES"/>
        </w:rPr>
        <w:t>FCT</w:t>
      </w:r>
      <w:r w:rsidRPr="002C0C73">
        <w:rPr>
          <w:rFonts w:ascii="Arial" w:hAnsi="Arial" w:cs="Arial"/>
          <w:bCs/>
          <w:lang w:val="es-ES"/>
        </w:rPr>
        <w:t xml:space="preserve"> adujo la inconstitucionalidad de esos artículos </w:t>
      </w:r>
      <w:r w:rsidR="00F14C5B" w:rsidRPr="002C0C73">
        <w:rPr>
          <w:rFonts w:ascii="Arial" w:hAnsi="Arial" w:cs="Arial"/>
          <w:bCs/>
          <w:lang w:val="es-ES"/>
        </w:rPr>
        <w:t xml:space="preserve">al exigir </w:t>
      </w:r>
      <w:r w:rsidRPr="002C0C73">
        <w:rPr>
          <w:rFonts w:ascii="Arial" w:hAnsi="Arial" w:cs="Arial"/>
          <w:bCs/>
          <w:lang w:val="es-ES"/>
        </w:rPr>
        <w:t xml:space="preserve">doscientas </w:t>
      </w:r>
      <w:r w:rsidR="00F14C5B" w:rsidRPr="002C0C73">
        <w:rPr>
          <w:rFonts w:ascii="Arial" w:hAnsi="Arial" w:cs="Arial"/>
          <w:bCs/>
          <w:lang w:val="es-ES"/>
        </w:rPr>
        <w:t xml:space="preserve">asambleas distritales y </w:t>
      </w:r>
      <w:r w:rsidRPr="002C0C73">
        <w:rPr>
          <w:rFonts w:ascii="Arial" w:hAnsi="Arial" w:cs="Arial"/>
          <w:bCs/>
          <w:lang w:val="es-ES"/>
        </w:rPr>
        <w:t>233,945</w:t>
      </w:r>
      <w:r w:rsidR="00F14C5B" w:rsidRPr="002C0C73">
        <w:rPr>
          <w:rFonts w:ascii="Arial" w:hAnsi="Arial" w:cs="Arial"/>
          <w:bCs/>
          <w:lang w:val="es-ES"/>
        </w:rPr>
        <w:t xml:space="preserve"> afiliaciones, </w:t>
      </w:r>
      <w:r w:rsidRPr="002C0C73">
        <w:rPr>
          <w:rFonts w:ascii="Arial" w:hAnsi="Arial" w:cs="Arial"/>
          <w:bCs/>
          <w:lang w:val="es-ES"/>
        </w:rPr>
        <w:t xml:space="preserve">lo cual es </w:t>
      </w:r>
      <w:r w:rsidR="00F14C5B" w:rsidRPr="002C0C73">
        <w:rPr>
          <w:rFonts w:ascii="Arial" w:hAnsi="Arial" w:cs="Arial"/>
          <w:bCs/>
          <w:lang w:val="es-ES"/>
        </w:rPr>
        <w:t>desproporcionado e interv</w:t>
      </w:r>
      <w:r w:rsidRPr="002C0C73">
        <w:rPr>
          <w:rFonts w:ascii="Arial" w:hAnsi="Arial" w:cs="Arial"/>
          <w:bCs/>
          <w:lang w:val="es-ES"/>
        </w:rPr>
        <w:t xml:space="preserve">iene </w:t>
      </w:r>
      <w:r w:rsidR="00F14C5B" w:rsidRPr="002C0C73">
        <w:rPr>
          <w:rFonts w:ascii="Arial" w:hAnsi="Arial" w:cs="Arial"/>
          <w:bCs/>
          <w:lang w:val="es-ES"/>
        </w:rPr>
        <w:t>de</w:t>
      </w:r>
      <w:r w:rsidRPr="002C0C73">
        <w:rPr>
          <w:rFonts w:ascii="Arial" w:hAnsi="Arial" w:cs="Arial"/>
          <w:bCs/>
          <w:lang w:val="es-ES"/>
        </w:rPr>
        <w:t xml:space="preserve"> </w:t>
      </w:r>
      <w:r w:rsidR="00F14C5B" w:rsidRPr="002C0C73">
        <w:rPr>
          <w:rFonts w:ascii="Arial" w:hAnsi="Arial" w:cs="Arial"/>
          <w:bCs/>
          <w:lang w:val="es-ES"/>
        </w:rPr>
        <w:t>manera desmedida en su derecho de asociación.</w:t>
      </w:r>
    </w:p>
    <w:p w:rsidR="00F14C5B" w:rsidRPr="002C0C73" w:rsidRDefault="008A5007"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E</w:t>
      </w:r>
      <w:r w:rsidR="00F14C5B" w:rsidRPr="002C0C73">
        <w:rPr>
          <w:rFonts w:ascii="Arial" w:hAnsi="Arial" w:cs="Arial"/>
          <w:bCs/>
          <w:lang w:val="es-ES"/>
        </w:rPr>
        <w:t>n la sentencia se consideraron infundados porque el número de asambleas y de afiliaciones tiene</w:t>
      </w:r>
      <w:r w:rsidRPr="002C0C73">
        <w:rPr>
          <w:rFonts w:ascii="Arial" w:hAnsi="Arial" w:cs="Arial"/>
          <w:bCs/>
          <w:lang w:val="es-ES"/>
        </w:rPr>
        <w:t>n</w:t>
      </w:r>
      <w:r w:rsidR="00F14C5B" w:rsidRPr="002C0C73">
        <w:rPr>
          <w:rFonts w:ascii="Arial" w:hAnsi="Arial" w:cs="Arial"/>
          <w:bCs/>
          <w:lang w:val="es-ES"/>
        </w:rPr>
        <w:t xml:space="preserve"> un fin legítimo que es consecuente con la finalidad asignada a los </w:t>
      </w:r>
      <w:r w:rsidRPr="002C0C73">
        <w:rPr>
          <w:rFonts w:ascii="Arial" w:hAnsi="Arial" w:cs="Arial"/>
          <w:bCs/>
          <w:lang w:val="es-ES"/>
        </w:rPr>
        <w:t>PPN</w:t>
      </w:r>
      <w:r w:rsidR="00F14C5B" w:rsidRPr="002C0C73">
        <w:rPr>
          <w:rFonts w:ascii="Arial" w:hAnsi="Arial" w:cs="Arial"/>
          <w:bCs/>
          <w:lang w:val="es-ES"/>
        </w:rPr>
        <w:t>, siendo una medida idónea, necesaria y proporcional.</w:t>
      </w:r>
      <w:r w:rsidR="00F14C5B" w:rsidRPr="002C0C73">
        <w:rPr>
          <w:rFonts w:ascii="Arial" w:hAnsi="Arial" w:cs="Arial"/>
          <w:bCs/>
          <w:vertAlign w:val="superscript"/>
          <w:lang w:val="es-ES"/>
        </w:rPr>
        <w:footnoteReference w:id="31"/>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Solicitud de inaplicación de diversos preceptos debido a la existencia de actos de violencia.</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 xml:space="preserve">La actora solicitó la inaplicación de los requisitos relacionados con los plazos de registro como partido </w:t>
      </w:r>
      <w:r w:rsidR="008A5007" w:rsidRPr="002C0C73">
        <w:rPr>
          <w:rFonts w:ascii="Arial" w:hAnsi="Arial" w:cs="Arial"/>
          <w:bCs/>
          <w:lang w:val="es-ES"/>
        </w:rPr>
        <w:t>PPN</w:t>
      </w:r>
      <w:r w:rsidRPr="002C0C73">
        <w:rPr>
          <w:rFonts w:ascii="Arial" w:hAnsi="Arial" w:cs="Arial"/>
          <w:bCs/>
          <w:lang w:val="es-ES"/>
        </w:rPr>
        <w:t xml:space="preserve">, el número de asambleas </w:t>
      </w:r>
      <w:r w:rsidR="008A5007" w:rsidRPr="002C0C73">
        <w:rPr>
          <w:rFonts w:ascii="Arial" w:hAnsi="Arial" w:cs="Arial"/>
          <w:bCs/>
          <w:lang w:val="es-ES"/>
        </w:rPr>
        <w:t>exigidas</w:t>
      </w:r>
      <w:r w:rsidRPr="002C0C73">
        <w:rPr>
          <w:rFonts w:ascii="Arial" w:hAnsi="Arial" w:cs="Arial"/>
          <w:bCs/>
          <w:lang w:val="es-ES"/>
        </w:rPr>
        <w:t>; así como el número de afiliados, bajo el argumento de que hubo actos de violencia</w:t>
      </w:r>
      <w:r w:rsidR="008A5007" w:rsidRPr="002C0C73">
        <w:rPr>
          <w:rFonts w:ascii="Arial" w:hAnsi="Arial" w:cs="Arial"/>
          <w:bCs/>
          <w:lang w:val="es-ES"/>
        </w:rPr>
        <w:t>.</w:t>
      </w:r>
    </w:p>
    <w:p w:rsidR="00F14C5B" w:rsidRPr="002C0C73" w:rsidRDefault="00F14C5B" w:rsidP="00F14C5B">
      <w:pPr>
        <w:pStyle w:val="NormalWeb"/>
        <w:widowControl w:val="0"/>
        <w:shd w:val="clear" w:color="auto" w:fill="FFFFFF"/>
        <w:spacing w:line="360" w:lineRule="auto"/>
        <w:jc w:val="both"/>
        <w:rPr>
          <w:rFonts w:ascii="Arial" w:hAnsi="Arial" w:cs="Arial"/>
          <w:bCs/>
          <w:lang w:val="es-ES"/>
        </w:rPr>
      </w:pPr>
      <w:r w:rsidRPr="002C0C73">
        <w:rPr>
          <w:rFonts w:ascii="Arial" w:hAnsi="Arial" w:cs="Arial"/>
          <w:bCs/>
          <w:lang w:val="es-ES"/>
        </w:rPr>
        <w:t xml:space="preserve">En la sentencia se declararon infundados porque el Informe del </w:t>
      </w:r>
      <w:r w:rsidR="008A5007" w:rsidRPr="002C0C73">
        <w:rPr>
          <w:rFonts w:ascii="Arial" w:hAnsi="Arial" w:cs="Arial"/>
          <w:bCs/>
          <w:lang w:val="es-ES"/>
        </w:rPr>
        <w:t xml:space="preserve">SE </w:t>
      </w:r>
      <w:r w:rsidRPr="002C0C73">
        <w:rPr>
          <w:rFonts w:ascii="Arial" w:hAnsi="Arial" w:cs="Arial"/>
          <w:bCs/>
          <w:lang w:val="es-ES"/>
        </w:rPr>
        <w:t xml:space="preserve">del INE, de ningún modo </w:t>
      </w:r>
      <w:r w:rsidR="008A5007" w:rsidRPr="002C0C73">
        <w:rPr>
          <w:rFonts w:ascii="Arial" w:hAnsi="Arial" w:cs="Arial"/>
          <w:bCs/>
          <w:lang w:val="es-ES"/>
        </w:rPr>
        <w:t xml:space="preserve">se </w:t>
      </w:r>
      <w:r w:rsidRPr="002C0C73">
        <w:rPr>
          <w:rFonts w:ascii="Arial" w:hAnsi="Arial" w:cs="Arial"/>
          <w:bCs/>
          <w:lang w:val="es-ES"/>
        </w:rPr>
        <w:t xml:space="preserve">podía pronunciar en torno al contexto de violencia por inseguridad en el país o sobre los hechos violentos </w:t>
      </w:r>
      <w:r w:rsidR="008A5007" w:rsidRPr="002C0C73">
        <w:rPr>
          <w:rFonts w:ascii="Arial" w:hAnsi="Arial" w:cs="Arial"/>
          <w:bCs/>
          <w:lang w:val="es-ES"/>
        </w:rPr>
        <w:t>aducidos</w:t>
      </w:r>
      <w:r w:rsidRPr="002C0C73">
        <w:rPr>
          <w:rFonts w:ascii="Arial" w:hAnsi="Arial" w:cs="Arial"/>
          <w:bCs/>
          <w:lang w:val="es-ES"/>
        </w:rPr>
        <w:t>.</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Falta de confiabilidad y fallas de la aplicación informática.</w:t>
      </w:r>
    </w:p>
    <w:p w:rsidR="00F14C5B" w:rsidRPr="002C0C73" w:rsidRDefault="00F14C5B" w:rsidP="00F14C5B">
      <w:pPr>
        <w:pStyle w:val="NormalWeb"/>
        <w:widowControl w:val="0"/>
        <w:shd w:val="clear" w:color="auto" w:fill="FFFFFF"/>
        <w:spacing w:line="360" w:lineRule="auto"/>
        <w:jc w:val="both"/>
        <w:rPr>
          <w:rFonts w:ascii="Arial" w:hAnsi="Arial" w:cs="Arial"/>
          <w:lang w:val="es-ES"/>
        </w:rPr>
      </w:pPr>
      <w:r w:rsidRPr="002C0C73">
        <w:rPr>
          <w:rFonts w:ascii="Arial" w:hAnsi="Arial" w:cs="Arial"/>
          <w:lang w:val="es-ES"/>
        </w:rPr>
        <w:lastRenderedPageBreak/>
        <w:t>Se declaró la inoperancia porque estaban dirigidos al Instructivo, el cual ya no podía ser materia de pronunciamiento al ser un acto definitivo y firme</w:t>
      </w:r>
      <w:r w:rsidR="00A12F2F" w:rsidRPr="002C0C73">
        <w:rPr>
          <w:rFonts w:ascii="Arial" w:hAnsi="Arial" w:cs="Arial"/>
          <w:lang w:val="es-ES"/>
        </w:rPr>
        <w:t xml:space="preserve">, además el FCT </w:t>
      </w:r>
      <w:r w:rsidRPr="002C0C73">
        <w:rPr>
          <w:rFonts w:ascii="Arial" w:hAnsi="Arial" w:cs="Arial"/>
          <w:lang w:val="es-ES"/>
        </w:rPr>
        <w:t>no lo controvirtió oportunamente.</w:t>
      </w:r>
      <w:r w:rsidRPr="002C0C73">
        <w:rPr>
          <w:rFonts w:ascii="Arial" w:hAnsi="Arial" w:cs="Arial"/>
          <w:vertAlign w:val="superscript"/>
          <w:lang w:val="es-ES"/>
        </w:rPr>
        <w:footnoteReference w:id="32"/>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Afectación a las personas integrantes de los pueblos y comunidades indígenas.</w:t>
      </w:r>
    </w:p>
    <w:p w:rsidR="00F14C5B" w:rsidRPr="002C0C73" w:rsidRDefault="00A12F2F" w:rsidP="00F14C5B">
      <w:pPr>
        <w:pStyle w:val="NormalWeb"/>
        <w:widowControl w:val="0"/>
        <w:shd w:val="clear" w:color="auto" w:fill="FFFFFF"/>
        <w:spacing w:line="360" w:lineRule="auto"/>
        <w:jc w:val="both"/>
        <w:rPr>
          <w:rFonts w:ascii="Arial" w:hAnsi="Arial" w:cs="Arial"/>
          <w:lang w:val="es-ES"/>
        </w:rPr>
      </w:pPr>
      <w:r w:rsidRPr="002C0C73">
        <w:rPr>
          <w:rFonts w:ascii="Arial" w:hAnsi="Arial" w:cs="Arial"/>
          <w:lang w:val="es-ES"/>
        </w:rPr>
        <w:t>S</w:t>
      </w:r>
      <w:r w:rsidR="00F14C5B" w:rsidRPr="002C0C73">
        <w:rPr>
          <w:rFonts w:ascii="Arial" w:hAnsi="Arial" w:cs="Arial"/>
          <w:lang w:val="es-ES"/>
        </w:rPr>
        <w:t xml:space="preserve">e declaró infundado, porque no se acreditó que las personas afiliadas en las asambleas </w:t>
      </w:r>
      <w:r w:rsidRPr="002C0C73">
        <w:rPr>
          <w:rFonts w:ascii="Arial" w:hAnsi="Arial" w:cs="Arial"/>
          <w:lang w:val="es-ES"/>
        </w:rPr>
        <w:t>i</w:t>
      </w:r>
      <w:r w:rsidR="00F14C5B" w:rsidRPr="002C0C73">
        <w:rPr>
          <w:rFonts w:ascii="Arial" w:hAnsi="Arial" w:cs="Arial"/>
          <w:lang w:val="es-ES"/>
        </w:rPr>
        <w:t xml:space="preserve">nvalidadas efectivamente hubieran tenido la calidad de indígenas. </w:t>
      </w:r>
    </w:p>
    <w:p w:rsidR="00F14C5B" w:rsidRPr="002C0C73" w:rsidRDefault="00F14C5B" w:rsidP="007B77D9">
      <w:pPr>
        <w:pStyle w:val="NormalWeb"/>
        <w:widowControl w:val="0"/>
        <w:numPr>
          <w:ilvl w:val="0"/>
          <w:numId w:val="16"/>
        </w:numPr>
        <w:shd w:val="clear" w:color="auto" w:fill="FFFFFF"/>
        <w:spacing w:line="360" w:lineRule="auto"/>
        <w:ind w:left="0" w:firstLine="0"/>
        <w:jc w:val="both"/>
        <w:rPr>
          <w:rFonts w:ascii="Arial" w:hAnsi="Arial" w:cs="Arial"/>
          <w:b/>
          <w:lang w:val="es-ES"/>
        </w:rPr>
      </w:pPr>
      <w:r w:rsidRPr="002C0C73">
        <w:rPr>
          <w:rFonts w:ascii="Arial" w:hAnsi="Arial" w:cs="Arial"/>
          <w:b/>
          <w:lang w:val="es-ES"/>
        </w:rPr>
        <w:t>Reparación integral.</w:t>
      </w:r>
    </w:p>
    <w:p w:rsidR="00F14C5B" w:rsidRPr="002C0C73" w:rsidRDefault="00F14C5B" w:rsidP="00F14C5B">
      <w:pPr>
        <w:pStyle w:val="NormalWeb"/>
        <w:widowControl w:val="0"/>
        <w:shd w:val="clear" w:color="auto" w:fill="FFFFFF"/>
        <w:spacing w:line="360" w:lineRule="auto"/>
        <w:jc w:val="both"/>
        <w:rPr>
          <w:rFonts w:ascii="Arial" w:hAnsi="Arial" w:cs="Arial"/>
          <w:lang w:val="es-ES"/>
        </w:rPr>
      </w:pPr>
      <w:r w:rsidRPr="002C0C73">
        <w:rPr>
          <w:rFonts w:ascii="Arial" w:hAnsi="Arial" w:cs="Arial"/>
          <w:lang w:val="es-ES"/>
        </w:rPr>
        <w:t>En la resolución se desestimó la solicitud sobre la reparación del daño, consistente en que se le otorgara un plazo de tres meses para reponer y realizar las asambleas distritales y la nacional, así como afiliaciones.</w:t>
      </w:r>
    </w:p>
    <w:p w:rsidR="00F14C5B" w:rsidRPr="002C0C73" w:rsidRDefault="00F14C5B" w:rsidP="00F14C5B">
      <w:pPr>
        <w:pStyle w:val="NormalWeb"/>
        <w:widowControl w:val="0"/>
        <w:shd w:val="clear" w:color="auto" w:fill="FFFFFF"/>
        <w:spacing w:line="360" w:lineRule="auto"/>
        <w:jc w:val="both"/>
        <w:rPr>
          <w:rFonts w:ascii="Arial" w:hAnsi="Arial" w:cs="Arial"/>
          <w:lang w:val="es-ES"/>
        </w:rPr>
      </w:pPr>
      <w:r w:rsidRPr="002C0C73">
        <w:rPr>
          <w:rFonts w:ascii="Arial" w:hAnsi="Arial" w:cs="Arial"/>
          <w:lang w:val="es-ES"/>
        </w:rPr>
        <w:t xml:space="preserve">La calificación se sustentó </w:t>
      </w:r>
      <w:r w:rsidR="00A12F2F" w:rsidRPr="002C0C73">
        <w:rPr>
          <w:rFonts w:ascii="Arial" w:hAnsi="Arial" w:cs="Arial"/>
          <w:lang w:val="es-ES"/>
        </w:rPr>
        <w:t xml:space="preserve">en </w:t>
      </w:r>
      <w:r w:rsidRPr="002C0C73">
        <w:rPr>
          <w:rFonts w:ascii="Arial" w:hAnsi="Arial" w:cs="Arial"/>
          <w:lang w:val="es-ES"/>
        </w:rPr>
        <w:t xml:space="preserve">que la demandante partía de una premisa errónea, consistente en </w:t>
      </w:r>
      <w:r w:rsidR="006B6B75" w:rsidRPr="002C0C73">
        <w:rPr>
          <w:rFonts w:ascii="Arial" w:hAnsi="Arial" w:cs="Arial"/>
          <w:lang w:val="es-ES"/>
        </w:rPr>
        <w:t xml:space="preserve">la supuesta vulneración a </w:t>
      </w:r>
      <w:r w:rsidRPr="002C0C73">
        <w:rPr>
          <w:rFonts w:ascii="Arial" w:hAnsi="Arial" w:cs="Arial"/>
          <w:lang w:val="es-ES"/>
        </w:rPr>
        <w:t>su derecho de audiencia y adecuada defensa.</w:t>
      </w:r>
    </w:p>
    <w:p w:rsidR="006B6B75" w:rsidRPr="002C0C73" w:rsidRDefault="006B6B75" w:rsidP="006B6B75">
      <w:pPr>
        <w:pStyle w:val="NormalWeb"/>
        <w:widowControl w:val="0"/>
        <w:shd w:val="clear" w:color="auto" w:fill="FFFFFF"/>
        <w:spacing w:line="360" w:lineRule="auto"/>
        <w:jc w:val="both"/>
        <w:rPr>
          <w:rFonts w:ascii="Arial" w:hAnsi="Arial" w:cs="Arial"/>
        </w:rPr>
      </w:pPr>
      <w:r w:rsidRPr="002C0C73">
        <w:rPr>
          <w:rFonts w:ascii="Arial" w:hAnsi="Arial" w:cs="Arial"/>
        </w:rPr>
        <w:t xml:space="preserve">Como se observa, </w:t>
      </w:r>
      <w:r w:rsidR="00F14C5B" w:rsidRPr="002C0C73">
        <w:rPr>
          <w:rFonts w:ascii="Arial" w:hAnsi="Arial" w:cs="Arial"/>
        </w:rPr>
        <w:t xml:space="preserve">esta Sala Superior ya se pronunció </w:t>
      </w:r>
      <w:r w:rsidRPr="002C0C73">
        <w:rPr>
          <w:rFonts w:ascii="Arial" w:hAnsi="Arial" w:cs="Arial"/>
        </w:rPr>
        <w:t xml:space="preserve">sobre los temas planteados en la actual demanda. </w:t>
      </w:r>
    </w:p>
    <w:p w:rsidR="00F14C5B" w:rsidRPr="002C0C73" w:rsidRDefault="006B6B75" w:rsidP="00F14C5B">
      <w:pPr>
        <w:pStyle w:val="NormalWeb"/>
        <w:widowControl w:val="0"/>
        <w:shd w:val="clear" w:color="auto" w:fill="FFFFFF"/>
        <w:spacing w:line="360" w:lineRule="auto"/>
        <w:jc w:val="both"/>
        <w:rPr>
          <w:rFonts w:ascii="Arial" w:hAnsi="Arial" w:cs="Arial"/>
          <w:b/>
        </w:rPr>
      </w:pPr>
      <w:r w:rsidRPr="002C0C73">
        <w:rPr>
          <w:rFonts w:ascii="Arial" w:hAnsi="Arial" w:cs="Arial"/>
        </w:rPr>
        <w:t xml:space="preserve">Por tanto, </w:t>
      </w:r>
      <w:r w:rsidR="00F14C5B" w:rsidRPr="002C0C73">
        <w:rPr>
          <w:rFonts w:ascii="Arial" w:hAnsi="Arial" w:cs="Arial"/>
        </w:rPr>
        <w:t xml:space="preserve">no es dable </w:t>
      </w:r>
      <w:r w:rsidRPr="002C0C73">
        <w:rPr>
          <w:rFonts w:ascii="Arial" w:hAnsi="Arial" w:cs="Arial"/>
        </w:rPr>
        <w:t xml:space="preserve">volver a emitir pronunciamiento </w:t>
      </w:r>
      <w:r w:rsidR="00F14C5B" w:rsidRPr="002C0C73">
        <w:rPr>
          <w:rFonts w:ascii="Arial" w:hAnsi="Arial" w:cs="Arial"/>
        </w:rPr>
        <w:t xml:space="preserve">sobre </w:t>
      </w:r>
      <w:r w:rsidR="006E0BEA" w:rsidRPr="002C0C73">
        <w:rPr>
          <w:rFonts w:ascii="Arial" w:hAnsi="Arial" w:cs="Arial"/>
        </w:rPr>
        <w:t>éstos</w:t>
      </w:r>
      <w:r w:rsidR="00F14C5B" w:rsidRPr="002C0C73">
        <w:rPr>
          <w:rFonts w:ascii="Arial" w:hAnsi="Arial" w:cs="Arial"/>
        </w:rPr>
        <w:t xml:space="preserve">, por lo que en el caso concreto </w:t>
      </w:r>
      <w:r w:rsidR="00F14C5B" w:rsidRPr="002C0C73">
        <w:rPr>
          <w:rFonts w:ascii="Arial" w:hAnsi="Arial" w:cs="Arial"/>
          <w:b/>
        </w:rPr>
        <w:t>se actualiza la eficacia refleja de la cosa juzgada.</w:t>
      </w:r>
    </w:p>
    <w:p w:rsidR="00F14C5B" w:rsidRPr="002C0C73" w:rsidRDefault="00713CA1" w:rsidP="00713CA1">
      <w:pPr>
        <w:pStyle w:val="NormalWeb"/>
        <w:widowControl w:val="0"/>
        <w:shd w:val="clear" w:color="auto" w:fill="FFFFFF"/>
        <w:spacing w:line="360" w:lineRule="auto"/>
        <w:jc w:val="both"/>
        <w:rPr>
          <w:rFonts w:ascii="Arial" w:hAnsi="Arial" w:cs="Arial"/>
        </w:rPr>
      </w:pPr>
      <w:r w:rsidRPr="002C0C73">
        <w:rPr>
          <w:rFonts w:ascii="Arial" w:hAnsi="Arial" w:cs="Arial"/>
        </w:rPr>
        <w:t xml:space="preserve">En otro contexto, en cuanto a que el CG del INE </w:t>
      </w:r>
      <w:r w:rsidR="00F14C5B" w:rsidRPr="002C0C73">
        <w:rPr>
          <w:rFonts w:ascii="Arial" w:hAnsi="Arial" w:cs="Arial"/>
          <w:bCs/>
        </w:rPr>
        <w:t xml:space="preserve">no consideró que estaba </w:t>
      </w:r>
      <w:r w:rsidR="00F14C5B" w:rsidRPr="002C0C73">
        <w:rPr>
          <w:rFonts w:ascii="Arial" w:hAnsi="Arial" w:cs="Arial"/>
          <w:bCs/>
          <w:i/>
          <w:iCs/>
        </w:rPr>
        <w:t xml:space="preserve">sub </w:t>
      </w:r>
      <w:proofErr w:type="spellStart"/>
      <w:r w:rsidR="00F14C5B" w:rsidRPr="002C0C73">
        <w:rPr>
          <w:rFonts w:ascii="Arial" w:hAnsi="Arial" w:cs="Arial"/>
          <w:bCs/>
          <w:i/>
          <w:iCs/>
        </w:rPr>
        <w:t>iudice</w:t>
      </w:r>
      <w:proofErr w:type="spellEnd"/>
      <w:r w:rsidR="00F14C5B" w:rsidRPr="002C0C73">
        <w:rPr>
          <w:rFonts w:ascii="Arial" w:hAnsi="Arial" w:cs="Arial"/>
          <w:bCs/>
        </w:rPr>
        <w:t xml:space="preserve"> la impugnación </w:t>
      </w:r>
      <w:r w:rsidR="006B6B75" w:rsidRPr="002C0C73">
        <w:rPr>
          <w:rFonts w:ascii="Arial" w:hAnsi="Arial" w:cs="Arial"/>
          <w:bCs/>
        </w:rPr>
        <w:t xml:space="preserve">del citado juicio </w:t>
      </w:r>
      <w:r w:rsidR="00F14C5B" w:rsidRPr="002C0C73">
        <w:rPr>
          <w:rFonts w:ascii="Arial" w:hAnsi="Arial" w:cs="Arial"/>
          <w:bCs/>
          <w:lang w:val="es-ES"/>
        </w:rPr>
        <w:t>SUP-JDC-216/2020</w:t>
      </w:r>
      <w:r w:rsidRPr="002C0C73">
        <w:rPr>
          <w:rFonts w:ascii="Arial" w:hAnsi="Arial" w:cs="Arial"/>
          <w:bCs/>
        </w:rPr>
        <w:t xml:space="preserve">, también deviene inoperante el argumento porque </w:t>
      </w:r>
      <w:r w:rsidR="006B6B75" w:rsidRPr="002C0C73">
        <w:rPr>
          <w:rFonts w:ascii="Arial" w:hAnsi="Arial" w:cs="Arial"/>
        </w:rPr>
        <w:t xml:space="preserve">ese </w:t>
      </w:r>
      <w:r w:rsidR="00F14C5B" w:rsidRPr="002C0C73">
        <w:rPr>
          <w:rFonts w:ascii="Arial" w:hAnsi="Arial" w:cs="Arial"/>
        </w:rPr>
        <w:t>juicio ya se resolvió</w:t>
      </w:r>
      <w:r w:rsidR="006B6B75" w:rsidRPr="002C0C73">
        <w:rPr>
          <w:rFonts w:ascii="Arial" w:hAnsi="Arial" w:cs="Arial"/>
        </w:rPr>
        <w:t xml:space="preserve"> y es la causa de inoperancia de los otros argumentos</w:t>
      </w:r>
      <w:r w:rsidR="00F14C5B" w:rsidRPr="002C0C73">
        <w:rPr>
          <w:rFonts w:ascii="Arial" w:hAnsi="Arial" w:cs="Arial"/>
        </w:rPr>
        <w:t>.</w:t>
      </w:r>
    </w:p>
    <w:p w:rsidR="00F14C5B" w:rsidRPr="002C0C73" w:rsidRDefault="006B6B75" w:rsidP="00F14C5B">
      <w:pPr>
        <w:pStyle w:val="NormalWeb"/>
        <w:widowControl w:val="0"/>
        <w:shd w:val="clear" w:color="auto" w:fill="FFFFFF"/>
        <w:spacing w:line="360" w:lineRule="auto"/>
        <w:jc w:val="both"/>
        <w:rPr>
          <w:rFonts w:ascii="Arial" w:hAnsi="Arial" w:cs="Arial"/>
          <w:bCs/>
        </w:rPr>
      </w:pPr>
      <w:r w:rsidRPr="002C0C73">
        <w:rPr>
          <w:rFonts w:ascii="Arial" w:hAnsi="Arial" w:cs="Arial"/>
        </w:rPr>
        <w:t xml:space="preserve">Si bien el CG del INE </w:t>
      </w:r>
      <w:r w:rsidR="00F14C5B" w:rsidRPr="002C0C73">
        <w:rPr>
          <w:rFonts w:ascii="Arial" w:hAnsi="Arial" w:cs="Arial"/>
          <w:bCs/>
        </w:rPr>
        <w:t>emiti</w:t>
      </w:r>
      <w:r w:rsidRPr="002C0C73">
        <w:rPr>
          <w:rFonts w:ascii="Arial" w:hAnsi="Arial" w:cs="Arial"/>
          <w:bCs/>
        </w:rPr>
        <w:t>ó</w:t>
      </w:r>
      <w:r w:rsidR="00F14C5B" w:rsidRPr="002C0C73">
        <w:rPr>
          <w:rFonts w:ascii="Arial" w:hAnsi="Arial" w:cs="Arial"/>
          <w:bCs/>
        </w:rPr>
        <w:t xml:space="preserve"> el acuerdo impugnado aún sin la resolución del juicio mencionado, en nada le afecta a la demandante.</w:t>
      </w:r>
      <w:r w:rsidR="00865499" w:rsidRPr="002C0C73">
        <w:rPr>
          <w:rFonts w:ascii="Arial" w:hAnsi="Arial" w:cs="Arial"/>
          <w:bCs/>
        </w:rPr>
        <w:t xml:space="preserve"> </w:t>
      </w:r>
      <w:r w:rsidR="00F14C5B" w:rsidRPr="002C0C73">
        <w:rPr>
          <w:rFonts w:ascii="Arial" w:hAnsi="Arial" w:cs="Arial"/>
          <w:bCs/>
        </w:rPr>
        <w:t xml:space="preserve">Esto, porque conforme a lo previsto en la Constitución y la Ley de Medios, en materia electoral, la interposición de algún medio de impugnación no produce efectos suspensivos </w:t>
      </w:r>
      <w:r w:rsidR="00F14C5B" w:rsidRPr="002C0C73">
        <w:rPr>
          <w:rFonts w:ascii="Arial" w:hAnsi="Arial" w:cs="Arial"/>
          <w:bCs/>
        </w:rPr>
        <w:lastRenderedPageBreak/>
        <w:t>sobre la resolución o el acto impugnado</w:t>
      </w:r>
      <w:r w:rsidR="00F14C5B" w:rsidRPr="002C0C73">
        <w:rPr>
          <w:rStyle w:val="Refdenotaalpie"/>
          <w:rFonts w:ascii="Arial" w:hAnsi="Arial" w:cs="Arial"/>
          <w:bCs/>
        </w:rPr>
        <w:footnoteReference w:id="33"/>
      </w:r>
      <w:r w:rsidR="00713CA1" w:rsidRPr="002C0C73">
        <w:rPr>
          <w:rFonts w:ascii="Arial" w:hAnsi="Arial" w:cs="Arial"/>
          <w:bCs/>
        </w:rPr>
        <w:t xml:space="preserve"> y, entonces, el CG del INE no debía esperar la resolución de esta Sala Superior.</w:t>
      </w:r>
    </w:p>
    <w:p w:rsidR="00443BDA" w:rsidRPr="002C0C73" w:rsidRDefault="00443BDA"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t>2. Los argumentos no controvierten el acto impugnado</w:t>
      </w:r>
    </w:p>
    <w:p w:rsidR="00443BDA" w:rsidRPr="002C0C73" w:rsidRDefault="00443BDA"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Además, la inoperancia se debe a que la actora en modo alguno controvierte las consideraciones del acto impugnado. </w:t>
      </w:r>
    </w:p>
    <w:p w:rsidR="00443BDA" w:rsidRPr="002C0C73" w:rsidRDefault="00443BDA"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Ello, </w:t>
      </w:r>
      <w:r w:rsidR="0051575C" w:rsidRPr="002C0C73">
        <w:rPr>
          <w:rFonts w:ascii="Arial" w:hAnsi="Arial" w:cs="Arial"/>
          <w:bCs/>
        </w:rPr>
        <w:t>porque el acuerdo impugnado versó sobre la reanudación de actividades del procedimiento de registro como PPN, la fiscalización de las organizaciones, los procedimientos sancionadores y la creación de un procedimiento sumario.</w:t>
      </w:r>
    </w:p>
    <w:p w:rsidR="0051575C" w:rsidRPr="002C0C73" w:rsidRDefault="0051575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Sin embargo, la actora lejos de formular argumentos en torno a esos temas se limita a formular aquellos que fueron objeto de análisis en el juicio SUP-JDC-216/2020, los cuales de ninguna forma están relacionados con el acuerdo impug</w:t>
      </w:r>
      <w:r w:rsidR="001D7207" w:rsidRPr="002C0C73">
        <w:rPr>
          <w:rFonts w:ascii="Arial" w:hAnsi="Arial" w:cs="Arial"/>
          <w:bCs/>
        </w:rPr>
        <w:t>n</w:t>
      </w:r>
      <w:r w:rsidRPr="002C0C73">
        <w:rPr>
          <w:rFonts w:ascii="Arial" w:hAnsi="Arial" w:cs="Arial"/>
          <w:bCs/>
        </w:rPr>
        <w:t>ado.</w:t>
      </w:r>
    </w:p>
    <w:p w:rsidR="0051575C" w:rsidRPr="002C0C73" w:rsidRDefault="0051575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En ese sentido, la actora</w:t>
      </w:r>
      <w:r w:rsidR="001D7207" w:rsidRPr="002C0C73">
        <w:rPr>
          <w:rFonts w:ascii="Arial" w:hAnsi="Arial" w:cs="Arial"/>
          <w:bCs/>
        </w:rPr>
        <w:t xml:space="preserve"> </w:t>
      </w:r>
      <w:r w:rsidRPr="002C0C73">
        <w:rPr>
          <w:rFonts w:ascii="Arial" w:hAnsi="Arial" w:cs="Arial"/>
          <w:bCs/>
        </w:rPr>
        <w:t>no señala qué perjuicios le causan las consideraciones torales del acuerdo impugnado y mucho menos prueba la existencia de la presunta afectación.</w:t>
      </w:r>
    </w:p>
    <w:p w:rsidR="0051575C" w:rsidRPr="002C0C73" w:rsidRDefault="0051575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Al dejar de obrar de esa forma, los argumentos resultan inoperantes.</w:t>
      </w:r>
    </w:p>
    <w:p w:rsidR="006B6B75" w:rsidRPr="002C0C73" w:rsidRDefault="00D51B27" w:rsidP="00B071F1">
      <w:pPr>
        <w:pStyle w:val="Ttulo1"/>
        <w:spacing w:before="100" w:beforeAutospacing="1" w:after="100" w:afterAutospacing="1" w:line="360" w:lineRule="auto"/>
        <w:jc w:val="both"/>
        <w:rPr>
          <w:rFonts w:ascii="Arial" w:hAnsi="Arial" w:cs="Arial"/>
          <w:b/>
          <w:bCs/>
          <w:color w:val="auto"/>
          <w:sz w:val="24"/>
          <w:szCs w:val="24"/>
        </w:rPr>
      </w:pPr>
      <w:bookmarkStart w:id="25" w:name="_Toc43048091"/>
      <w:r w:rsidRPr="002C0C73">
        <w:rPr>
          <w:rFonts w:ascii="Arial" w:hAnsi="Arial" w:cs="Arial"/>
          <w:b/>
          <w:bCs/>
          <w:color w:val="auto"/>
          <w:sz w:val="24"/>
          <w:szCs w:val="24"/>
        </w:rPr>
        <w:t>Segundo tema</w:t>
      </w:r>
      <w:r w:rsidR="006B6B75" w:rsidRPr="002C0C73">
        <w:rPr>
          <w:rFonts w:ascii="Arial" w:hAnsi="Arial" w:cs="Arial"/>
          <w:b/>
          <w:bCs/>
          <w:color w:val="auto"/>
          <w:sz w:val="24"/>
          <w:szCs w:val="24"/>
        </w:rPr>
        <w:t>.</w:t>
      </w:r>
      <w:r w:rsidR="007B77D9" w:rsidRPr="002C0C73">
        <w:rPr>
          <w:rFonts w:ascii="Arial" w:hAnsi="Arial" w:cs="Arial"/>
          <w:b/>
          <w:bCs/>
          <w:color w:val="auto"/>
          <w:sz w:val="24"/>
          <w:szCs w:val="24"/>
        </w:rPr>
        <w:t xml:space="preserve"> Posibilidad de</w:t>
      </w:r>
      <w:r w:rsidR="00955429" w:rsidRPr="002C0C73">
        <w:rPr>
          <w:rFonts w:ascii="Arial" w:hAnsi="Arial" w:cs="Arial"/>
          <w:b/>
          <w:bCs/>
          <w:color w:val="auto"/>
          <w:sz w:val="24"/>
          <w:szCs w:val="24"/>
        </w:rPr>
        <w:t xml:space="preserve"> reanudar actividades relativas a la constitución como </w:t>
      </w:r>
      <w:r w:rsidR="00865499" w:rsidRPr="002C0C73">
        <w:rPr>
          <w:rFonts w:ascii="Arial" w:hAnsi="Arial" w:cs="Arial"/>
          <w:b/>
          <w:bCs/>
          <w:color w:val="auto"/>
          <w:sz w:val="24"/>
          <w:szCs w:val="24"/>
        </w:rPr>
        <w:t xml:space="preserve">PPN </w:t>
      </w:r>
      <w:r w:rsidR="007B77D9" w:rsidRPr="002C0C73">
        <w:rPr>
          <w:rFonts w:ascii="Arial" w:hAnsi="Arial" w:cs="Arial"/>
          <w:b/>
          <w:bCs/>
          <w:color w:val="auto"/>
          <w:sz w:val="24"/>
          <w:szCs w:val="24"/>
        </w:rPr>
        <w:t>(JDC-751 de GIN)</w:t>
      </w:r>
      <w:bookmarkEnd w:id="25"/>
    </w:p>
    <w:p w:rsidR="007B77D9" w:rsidRPr="002C0C73" w:rsidRDefault="007B77D9" w:rsidP="007B77D9">
      <w:pPr>
        <w:spacing w:before="100" w:beforeAutospacing="1" w:after="100" w:afterAutospacing="1" w:line="360" w:lineRule="auto"/>
        <w:jc w:val="both"/>
        <w:rPr>
          <w:rFonts w:cs="Arial"/>
          <w:b/>
          <w:bCs/>
          <w:sz w:val="24"/>
          <w:szCs w:val="24"/>
        </w:rPr>
      </w:pPr>
      <w:r w:rsidRPr="002C0C73">
        <w:rPr>
          <w:rFonts w:cs="Arial"/>
          <w:b/>
          <w:bCs/>
          <w:sz w:val="24"/>
          <w:szCs w:val="24"/>
        </w:rPr>
        <w:t>I. Contexto</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Previo a analizar los argumentos de la GIN, se deben precisar los hechos más relevantes relacionados con su caso, los cuales son los siguientes:</w:t>
      </w:r>
    </w:p>
    <w:p w:rsidR="007B77D9" w:rsidRPr="002C0C73" w:rsidRDefault="007B77D9" w:rsidP="007B77D9">
      <w:pPr>
        <w:spacing w:before="100" w:beforeAutospacing="1" w:after="100" w:afterAutospacing="1" w:line="360" w:lineRule="auto"/>
        <w:jc w:val="both"/>
        <w:rPr>
          <w:rFonts w:cs="Arial"/>
          <w:b/>
          <w:bCs/>
          <w:sz w:val="24"/>
          <w:szCs w:val="24"/>
        </w:rPr>
      </w:pPr>
      <w:r w:rsidRPr="002C0C73">
        <w:rPr>
          <w:rFonts w:cs="Arial"/>
          <w:b/>
          <w:bCs/>
          <w:sz w:val="24"/>
          <w:szCs w:val="24"/>
        </w:rPr>
        <w:t>1. Intención de ser PPN.</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t xml:space="preserve">a. Notificación de intención. </w:t>
      </w:r>
      <w:r w:rsidRPr="002C0C73">
        <w:rPr>
          <w:rFonts w:cs="Arial"/>
          <w:sz w:val="24"/>
          <w:szCs w:val="24"/>
        </w:rPr>
        <w:t>El dieciocho de enero de dos mil diecinueve, GIN notificó al INE su intención de constituirse como PPN.</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lastRenderedPageBreak/>
        <w:t>b. Negativa.</w:t>
      </w:r>
      <w:r w:rsidRPr="002C0C73">
        <w:rPr>
          <w:rFonts w:cs="Arial"/>
          <w:sz w:val="24"/>
          <w:szCs w:val="24"/>
        </w:rPr>
        <w:t xml:space="preserve"> El siete de marzo de dos mil diecinueve, la DEPPP notificó a la GIN la improcedencia de su Intención. </w:t>
      </w:r>
    </w:p>
    <w:p w:rsidR="007B77D9" w:rsidRPr="002C0C73" w:rsidRDefault="007B77D9" w:rsidP="007B77D9">
      <w:pPr>
        <w:widowControl w:val="0"/>
        <w:spacing w:before="100" w:beforeAutospacing="1" w:after="100" w:afterAutospacing="1" w:line="360" w:lineRule="auto"/>
        <w:jc w:val="both"/>
        <w:rPr>
          <w:rFonts w:cs="Arial"/>
          <w:sz w:val="24"/>
          <w:szCs w:val="24"/>
        </w:rPr>
      </w:pPr>
      <w:r w:rsidRPr="002C0C73">
        <w:rPr>
          <w:rFonts w:cs="Arial"/>
          <w:b/>
          <w:bCs/>
          <w:sz w:val="24"/>
          <w:szCs w:val="24"/>
        </w:rPr>
        <w:t xml:space="preserve">c. Revocación de </w:t>
      </w:r>
      <w:r w:rsidR="00713CA1" w:rsidRPr="002C0C73">
        <w:rPr>
          <w:rFonts w:cs="Arial"/>
          <w:b/>
          <w:bCs/>
          <w:sz w:val="24"/>
          <w:szCs w:val="24"/>
        </w:rPr>
        <w:t xml:space="preserve">la </w:t>
      </w:r>
      <w:r w:rsidRPr="002C0C73">
        <w:rPr>
          <w:rFonts w:cs="Arial"/>
          <w:b/>
          <w:bCs/>
          <w:sz w:val="24"/>
          <w:szCs w:val="24"/>
        </w:rPr>
        <w:t>negativa.</w:t>
      </w:r>
      <w:r w:rsidRPr="002C0C73">
        <w:rPr>
          <w:rFonts w:cs="Arial"/>
          <w:sz w:val="24"/>
          <w:szCs w:val="24"/>
        </w:rPr>
        <w:t xml:space="preserve"> GIN impugnó esa negativa y, esta Sala Superior la revocó, para que la DEPPP emitiera una nueva determinación y determinar</w:t>
      </w:r>
      <w:r w:rsidR="00713CA1" w:rsidRPr="002C0C73">
        <w:rPr>
          <w:rFonts w:cs="Arial"/>
          <w:sz w:val="24"/>
          <w:szCs w:val="24"/>
        </w:rPr>
        <w:t>a</w:t>
      </w:r>
      <w:r w:rsidRPr="002C0C73">
        <w:rPr>
          <w:rFonts w:cs="Arial"/>
          <w:sz w:val="24"/>
          <w:szCs w:val="24"/>
        </w:rPr>
        <w:t xml:space="preserve"> si cumplía los requisitos para continuar en el procedimiento</w:t>
      </w:r>
      <w:r w:rsidRPr="002C0C73">
        <w:rPr>
          <w:rStyle w:val="Refdenotaalpie"/>
          <w:rFonts w:cs="Arial"/>
          <w:sz w:val="24"/>
          <w:szCs w:val="24"/>
        </w:rPr>
        <w:footnoteReference w:id="34"/>
      </w:r>
      <w:r w:rsidRPr="002C0C73">
        <w:rPr>
          <w:rFonts w:cs="Arial"/>
          <w:sz w:val="24"/>
          <w:szCs w:val="24"/>
        </w:rPr>
        <w:t>.</w:t>
      </w:r>
    </w:p>
    <w:p w:rsidR="007B77D9" w:rsidRPr="002C0C73" w:rsidRDefault="007B77D9" w:rsidP="007B77D9">
      <w:pPr>
        <w:widowControl w:val="0"/>
        <w:spacing w:before="100" w:beforeAutospacing="1" w:after="100" w:afterAutospacing="1" w:line="360" w:lineRule="auto"/>
        <w:jc w:val="both"/>
        <w:rPr>
          <w:rFonts w:cs="Arial"/>
          <w:sz w:val="24"/>
          <w:szCs w:val="24"/>
        </w:rPr>
      </w:pPr>
      <w:r w:rsidRPr="002C0C73">
        <w:rPr>
          <w:rFonts w:cs="Arial"/>
          <w:b/>
          <w:bCs/>
          <w:sz w:val="24"/>
          <w:szCs w:val="24"/>
        </w:rPr>
        <w:t>d. Procedencia.</w:t>
      </w:r>
      <w:r w:rsidRPr="002C0C73">
        <w:rPr>
          <w:rFonts w:cs="Arial"/>
          <w:sz w:val="24"/>
          <w:szCs w:val="24"/>
        </w:rPr>
        <w:t xml:space="preserve"> El veintinueve de abril, la DEPPP notificó a GIN la aceptación de su solicitud</w:t>
      </w:r>
      <w:r w:rsidRPr="002C0C73">
        <w:rPr>
          <w:rStyle w:val="Refdenotaalpie"/>
          <w:rFonts w:cs="Arial"/>
          <w:sz w:val="24"/>
          <w:szCs w:val="24"/>
        </w:rPr>
        <w:footnoteReference w:id="35"/>
      </w:r>
      <w:r w:rsidRPr="002C0C73">
        <w:rPr>
          <w:rFonts w:cs="Arial"/>
          <w:sz w:val="24"/>
          <w:szCs w:val="24"/>
        </w:rPr>
        <w:t>.</w:t>
      </w:r>
    </w:p>
    <w:p w:rsidR="007B77D9" w:rsidRPr="002C0C73" w:rsidRDefault="007B77D9" w:rsidP="007B77D9">
      <w:pPr>
        <w:widowControl w:val="0"/>
        <w:spacing w:before="100" w:beforeAutospacing="1" w:after="100" w:afterAutospacing="1" w:line="360" w:lineRule="auto"/>
        <w:jc w:val="both"/>
        <w:rPr>
          <w:rFonts w:cs="Arial"/>
          <w:sz w:val="24"/>
          <w:szCs w:val="24"/>
        </w:rPr>
      </w:pPr>
      <w:r w:rsidRPr="002C0C73">
        <w:rPr>
          <w:rFonts w:cs="Arial"/>
          <w:b/>
          <w:bCs/>
          <w:sz w:val="24"/>
          <w:szCs w:val="24"/>
        </w:rPr>
        <w:t xml:space="preserve">2. Modificación de los plazos. </w:t>
      </w:r>
      <w:r w:rsidRPr="002C0C73">
        <w:rPr>
          <w:rFonts w:cs="Arial"/>
          <w:sz w:val="24"/>
          <w:szCs w:val="24"/>
        </w:rPr>
        <w:t xml:space="preserve">El veinticinco de junio de dos mil diecinueve, el </w:t>
      </w:r>
      <w:r w:rsidR="003E41EC" w:rsidRPr="002C0C73">
        <w:rPr>
          <w:rFonts w:cs="Arial"/>
          <w:sz w:val="24"/>
          <w:szCs w:val="24"/>
        </w:rPr>
        <w:t xml:space="preserve">CG del INE </w:t>
      </w:r>
      <w:r w:rsidRPr="002C0C73">
        <w:rPr>
          <w:rFonts w:cs="Arial"/>
          <w:sz w:val="24"/>
          <w:szCs w:val="24"/>
        </w:rPr>
        <w:t xml:space="preserve">modificó los plazos y términos que deberán observar las organizaciones interesadas en </w:t>
      </w:r>
      <w:r w:rsidR="003E41EC" w:rsidRPr="002C0C73">
        <w:rPr>
          <w:rFonts w:cs="Arial"/>
          <w:sz w:val="24"/>
          <w:szCs w:val="24"/>
        </w:rPr>
        <w:t xml:space="preserve">ser </w:t>
      </w:r>
      <w:r w:rsidRPr="002C0C73">
        <w:rPr>
          <w:rFonts w:cs="Arial"/>
          <w:sz w:val="24"/>
          <w:szCs w:val="24"/>
        </w:rPr>
        <w:t>PPN, así como los Lineamientos para la operación de la Mesa de Control y la Garantía de Audiencia</w:t>
      </w:r>
      <w:r w:rsidRPr="002C0C73">
        <w:rPr>
          <w:rStyle w:val="Refdenotaalpie"/>
          <w:rFonts w:cs="Arial"/>
          <w:sz w:val="24"/>
          <w:szCs w:val="24"/>
        </w:rPr>
        <w:footnoteReference w:id="36"/>
      </w:r>
      <w:r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t xml:space="preserve">3. Compensación de plazos a </w:t>
      </w:r>
      <w:r w:rsidR="003E41EC" w:rsidRPr="002C0C73">
        <w:rPr>
          <w:rFonts w:cs="Arial"/>
          <w:b/>
          <w:bCs/>
          <w:sz w:val="24"/>
          <w:szCs w:val="24"/>
        </w:rPr>
        <w:t>GIN</w:t>
      </w:r>
      <w:r w:rsidRPr="002C0C73">
        <w:rPr>
          <w:rFonts w:cs="Arial"/>
          <w:b/>
          <w:bCs/>
          <w:sz w:val="24"/>
          <w:szCs w:val="24"/>
        </w:rPr>
        <w:t xml:space="preserve">. </w:t>
      </w:r>
      <w:r w:rsidRPr="002C0C73">
        <w:rPr>
          <w:rFonts w:cs="Arial"/>
          <w:sz w:val="24"/>
          <w:szCs w:val="24"/>
        </w:rPr>
        <w:t xml:space="preserve">En atención a una solicitud formulada por </w:t>
      </w:r>
      <w:r w:rsidR="003E41EC" w:rsidRPr="002C0C73">
        <w:rPr>
          <w:rFonts w:cs="Arial"/>
          <w:sz w:val="24"/>
          <w:szCs w:val="24"/>
        </w:rPr>
        <w:t>GIN</w:t>
      </w:r>
      <w:r w:rsidRPr="002C0C73">
        <w:rPr>
          <w:rFonts w:cs="Arial"/>
          <w:sz w:val="24"/>
          <w:szCs w:val="24"/>
        </w:rPr>
        <w:t xml:space="preserve">, el catorce de agosto de dos mil diecinueve, el </w:t>
      </w:r>
      <w:r w:rsidR="003E41EC" w:rsidRPr="002C0C73">
        <w:rPr>
          <w:rFonts w:cs="Arial"/>
          <w:sz w:val="24"/>
          <w:szCs w:val="24"/>
        </w:rPr>
        <w:t xml:space="preserve">CG del INE </w:t>
      </w:r>
      <w:r w:rsidRPr="002C0C73">
        <w:rPr>
          <w:rFonts w:cs="Arial"/>
          <w:sz w:val="24"/>
          <w:szCs w:val="24"/>
        </w:rPr>
        <w:t xml:space="preserve">acordó </w:t>
      </w:r>
      <w:bookmarkStart w:id="26" w:name="_Hlk42793392"/>
      <w:r w:rsidRPr="002C0C73">
        <w:rPr>
          <w:rFonts w:cs="Arial"/>
          <w:sz w:val="24"/>
          <w:szCs w:val="24"/>
        </w:rPr>
        <w:t xml:space="preserve">reponer a esa organización </w:t>
      </w:r>
      <w:r w:rsidR="003E41EC" w:rsidRPr="002C0C73">
        <w:rPr>
          <w:rFonts w:cs="Arial"/>
          <w:sz w:val="24"/>
          <w:szCs w:val="24"/>
        </w:rPr>
        <w:t xml:space="preserve">cincuenta y cuatro </w:t>
      </w:r>
      <w:r w:rsidRPr="002C0C73">
        <w:rPr>
          <w:rFonts w:cs="Arial"/>
          <w:sz w:val="24"/>
          <w:szCs w:val="24"/>
        </w:rPr>
        <w:t>días naturales de los plazos</w:t>
      </w:r>
      <w:bookmarkEnd w:id="26"/>
      <w:r w:rsidRPr="002C0C73">
        <w:rPr>
          <w:rStyle w:val="Refdenotaalpie"/>
          <w:rFonts w:cs="Arial"/>
          <w:sz w:val="24"/>
          <w:szCs w:val="24"/>
        </w:rPr>
        <w:footnoteReference w:id="37"/>
      </w:r>
      <w:r w:rsidRPr="002C0C73">
        <w:rPr>
          <w:rFonts w:cs="Arial"/>
          <w:sz w:val="24"/>
          <w:szCs w:val="24"/>
        </w:rPr>
        <w:t>, para quedar de la siguiente manera:</w:t>
      </w:r>
    </w:p>
    <w:tbl>
      <w:tblPr>
        <w:tblStyle w:val="Tablaconcuadrcula"/>
        <w:tblW w:w="0" w:type="auto"/>
        <w:tblLook w:val="04A0" w:firstRow="1" w:lastRow="0" w:firstColumn="1" w:lastColumn="0" w:noHBand="0" w:noVBand="1"/>
      </w:tblPr>
      <w:tblGrid>
        <w:gridCol w:w="4390"/>
        <w:gridCol w:w="3870"/>
      </w:tblGrid>
      <w:tr w:rsidR="007B77D9" w:rsidRPr="002C0C73" w:rsidTr="00974A5C">
        <w:trPr>
          <w:trHeight w:val="393"/>
          <w:tblHeader/>
        </w:trPr>
        <w:tc>
          <w:tcPr>
            <w:tcW w:w="4390" w:type="dxa"/>
            <w:shd w:val="clear" w:color="auto" w:fill="BFBFBF" w:themeFill="background1" w:themeFillShade="BF"/>
            <w:vAlign w:val="center"/>
          </w:tcPr>
          <w:p w:rsidR="007B77D9" w:rsidRPr="002C0C73" w:rsidRDefault="007B77D9" w:rsidP="00974A5C">
            <w:pPr>
              <w:jc w:val="center"/>
              <w:rPr>
                <w:rFonts w:cs="Arial"/>
                <w:b/>
                <w:bCs/>
              </w:rPr>
            </w:pPr>
            <w:r w:rsidRPr="002C0C73">
              <w:rPr>
                <w:rFonts w:cs="Arial"/>
                <w:b/>
                <w:bCs/>
              </w:rPr>
              <w:t>Tema</w:t>
            </w:r>
          </w:p>
        </w:tc>
        <w:tc>
          <w:tcPr>
            <w:tcW w:w="3870" w:type="dxa"/>
            <w:shd w:val="clear" w:color="auto" w:fill="BFBFBF" w:themeFill="background1" w:themeFillShade="BF"/>
            <w:vAlign w:val="center"/>
          </w:tcPr>
          <w:p w:rsidR="007B77D9" w:rsidRPr="002C0C73" w:rsidRDefault="007B77D9" w:rsidP="00974A5C">
            <w:pPr>
              <w:jc w:val="center"/>
              <w:rPr>
                <w:rFonts w:cs="Arial"/>
                <w:b/>
                <w:bCs/>
              </w:rPr>
            </w:pPr>
            <w:r w:rsidRPr="002C0C73">
              <w:rPr>
                <w:rFonts w:cs="Arial"/>
                <w:b/>
                <w:bCs/>
              </w:rPr>
              <w:t xml:space="preserve">Plazo para </w:t>
            </w:r>
            <w:r w:rsidR="00DB7DAA" w:rsidRPr="002C0C73">
              <w:rPr>
                <w:rFonts w:cs="Arial"/>
                <w:b/>
                <w:bCs/>
              </w:rPr>
              <w:t>GIN</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Fecha límite para presentación de agenda de celebración de asambleas.</w:t>
            </w:r>
          </w:p>
        </w:tc>
        <w:tc>
          <w:tcPr>
            <w:tcW w:w="3870" w:type="dxa"/>
            <w:vAlign w:val="center"/>
          </w:tcPr>
          <w:p w:rsidR="007B77D9" w:rsidRPr="002C0C73" w:rsidRDefault="007B77D9" w:rsidP="00974A5C">
            <w:pPr>
              <w:jc w:val="both"/>
              <w:rPr>
                <w:rFonts w:cs="Arial"/>
              </w:rPr>
            </w:pPr>
            <w:r w:rsidRPr="002C0C73">
              <w:rPr>
                <w:rFonts w:cs="Arial"/>
              </w:rPr>
              <w:t>9 de marzo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Salvedad para revisión en mesa de control (DEPPP contará con 20 días adicionales).</w:t>
            </w:r>
          </w:p>
        </w:tc>
        <w:tc>
          <w:tcPr>
            <w:tcW w:w="3870" w:type="dxa"/>
            <w:vAlign w:val="center"/>
          </w:tcPr>
          <w:p w:rsidR="007B77D9" w:rsidRPr="002C0C73" w:rsidRDefault="007B77D9" w:rsidP="00974A5C">
            <w:pPr>
              <w:jc w:val="both"/>
              <w:rPr>
                <w:rFonts w:cs="Arial"/>
              </w:rPr>
            </w:pPr>
            <w:r w:rsidRPr="002C0C73">
              <w:rPr>
                <w:rFonts w:cs="Arial"/>
              </w:rPr>
              <w:t>Registros recibidos entre el 13 y el 22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Corte del padrón electoral con el que se verificará el estatus registral.</w:t>
            </w:r>
          </w:p>
        </w:tc>
        <w:tc>
          <w:tcPr>
            <w:tcW w:w="3870" w:type="dxa"/>
            <w:vAlign w:val="center"/>
          </w:tcPr>
          <w:p w:rsidR="007B77D9" w:rsidRPr="002C0C73" w:rsidRDefault="007B77D9" w:rsidP="00974A5C">
            <w:pPr>
              <w:jc w:val="both"/>
              <w:rPr>
                <w:rFonts w:cs="Arial"/>
              </w:rPr>
            </w:pPr>
            <w:r w:rsidRPr="002C0C73">
              <w:rPr>
                <w:rFonts w:cs="Arial"/>
              </w:rPr>
              <w:t>22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Corte de los padrones de afiliados de los partidos políticos con el que se realizará el cruce de los afiliados en el resto del país.</w:t>
            </w:r>
          </w:p>
        </w:tc>
        <w:tc>
          <w:tcPr>
            <w:tcW w:w="3870" w:type="dxa"/>
            <w:vAlign w:val="center"/>
          </w:tcPr>
          <w:p w:rsidR="007B77D9" w:rsidRPr="002C0C73" w:rsidRDefault="007B77D9" w:rsidP="00974A5C">
            <w:pPr>
              <w:jc w:val="both"/>
              <w:rPr>
                <w:rFonts w:cs="Arial"/>
              </w:rPr>
            </w:pPr>
            <w:r w:rsidRPr="002C0C73">
              <w:rPr>
                <w:rFonts w:cs="Arial"/>
              </w:rPr>
              <w:t>22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Fecha límite para solicitar garantía de audiencia sobre afiliaciones no contabilizadas.</w:t>
            </w:r>
          </w:p>
        </w:tc>
        <w:tc>
          <w:tcPr>
            <w:tcW w:w="3870" w:type="dxa"/>
            <w:vAlign w:val="center"/>
          </w:tcPr>
          <w:p w:rsidR="007B77D9" w:rsidRPr="002C0C73" w:rsidRDefault="007B77D9" w:rsidP="00974A5C">
            <w:pPr>
              <w:jc w:val="both"/>
              <w:rPr>
                <w:rFonts w:cs="Arial"/>
              </w:rPr>
            </w:pPr>
            <w:r w:rsidRPr="002C0C73">
              <w:rPr>
                <w:rFonts w:cs="Arial"/>
              </w:rPr>
              <w:t>8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Fecha límite para la celebración de la asamblea nacional constitutiva.</w:t>
            </w:r>
          </w:p>
        </w:tc>
        <w:tc>
          <w:tcPr>
            <w:tcW w:w="3870" w:type="dxa"/>
            <w:vAlign w:val="center"/>
          </w:tcPr>
          <w:p w:rsidR="007B77D9" w:rsidRPr="002C0C73" w:rsidRDefault="007B77D9" w:rsidP="00974A5C">
            <w:pPr>
              <w:jc w:val="both"/>
              <w:rPr>
                <w:rFonts w:cs="Arial"/>
              </w:rPr>
            </w:pPr>
            <w:r w:rsidRPr="002C0C73">
              <w:rPr>
                <w:rFonts w:cs="Arial"/>
              </w:rPr>
              <w:t>20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Fecha límite para presentación de solicitud de registro como Partido Político Nacional.</w:t>
            </w:r>
          </w:p>
        </w:tc>
        <w:tc>
          <w:tcPr>
            <w:tcW w:w="3870" w:type="dxa"/>
            <w:vAlign w:val="center"/>
          </w:tcPr>
          <w:p w:rsidR="007B77D9" w:rsidRPr="002C0C73" w:rsidRDefault="007B77D9" w:rsidP="00974A5C">
            <w:pPr>
              <w:jc w:val="both"/>
              <w:rPr>
                <w:rFonts w:cs="Arial"/>
              </w:rPr>
            </w:pPr>
            <w:r w:rsidRPr="002C0C73">
              <w:rPr>
                <w:rFonts w:cs="Arial"/>
              </w:rPr>
              <w:t>22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Fecha límite en que, si no es presentada la solicitud de registro, se tiene por no presentada la notificación de intención.</w:t>
            </w:r>
          </w:p>
        </w:tc>
        <w:tc>
          <w:tcPr>
            <w:tcW w:w="3870" w:type="dxa"/>
            <w:vAlign w:val="center"/>
          </w:tcPr>
          <w:p w:rsidR="007B77D9" w:rsidRPr="002C0C73" w:rsidRDefault="007B77D9" w:rsidP="00974A5C">
            <w:pPr>
              <w:jc w:val="both"/>
              <w:rPr>
                <w:rFonts w:cs="Arial"/>
              </w:rPr>
            </w:pPr>
            <w:r w:rsidRPr="002C0C73">
              <w:rPr>
                <w:rFonts w:cs="Arial"/>
              </w:rPr>
              <w:t>22 de abril de 2020.</w:t>
            </w:r>
          </w:p>
        </w:tc>
      </w:tr>
      <w:tr w:rsidR="007B77D9" w:rsidRPr="002C0C73" w:rsidTr="00974A5C">
        <w:tc>
          <w:tcPr>
            <w:tcW w:w="4390" w:type="dxa"/>
            <w:vAlign w:val="center"/>
          </w:tcPr>
          <w:p w:rsidR="007B77D9" w:rsidRPr="002C0C73" w:rsidRDefault="007B77D9" w:rsidP="00974A5C">
            <w:pPr>
              <w:jc w:val="both"/>
              <w:rPr>
                <w:rFonts w:cs="Arial"/>
              </w:rPr>
            </w:pPr>
            <w:r w:rsidRPr="002C0C73">
              <w:rPr>
                <w:rFonts w:cs="Arial"/>
              </w:rPr>
              <w:t>Plazo para presentación de manifestaciones formales de afiliación mediante régimen de excepción.</w:t>
            </w:r>
          </w:p>
        </w:tc>
        <w:tc>
          <w:tcPr>
            <w:tcW w:w="3870" w:type="dxa"/>
            <w:vAlign w:val="center"/>
          </w:tcPr>
          <w:p w:rsidR="007B77D9" w:rsidRPr="002C0C73" w:rsidRDefault="007B77D9" w:rsidP="00974A5C">
            <w:pPr>
              <w:jc w:val="both"/>
              <w:rPr>
                <w:rFonts w:cs="Arial"/>
              </w:rPr>
            </w:pPr>
            <w:r w:rsidRPr="002C0C73">
              <w:rPr>
                <w:rFonts w:cs="Arial"/>
              </w:rPr>
              <w:t>8 de enero al 22 de abril de 2020.</w:t>
            </w:r>
          </w:p>
        </w:tc>
      </w:tr>
    </w:tbl>
    <w:p w:rsidR="007B77D9" w:rsidRPr="002C0C73" w:rsidRDefault="007B77D9" w:rsidP="007B77D9">
      <w:pPr>
        <w:spacing w:before="100" w:beforeAutospacing="1" w:after="100" w:afterAutospacing="1" w:line="360" w:lineRule="auto"/>
        <w:jc w:val="both"/>
        <w:rPr>
          <w:rFonts w:cs="Arial"/>
          <w:b/>
          <w:bCs/>
          <w:sz w:val="24"/>
          <w:szCs w:val="24"/>
        </w:rPr>
      </w:pPr>
      <w:r w:rsidRPr="002C0C73">
        <w:rPr>
          <w:rFonts w:cs="Arial"/>
          <w:b/>
          <w:bCs/>
          <w:sz w:val="24"/>
          <w:szCs w:val="24"/>
        </w:rPr>
        <w:lastRenderedPageBreak/>
        <w:t xml:space="preserve">4. Suspensión del </w:t>
      </w:r>
      <w:r w:rsidR="003E41EC" w:rsidRPr="002C0C73">
        <w:rPr>
          <w:rFonts w:cs="Arial"/>
          <w:b/>
          <w:bCs/>
          <w:sz w:val="24"/>
          <w:szCs w:val="24"/>
        </w:rPr>
        <w:t>procedimiento para GIN</w:t>
      </w:r>
      <w:r w:rsidRPr="002C0C73">
        <w:rPr>
          <w:rFonts w:cs="Arial"/>
          <w:b/>
          <w:bCs/>
          <w:sz w:val="24"/>
          <w:szCs w:val="24"/>
        </w:rPr>
        <w:t>, derivada de la pandemia.</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t>a</w:t>
      </w:r>
      <w:r w:rsidR="003E41EC" w:rsidRPr="002C0C73">
        <w:rPr>
          <w:rFonts w:cs="Arial"/>
          <w:b/>
          <w:bCs/>
          <w:sz w:val="24"/>
          <w:szCs w:val="24"/>
        </w:rPr>
        <w:t>.</w:t>
      </w:r>
      <w:r w:rsidRPr="002C0C73">
        <w:rPr>
          <w:rFonts w:cs="Arial"/>
          <w:b/>
          <w:bCs/>
          <w:sz w:val="24"/>
          <w:szCs w:val="24"/>
        </w:rPr>
        <w:t xml:space="preserve"> Solicitud. </w:t>
      </w:r>
      <w:r w:rsidRPr="002C0C73">
        <w:rPr>
          <w:rFonts w:cs="Arial"/>
          <w:sz w:val="24"/>
          <w:szCs w:val="24"/>
        </w:rPr>
        <w:t xml:space="preserve">El trece de marzo, </w:t>
      </w:r>
      <w:r w:rsidR="003E41EC" w:rsidRPr="002C0C73">
        <w:rPr>
          <w:rFonts w:cs="Arial"/>
          <w:sz w:val="24"/>
          <w:szCs w:val="24"/>
        </w:rPr>
        <w:t xml:space="preserve">GIN </w:t>
      </w:r>
      <w:r w:rsidRPr="002C0C73">
        <w:rPr>
          <w:rFonts w:cs="Arial"/>
          <w:sz w:val="24"/>
          <w:szCs w:val="24"/>
        </w:rPr>
        <w:t xml:space="preserve">solicitó al INE </w:t>
      </w:r>
      <w:r w:rsidR="003E41EC" w:rsidRPr="002C0C73">
        <w:rPr>
          <w:rFonts w:cs="Arial"/>
          <w:sz w:val="24"/>
          <w:szCs w:val="24"/>
        </w:rPr>
        <w:t xml:space="preserve">un pronunciamiento sobre si </w:t>
      </w:r>
      <w:r w:rsidRPr="002C0C73">
        <w:rPr>
          <w:rFonts w:cs="Arial"/>
          <w:sz w:val="24"/>
          <w:szCs w:val="24"/>
        </w:rPr>
        <w:t xml:space="preserve">la declaración de la </w:t>
      </w:r>
      <w:r w:rsidR="003E41EC" w:rsidRPr="002C0C73">
        <w:rPr>
          <w:rFonts w:cs="Arial"/>
          <w:sz w:val="24"/>
          <w:szCs w:val="24"/>
        </w:rPr>
        <w:t xml:space="preserve">OMS </w:t>
      </w:r>
      <w:r w:rsidRPr="002C0C73">
        <w:rPr>
          <w:rFonts w:cs="Arial"/>
          <w:sz w:val="24"/>
          <w:szCs w:val="24"/>
        </w:rPr>
        <w:t xml:space="preserve">de pandemia por el virus SARS-CoV2 (COVID 19), </w:t>
      </w:r>
      <w:r w:rsidR="003E41EC" w:rsidRPr="002C0C73">
        <w:rPr>
          <w:rFonts w:cs="Arial"/>
          <w:sz w:val="24"/>
          <w:szCs w:val="24"/>
        </w:rPr>
        <w:t xml:space="preserve">le permitía </w:t>
      </w:r>
      <w:r w:rsidRPr="002C0C73">
        <w:rPr>
          <w:rFonts w:cs="Arial"/>
          <w:sz w:val="24"/>
          <w:szCs w:val="24"/>
        </w:rPr>
        <w:t>celebrar las asambleas estatales, ya que su realización implicaría la concentración en personas en eventos masivos.</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t>b</w:t>
      </w:r>
      <w:r w:rsidR="003E41EC" w:rsidRPr="002C0C73">
        <w:rPr>
          <w:rFonts w:cs="Arial"/>
          <w:b/>
          <w:bCs/>
          <w:sz w:val="24"/>
          <w:szCs w:val="24"/>
        </w:rPr>
        <w:t xml:space="preserve">. </w:t>
      </w:r>
      <w:r w:rsidRPr="002C0C73">
        <w:rPr>
          <w:rFonts w:cs="Arial"/>
          <w:b/>
          <w:bCs/>
          <w:sz w:val="24"/>
          <w:szCs w:val="24"/>
        </w:rPr>
        <w:t>Suspensión.</w:t>
      </w:r>
      <w:r w:rsidRPr="002C0C73">
        <w:rPr>
          <w:rFonts w:cs="Arial"/>
          <w:sz w:val="24"/>
          <w:szCs w:val="24"/>
        </w:rPr>
        <w:t xml:space="preserve"> El veintisiete de marzo, el </w:t>
      </w:r>
      <w:r w:rsidR="003E41EC" w:rsidRPr="002C0C73">
        <w:rPr>
          <w:rFonts w:cs="Arial"/>
          <w:sz w:val="24"/>
          <w:szCs w:val="24"/>
        </w:rPr>
        <w:t xml:space="preserve">CG del INE </w:t>
      </w:r>
      <w:r w:rsidRPr="002C0C73">
        <w:rPr>
          <w:rFonts w:cs="Arial"/>
          <w:sz w:val="24"/>
          <w:szCs w:val="24"/>
        </w:rPr>
        <w:t xml:space="preserve">acordó suspender el </w:t>
      </w:r>
      <w:r w:rsidR="003E41EC" w:rsidRPr="002C0C73">
        <w:rPr>
          <w:rFonts w:cs="Arial"/>
          <w:sz w:val="24"/>
          <w:szCs w:val="24"/>
        </w:rPr>
        <w:t>procedimiento para GIN</w:t>
      </w:r>
      <w:r w:rsidRPr="002C0C73">
        <w:rPr>
          <w:rFonts w:cs="Arial"/>
          <w:sz w:val="24"/>
          <w:szCs w:val="24"/>
        </w:rPr>
        <w:t xml:space="preserve">, hasta que existan las condiciones sanitarias para reprogramar las asambleas estatales, </w:t>
      </w:r>
      <w:r w:rsidR="003E41EC" w:rsidRPr="002C0C73">
        <w:rPr>
          <w:rFonts w:cs="Arial"/>
          <w:sz w:val="24"/>
          <w:szCs w:val="24"/>
        </w:rPr>
        <w:t xml:space="preserve">ello </w:t>
      </w:r>
      <w:r w:rsidRPr="002C0C73">
        <w:rPr>
          <w:rFonts w:cs="Arial"/>
          <w:sz w:val="24"/>
          <w:szCs w:val="24"/>
        </w:rPr>
        <w:t>implic</w:t>
      </w:r>
      <w:r w:rsidR="003E41EC" w:rsidRPr="002C0C73">
        <w:rPr>
          <w:rFonts w:cs="Arial"/>
          <w:sz w:val="24"/>
          <w:szCs w:val="24"/>
        </w:rPr>
        <w:t>ó</w:t>
      </w:r>
      <w:r w:rsidRPr="002C0C73">
        <w:rPr>
          <w:rFonts w:cs="Arial"/>
          <w:sz w:val="24"/>
          <w:szCs w:val="24"/>
        </w:rPr>
        <w:t xml:space="preserve"> </w:t>
      </w:r>
      <w:r w:rsidR="003E41EC" w:rsidRPr="002C0C73">
        <w:rPr>
          <w:rFonts w:cs="Arial"/>
          <w:sz w:val="24"/>
          <w:szCs w:val="24"/>
        </w:rPr>
        <w:t xml:space="preserve">detener </w:t>
      </w:r>
      <w:bookmarkStart w:id="27" w:name="_Hlk42795521"/>
      <w:r w:rsidR="003E41EC" w:rsidRPr="002C0C73">
        <w:rPr>
          <w:rFonts w:cs="Arial"/>
          <w:sz w:val="24"/>
          <w:szCs w:val="24"/>
        </w:rPr>
        <w:t xml:space="preserve">las </w:t>
      </w:r>
      <w:r w:rsidRPr="002C0C73">
        <w:rPr>
          <w:rFonts w:cs="Arial"/>
          <w:sz w:val="24"/>
          <w:szCs w:val="24"/>
        </w:rPr>
        <w:t>afiliaciones a través de la aplicación móvil y en el régimen de excepción.</w:t>
      </w:r>
    </w:p>
    <w:bookmarkEnd w:id="27"/>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t>5. Suspensión de plazos por la pandemia.</w:t>
      </w:r>
      <w:r w:rsidRPr="002C0C73">
        <w:rPr>
          <w:rFonts w:cs="Arial"/>
          <w:sz w:val="24"/>
          <w:szCs w:val="24"/>
        </w:rPr>
        <w:t xml:space="preserve"> El veintisiete de marzo, el </w:t>
      </w:r>
      <w:r w:rsidR="003E41EC" w:rsidRPr="002C0C73">
        <w:rPr>
          <w:rFonts w:cs="Arial"/>
          <w:sz w:val="24"/>
          <w:szCs w:val="24"/>
        </w:rPr>
        <w:t xml:space="preserve">CG del INE también determinó, </w:t>
      </w:r>
      <w:r w:rsidRPr="002C0C73">
        <w:rPr>
          <w:rFonts w:cs="Arial"/>
          <w:sz w:val="24"/>
          <w:szCs w:val="24"/>
        </w:rPr>
        <w:t>como medida extraordinaria</w:t>
      </w:r>
      <w:r w:rsidR="003E41EC" w:rsidRPr="002C0C73">
        <w:rPr>
          <w:rFonts w:cs="Arial"/>
          <w:sz w:val="24"/>
          <w:szCs w:val="24"/>
        </w:rPr>
        <w:t>,</w:t>
      </w:r>
      <w:r w:rsidRPr="002C0C73">
        <w:rPr>
          <w:rFonts w:cs="Arial"/>
          <w:sz w:val="24"/>
          <w:szCs w:val="24"/>
        </w:rPr>
        <w:t xml:space="preserve"> la suspensión de plazos inherentes a las actividades de la función electoral, con motivo de la contingencia sanitaria, entre ellas la constitución de nuevos PPN</w:t>
      </w:r>
      <w:r w:rsidR="003E41EC" w:rsidRPr="002C0C73">
        <w:rPr>
          <w:rFonts w:cs="Arial"/>
          <w:sz w:val="24"/>
          <w:szCs w:val="24"/>
        </w:rPr>
        <w:t>.</w:t>
      </w:r>
      <w:r w:rsidRPr="002C0C73">
        <w:rPr>
          <w:rStyle w:val="Refdenotaalpie"/>
          <w:rFonts w:cs="Arial"/>
          <w:sz w:val="24"/>
          <w:szCs w:val="24"/>
        </w:rPr>
        <w:footnoteReference w:id="38"/>
      </w:r>
    </w:p>
    <w:p w:rsidR="007B77D9" w:rsidRPr="002C0C73" w:rsidRDefault="007B77D9" w:rsidP="007B77D9">
      <w:pPr>
        <w:pStyle w:val="Normalsentencia"/>
        <w:spacing w:before="100" w:beforeAutospacing="1" w:after="100" w:afterAutospacing="1"/>
        <w:ind w:firstLine="0"/>
        <w:rPr>
          <w:rFonts w:ascii="Arial" w:hAnsi="Arial"/>
          <w:sz w:val="24"/>
          <w:szCs w:val="24"/>
          <w:lang w:val="es-MX"/>
        </w:rPr>
      </w:pPr>
      <w:r w:rsidRPr="002C0C73">
        <w:rPr>
          <w:rFonts w:ascii="Arial" w:hAnsi="Arial"/>
          <w:b/>
          <w:bCs/>
          <w:sz w:val="24"/>
          <w:szCs w:val="24"/>
        </w:rPr>
        <w:t>6. Acuerdo impugnado.</w:t>
      </w:r>
      <w:r w:rsidRPr="002C0C73">
        <w:rPr>
          <w:rFonts w:ascii="Arial" w:hAnsi="Arial"/>
          <w:sz w:val="24"/>
          <w:szCs w:val="24"/>
        </w:rPr>
        <w:t xml:space="preserve"> El veintiocho de </w:t>
      </w:r>
      <w:r w:rsidR="006E7F6F" w:rsidRPr="002C0C73">
        <w:rPr>
          <w:rFonts w:ascii="Arial" w:hAnsi="Arial"/>
          <w:sz w:val="24"/>
          <w:szCs w:val="24"/>
        </w:rPr>
        <w:t>mayo</w:t>
      </w:r>
      <w:r w:rsidRPr="002C0C73">
        <w:rPr>
          <w:rFonts w:ascii="Arial" w:hAnsi="Arial"/>
          <w:sz w:val="24"/>
          <w:szCs w:val="24"/>
        </w:rPr>
        <w:t xml:space="preserve">, el </w:t>
      </w:r>
      <w:r w:rsidR="003E41EC" w:rsidRPr="002C0C73">
        <w:rPr>
          <w:rFonts w:ascii="Arial" w:hAnsi="Arial"/>
          <w:sz w:val="24"/>
          <w:szCs w:val="24"/>
        </w:rPr>
        <w:t xml:space="preserve">CG del INE </w:t>
      </w:r>
      <w:r w:rsidRPr="002C0C73">
        <w:rPr>
          <w:rFonts w:ascii="Arial" w:hAnsi="Arial"/>
          <w:sz w:val="24"/>
          <w:szCs w:val="24"/>
        </w:rPr>
        <w:t xml:space="preserve">aprobó </w:t>
      </w:r>
      <w:r w:rsidRPr="002C0C73">
        <w:rPr>
          <w:rFonts w:ascii="Arial" w:hAnsi="Arial"/>
          <w:sz w:val="24"/>
          <w:szCs w:val="24"/>
          <w:lang w:val="es-MX"/>
        </w:rPr>
        <w:t xml:space="preserve">la reanudación de actividades inherentes a los </w:t>
      </w:r>
      <w:r w:rsidR="003E41EC" w:rsidRPr="002C0C73">
        <w:rPr>
          <w:rFonts w:ascii="Arial" w:hAnsi="Arial"/>
          <w:sz w:val="24"/>
          <w:szCs w:val="24"/>
          <w:lang w:val="es-MX"/>
        </w:rPr>
        <w:t>procedimientos para ser PPN</w:t>
      </w:r>
      <w:r w:rsidRPr="002C0C73">
        <w:rPr>
          <w:rFonts w:ascii="Arial" w:hAnsi="Arial"/>
          <w:sz w:val="24"/>
          <w:szCs w:val="24"/>
          <w:lang w:val="es-MX"/>
        </w:rPr>
        <w:t>,</w:t>
      </w:r>
      <w:r w:rsidR="003E41EC" w:rsidRPr="002C0C73">
        <w:rPr>
          <w:rFonts w:ascii="Arial" w:hAnsi="Arial"/>
          <w:sz w:val="24"/>
          <w:szCs w:val="24"/>
          <w:lang w:val="es-MX"/>
        </w:rPr>
        <w:t xml:space="preserve"> y precisó</w:t>
      </w:r>
      <w:r w:rsidRPr="002C0C73">
        <w:rPr>
          <w:rFonts w:ascii="Arial" w:hAnsi="Arial"/>
          <w:sz w:val="24"/>
          <w:szCs w:val="24"/>
          <w:lang w:val="es-MX"/>
        </w:rPr>
        <w:t xml:space="preserve"> que, a más tardar el treinta y uno de agosto, emitir</w:t>
      </w:r>
      <w:r w:rsidR="003E41EC" w:rsidRPr="002C0C73">
        <w:rPr>
          <w:rFonts w:ascii="Arial" w:hAnsi="Arial"/>
          <w:sz w:val="24"/>
          <w:szCs w:val="24"/>
          <w:lang w:val="es-MX"/>
        </w:rPr>
        <w:t>á</w:t>
      </w:r>
      <w:r w:rsidRPr="002C0C73">
        <w:rPr>
          <w:rFonts w:ascii="Arial" w:hAnsi="Arial"/>
          <w:sz w:val="24"/>
          <w:szCs w:val="24"/>
          <w:lang w:val="es-MX"/>
        </w:rPr>
        <w:t xml:space="preserve"> la resolución.</w:t>
      </w:r>
    </w:p>
    <w:p w:rsidR="007B77D9" w:rsidRPr="002C0C73" w:rsidRDefault="007B77D9" w:rsidP="007B77D9">
      <w:pPr>
        <w:pStyle w:val="Normalsentencia"/>
        <w:spacing w:before="100" w:beforeAutospacing="1" w:after="100" w:afterAutospacing="1"/>
        <w:ind w:firstLine="0"/>
        <w:rPr>
          <w:rFonts w:ascii="Arial" w:hAnsi="Arial"/>
          <w:b/>
          <w:bCs/>
          <w:sz w:val="24"/>
          <w:szCs w:val="24"/>
        </w:rPr>
      </w:pPr>
      <w:r w:rsidRPr="002C0C73">
        <w:rPr>
          <w:rFonts w:ascii="Arial" w:hAnsi="Arial"/>
          <w:b/>
          <w:bCs/>
          <w:sz w:val="24"/>
          <w:szCs w:val="24"/>
        </w:rPr>
        <w:t>II. Planteamiento</w:t>
      </w:r>
      <w:r w:rsidR="003E41EC" w:rsidRPr="002C0C73">
        <w:rPr>
          <w:rFonts w:ascii="Arial" w:hAnsi="Arial"/>
          <w:b/>
          <w:bCs/>
          <w:sz w:val="24"/>
          <w:szCs w:val="24"/>
        </w:rPr>
        <w:t>s de GIN</w:t>
      </w:r>
      <w:r w:rsidRPr="002C0C73">
        <w:rPr>
          <w:rFonts w:ascii="Arial" w:hAnsi="Arial"/>
          <w:b/>
          <w:bCs/>
          <w:sz w:val="24"/>
          <w:szCs w:val="24"/>
        </w:rPr>
        <w:t xml:space="preserve"> </w:t>
      </w:r>
    </w:p>
    <w:p w:rsidR="007B77D9" w:rsidRPr="002C0C73" w:rsidRDefault="003E41EC" w:rsidP="007B77D9">
      <w:pPr>
        <w:spacing w:before="100" w:beforeAutospacing="1" w:after="100" w:afterAutospacing="1" w:line="360" w:lineRule="auto"/>
        <w:jc w:val="both"/>
        <w:rPr>
          <w:rFonts w:cs="Arial"/>
          <w:sz w:val="24"/>
          <w:szCs w:val="24"/>
        </w:rPr>
      </w:pPr>
      <w:r w:rsidRPr="002C0C73">
        <w:rPr>
          <w:rFonts w:cs="Arial"/>
          <w:sz w:val="24"/>
          <w:szCs w:val="24"/>
        </w:rPr>
        <w:t xml:space="preserve">GIN </w:t>
      </w:r>
      <w:r w:rsidR="00930BFD" w:rsidRPr="002C0C73">
        <w:rPr>
          <w:rFonts w:cs="Arial"/>
          <w:sz w:val="24"/>
          <w:szCs w:val="24"/>
        </w:rPr>
        <w:t xml:space="preserve">pretende su inclusión </w:t>
      </w:r>
      <w:r w:rsidR="007B77D9" w:rsidRPr="002C0C73">
        <w:rPr>
          <w:rFonts w:cs="Arial"/>
          <w:sz w:val="24"/>
          <w:szCs w:val="24"/>
        </w:rPr>
        <w:t xml:space="preserve">dentro de las organizaciones </w:t>
      </w:r>
      <w:r w:rsidR="00930BFD" w:rsidRPr="002C0C73">
        <w:rPr>
          <w:rFonts w:cs="Arial"/>
          <w:sz w:val="24"/>
          <w:szCs w:val="24"/>
        </w:rPr>
        <w:t xml:space="preserve">a las </w:t>
      </w:r>
      <w:r w:rsidR="007B77D9" w:rsidRPr="002C0C73">
        <w:rPr>
          <w:rFonts w:cs="Arial"/>
          <w:sz w:val="24"/>
          <w:szCs w:val="24"/>
        </w:rPr>
        <w:t xml:space="preserve">que se </w:t>
      </w:r>
      <w:r w:rsidR="00930BFD" w:rsidRPr="002C0C73">
        <w:rPr>
          <w:rFonts w:cs="Arial"/>
          <w:sz w:val="24"/>
          <w:szCs w:val="24"/>
        </w:rPr>
        <w:t xml:space="preserve">le </w:t>
      </w:r>
      <w:r w:rsidR="007B77D9" w:rsidRPr="002C0C73">
        <w:rPr>
          <w:rFonts w:cs="Arial"/>
          <w:sz w:val="24"/>
          <w:szCs w:val="24"/>
        </w:rPr>
        <w:t xml:space="preserve">reanudarán algunas actividades dentro del </w:t>
      </w:r>
      <w:r w:rsidR="00930BFD" w:rsidRPr="002C0C73">
        <w:rPr>
          <w:rFonts w:cs="Arial"/>
          <w:sz w:val="24"/>
          <w:szCs w:val="24"/>
        </w:rPr>
        <w:t>procedimiento para ser PPN</w:t>
      </w:r>
      <w:r w:rsidR="007B77D9" w:rsidRPr="002C0C73">
        <w:rPr>
          <w:rFonts w:cs="Arial"/>
          <w:sz w:val="24"/>
          <w:szCs w:val="24"/>
        </w:rPr>
        <w:t>, las cuales habían sido suspendidas con motivo de la contingencia sanitaria.</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En ese sentido, señala que se violan los principios de igualdad y no discriminación, porque el acuerdo impugnado permite </w:t>
      </w:r>
      <w:r w:rsidR="008A28F0" w:rsidRPr="002C0C73">
        <w:rPr>
          <w:rFonts w:cs="Arial"/>
          <w:sz w:val="24"/>
          <w:szCs w:val="24"/>
        </w:rPr>
        <w:t xml:space="preserve">a </w:t>
      </w:r>
      <w:r w:rsidRPr="002C0C73">
        <w:rPr>
          <w:rFonts w:cs="Arial"/>
          <w:sz w:val="24"/>
          <w:szCs w:val="24"/>
        </w:rPr>
        <w:t xml:space="preserve">otras siete organizaciones </w:t>
      </w:r>
      <w:r w:rsidR="008A28F0" w:rsidRPr="002C0C73">
        <w:rPr>
          <w:rFonts w:cs="Arial"/>
          <w:sz w:val="24"/>
          <w:szCs w:val="24"/>
        </w:rPr>
        <w:t>continuar con el procedimiento</w:t>
      </w:r>
      <w:r w:rsidRPr="002C0C73">
        <w:rPr>
          <w:rFonts w:cs="Arial"/>
          <w:sz w:val="24"/>
          <w:szCs w:val="24"/>
        </w:rPr>
        <w:t xml:space="preserve">, </w:t>
      </w:r>
      <w:r w:rsidR="00CA3379" w:rsidRPr="002C0C73">
        <w:rPr>
          <w:rFonts w:cs="Arial"/>
          <w:sz w:val="24"/>
          <w:szCs w:val="24"/>
        </w:rPr>
        <w:t>pero a ella se le excluye</w:t>
      </w:r>
      <w:r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b/>
          <w:bCs/>
          <w:sz w:val="24"/>
          <w:szCs w:val="24"/>
        </w:rPr>
      </w:pPr>
      <w:r w:rsidRPr="002C0C73">
        <w:rPr>
          <w:rFonts w:cs="Arial"/>
          <w:b/>
          <w:bCs/>
          <w:sz w:val="24"/>
          <w:szCs w:val="24"/>
        </w:rPr>
        <w:t xml:space="preserve">III. </w:t>
      </w:r>
      <w:r w:rsidR="00154CF6" w:rsidRPr="002C0C73">
        <w:rPr>
          <w:rFonts w:cs="Arial"/>
          <w:b/>
          <w:bCs/>
          <w:sz w:val="24"/>
          <w:szCs w:val="24"/>
        </w:rPr>
        <w:t>Tesis</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b/>
          <w:bCs/>
          <w:sz w:val="24"/>
          <w:szCs w:val="24"/>
        </w:rPr>
        <w:t>No le asiste razón</w:t>
      </w:r>
      <w:r w:rsidRPr="002C0C73">
        <w:rPr>
          <w:rFonts w:cs="Arial"/>
          <w:sz w:val="24"/>
          <w:szCs w:val="24"/>
        </w:rPr>
        <w:t xml:space="preserve">, porque </w:t>
      </w:r>
      <w:bookmarkStart w:id="28" w:name="_Hlk42773133"/>
      <w:r w:rsidRPr="002C0C73">
        <w:rPr>
          <w:rFonts w:cs="Arial"/>
          <w:sz w:val="24"/>
          <w:szCs w:val="24"/>
        </w:rPr>
        <w:t xml:space="preserve">el acto impugnado no viola el principio de igualdad y no discriminación en perjuicio de </w:t>
      </w:r>
      <w:r w:rsidR="00CA3379" w:rsidRPr="002C0C73">
        <w:rPr>
          <w:rFonts w:cs="Arial"/>
          <w:sz w:val="24"/>
          <w:szCs w:val="24"/>
        </w:rPr>
        <w:t xml:space="preserve">GIN </w:t>
      </w:r>
      <w:r w:rsidRPr="002C0C73">
        <w:rPr>
          <w:rFonts w:cs="Arial"/>
          <w:sz w:val="24"/>
          <w:szCs w:val="24"/>
        </w:rPr>
        <w:t>y no se causa un</w:t>
      </w:r>
      <w:r w:rsidR="00C746F7" w:rsidRPr="002C0C73">
        <w:rPr>
          <w:rFonts w:cs="Arial"/>
          <w:sz w:val="24"/>
          <w:szCs w:val="24"/>
        </w:rPr>
        <w:t xml:space="preserve">a afectación </w:t>
      </w:r>
      <w:r w:rsidRPr="002C0C73">
        <w:rPr>
          <w:rFonts w:cs="Arial"/>
          <w:sz w:val="24"/>
          <w:szCs w:val="24"/>
        </w:rPr>
        <w:t xml:space="preserve">que le impida, en su momento, continuar con el </w:t>
      </w:r>
      <w:r w:rsidR="00CA3379" w:rsidRPr="002C0C73">
        <w:rPr>
          <w:rFonts w:cs="Arial"/>
          <w:sz w:val="24"/>
          <w:szCs w:val="24"/>
        </w:rPr>
        <w:t>procedimiento</w:t>
      </w:r>
      <w:r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b/>
          <w:bCs/>
          <w:sz w:val="24"/>
          <w:szCs w:val="24"/>
        </w:rPr>
      </w:pPr>
      <w:r w:rsidRPr="002C0C73">
        <w:rPr>
          <w:rFonts w:cs="Arial"/>
          <w:b/>
          <w:bCs/>
          <w:sz w:val="24"/>
          <w:szCs w:val="24"/>
        </w:rPr>
        <w:lastRenderedPageBreak/>
        <w:t>IV. Justificación</w:t>
      </w:r>
    </w:p>
    <w:bookmarkEnd w:id="28"/>
    <w:p w:rsidR="007B77D9" w:rsidRPr="002C0C73" w:rsidRDefault="00CA3379" w:rsidP="007B77D9">
      <w:pPr>
        <w:spacing w:before="100" w:beforeAutospacing="1" w:after="100" w:afterAutospacing="1" w:line="360" w:lineRule="auto"/>
        <w:jc w:val="both"/>
        <w:rPr>
          <w:rFonts w:cs="Arial"/>
          <w:b/>
          <w:bCs/>
          <w:sz w:val="24"/>
          <w:szCs w:val="24"/>
        </w:rPr>
      </w:pPr>
      <w:r w:rsidRPr="002C0C73">
        <w:rPr>
          <w:rFonts w:cs="Arial"/>
          <w:b/>
          <w:bCs/>
          <w:sz w:val="24"/>
          <w:szCs w:val="24"/>
        </w:rPr>
        <w:t>1</w:t>
      </w:r>
      <w:r w:rsidR="007B77D9" w:rsidRPr="002C0C73">
        <w:rPr>
          <w:rFonts w:cs="Arial"/>
          <w:b/>
          <w:bCs/>
          <w:sz w:val="24"/>
          <w:szCs w:val="24"/>
        </w:rPr>
        <w:t>. No se viola en principio de igualdad y no discriminación.</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Contrario a lo señalado por </w:t>
      </w:r>
      <w:r w:rsidR="00CA3379" w:rsidRPr="002C0C73">
        <w:rPr>
          <w:rFonts w:cs="Arial"/>
          <w:sz w:val="24"/>
          <w:szCs w:val="24"/>
        </w:rPr>
        <w:t>GIN</w:t>
      </w:r>
      <w:r w:rsidRPr="002C0C73">
        <w:rPr>
          <w:rFonts w:cs="Arial"/>
          <w:sz w:val="24"/>
          <w:szCs w:val="24"/>
        </w:rPr>
        <w:t>, el acuerdo impugnado no viola los principios constitucionales de igualdad y no discriminación.</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El principio de igualdad implica el tratamiento de la misma forma cuando se esté en circunstancias similares, de conformidad con normas previamente establecidas que regulan una determinada circunstancia.</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Así, </w:t>
      </w:r>
      <w:r w:rsidR="00CA3379" w:rsidRPr="002C0C73">
        <w:rPr>
          <w:rFonts w:cs="Arial"/>
          <w:sz w:val="24"/>
          <w:szCs w:val="24"/>
        </w:rPr>
        <w:t xml:space="preserve">GIN </w:t>
      </w:r>
      <w:r w:rsidRPr="002C0C73">
        <w:rPr>
          <w:rFonts w:cs="Arial"/>
          <w:sz w:val="24"/>
          <w:szCs w:val="24"/>
        </w:rPr>
        <w:t xml:space="preserve">pretende que se le incluya junto con las siete asociaciones cuyos </w:t>
      </w:r>
      <w:r w:rsidR="00CA3379" w:rsidRPr="002C0C73">
        <w:rPr>
          <w:rFonts w:cs="Arial"/>
          <w:sz w:val="24"/>
          <w:szCs w:val="24"/>
        </w:rPr>
        <w:t>procedimientos</w:t>
      </w:r>
      <w:r w:rsidRPr="002C0C73">
        <w:rPr>
          <w:rFonts w:cs="Arial"/>
          <w:sz w:val="24"/>
          <w:szCs w:val="24"/>
        </w:rPr>
        <w:t xml:space="preserve"> se reanudarán en algunas actividades en particular.</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Sin embargo, </w:t>
      </w:r>
      <w:r w:rsidR="00CA3379" w:rsidRPr="002C0C73">
        <w:rPr>
          <w:rFonts w:cs="Arial"/>
          <w:sz w:val="24"/>
          <w:szCs w:val="24"/>
        </w:rPr>
        <w:t xml:space="preserve">GIN </w:t>
      </w:r>
      <w:r w:rsidRPr="002C0C73">
        <w:rPr>
          <w:rFonts w:cs="Arial"/>
          <w:sz w:val="24"/>
          <w:szCs w:val="24"/>
        </w:rPr>
        <w:t xml:space="preserve">parte de la premisa inexacta de que está en una situación similar a la de dichas organizaciones, </w:t>
      </w:r>
      <w:r w:rsidR="00CA3379" w:rsidRPr="002C0C73">
        <w:rPr>
          <w:rFonts w:cs="Arial"/>
          <w:sz w:val="24"/>
          <w:szCs w:val="24"/>
        </w:rPr>
        <w:t xml:space="preserve">cuando en realidad su procedimiento está en </w:t>
      </w:r>
      <w:r w:rsidRPr="002C0C73">
        <w:rPr>
          <w:rFonts w:cs="Arial"/>
          <w:sz w:val="24"/>
          <w:szCs w:val="24"/>
        </w:rPr>
        <w:t>una fase distinta.</w:t>
      </w:r>
    </w:p>
    <w:p w:rsidR="007D2806"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Esto, porque </w:t>
      </w:r>
      <w:r w:rsidR="007D2806" w:rsidRPr="002C0C73">
        <w:rPr>
          <w:rFonts w:cs="Arial"/>
          <w:sz w:val="24"/>
          <w:szCs w:val="24"/>
        </w:rPr>
        <w:t xml:space="preserve">las otras siete </w:t>
      </w:r>
      <w:r w:rsidRPr="002C0C73">
        <w:rPr>
          <w:rFonts w:cs="Arial"/>
          <w:sz w:val="24"/>
          <w:szCs w:val="24"/>
        </w:rPr>
        <w:t xml:space="preserve">organizaciones ya </w:t>
      </w:r>
      <w:r w:rsidR="007D2806" w:rsidRPr="002C0C73">
        <w:rPr>
          <w:rFonts w:cs="Arial"/>
          <w:sz w:val="24"/>
          <w:szCs w:val="24"/>
        </w:rPr>
        <w:t xml:space="preserve">han </w:t>
      </w:r>
      <w:r w:rsidRPr="002C0C73">
        <w:rPr>
          <w:rFonts w:cs="Arial"/>
          <w:sz w:val="24"/>
          <w:szCs w:val="24"/>
        </w:rPr>
        <w:t xml:space="preserve">celebrado </w:t>
      </w:r>
      <w:r w:rsidR="007D2806" w:rsidRPr="002C0C73">
        <w:rPr>
          <w:rFonts w:cs="Arial"/>
          <w:sz w:val="24"/>
          <w:szCs w:val="24"/>
        </w:rPr>
        <w:t xml:space="preserve">sus </w:t>
      </w:r>
      <w:r w:rsidRPr="002C0C73">
        <w:rPr>
          <w:rFonts w:cs="Arial"/>
          <w:sz w:val="24"/>
          <w:szCs w:val="24"/>
        </w:rPr>
        <w:t>asambleas distritales o estatales, así como la asamblea nacional constitutiva</w:t>
      </w:r>
      <w:r w:rsidR="007D2806" w:rsidRPr="002C0C73">
        <w:rPr>
          <w:rFonts w:cs="Arial"/>
          <w:sz w:val="24"/>
          <w:szCs w:val="24"/>
        </w:rPr>
        <w:t>. Por ello, el CG del INE determinó, en el acuerdo impugnado,</w:t>
      </w:r>
      <w:r w:rsidRPr="002C0C73">
        <w:rPr>
          <w:rFonts w:cs="Arial"/>
          <w:sz w:val="24"/>
          <w:szCs w:val="24"/>
        </w:rPr>
        <w:t xml:space="preserve"> reanudar las actividades </w:t>
      </w:r>
      <w:r w:rsidR="007D2806" w:rsidRPr="002C0C73">
        <w:rPr>
          <w:rFonts w:cs="Arial"/>
          <w:sz w:val="24"/>
          <w:szCs w:val="24"/>
        </w:rPr>
        <w:t xml:space="preserve">de </w:t>
      </w:r>
      <w:r w:rsidRPr="002C0C73">
        <w:rPr>
          <w:rFonts w:cs="Arial"/>
          <w:sz w:val="24"/>
          <w:szCs w:val="24"/>
        </w:rPr>
        <w:t>verificación de</w:t>
      </w:r>
      <w:r w:rsidR="007D2806" w:rsidRPr="002C0C73">
        <w:rPr>
          <w:rFonts w:cs="Arial"/>
          <w:sz w:val="24"/>
          <w:szCs w:val="24"/>
        </w:rPr>
        <w:t xml:space="preserve"> los </w:t>
      </w:r>
      <w:r w:rsidRPr="002C0C73">
        <w:rPr>
          <w:rFonts w:cs="Arial"/>
          <w:sz w:val="24"/>
          <w:szCs w:val="24"/>
        </w:rPr>
        <w:t xml:space="preserve">requisitos para </w:t>
      </w:r>
      <w:r w:rsidR="007D2806" w:rsidRPr="002C0C73">
        <w:rPr>
          <w:rFonts w:cs="Arial"/>
          <w:sz w:val="24"/>
          <w:szCs w:val="24"/>
        </w:rPr>
        <w:t xml:space="preserve">ser </w:t>
      </w:r>
      <w:r w:rsidRPr="002C0C73">
        <w:rPr>
          <w:rFonts w:cs="Arial"/>
          <w:sz w:val="24"/>
          <w:szCs w:val="24"/>
        </w:rPr>
        <w:t>PPN, la fiscalización de los informes mensuales de ingresos y gastos</w:t>
      </w:r>
      <w:r w:rsidR="007D2806" w:rsidRPr="002C0C73">
        <w:rPr>
          <w:rFonts w:cs="Arial"/>
          <w:sz w:val="24"/>
          <w:szCs w:val="24"/>
        </w:rPr>
        <w:t>.</w:t>
      </w:r>
    </w:p>
    <w:p w:rsidR="007B77D9" w:rsidRPr="002C0C73" w:rsidRDefault="007D2806" w:rsidP="007B77D9">
      <w:pPr>
        <w:spacing w:before="100" w:beforeAutospacing="1" w:after="100" w:afterAutospacing="1" w:line="360" w:lineRule="auto"/>
        <w:jc w:val="both"/>
        <w:rPr>
          <w:rFonts w:cs="Arial"/>
          <w:sz w:val="24"/>
          <w:szCs w:val="24"/>
        </w:rPr>
      </w:pPr>
      <w:r w:rsidRPr="002C0C73">
        <w:rPr>
          <w:rFonts w:cs="Arial"/>
          <w:sz w:val="24"/>
          <w:szCs w:val="24"/>
        </w:rPr>
        <w:t>Sin embargo, como se mencionó, en cuanto a GIN su etapa de preparación para ser PPN aún está en una fase de realización de asambleas, motivo por el cual no se le puede incluir en la etapa de revisión de requisitos, porque aún tiene pendiente la realización de asambleas.</w:t>
      </w:r>
    </w:p>
    <w:p w:rsidR="007D2806" w:rsidRPr="002C0C73" w:rsidRDefault="007D2806" w:rsidP="007B77D9">
      <w:pPr>
        <w:spacing w:before="100" w:beforeAutospacing="1" w:after="100" w:afterAutospacing="1" w:line="360" w:lineRule="auto"/>
        <w:jc w:val="both"/>
        <w:rPr>
          <w:rFonts w:cs="Arial"/>
          <w:sz w:val="24"/>
          <w:szCs w:val="24"/>
        </w:rPr>
      </w:pPr>
      <w:r w:rsidRPr="002C0C73">
        <w:rPr>
          <w:rFonts w:cs="Arial"/>
          <w:sz w:val="24"/>
          <w:szCs w:val="24"/>
        </w:rPr>
        <w:t>Efectivamente, como se precisó, los plazos para celebrar asambleas por parte de GIN vencían el diecinueve de abril, la celebración de la asamblea nacional constitutiva el veinte siguiente y la fecha límite para solicitar el registro, el veintidós posterior</w:t>
      </w:r>
      <w:r w:rsidR="00837F41" w:rsidRPr="002C0C73">
        <w:rPr>
          <w:rFonts w:cs="Arial"/>
          <w:sz w:val="24"/>
          <w:szCs w:val="24"/>
        </w:rPr>
        <w:t>; plazos que fueron suspendidos</w:t>
      </w:r>
      <w:r w:rsidR="00262819" w:rsidRPr="002C0C73">
        <w:rPr>
          <w:rFonts w:cs="Arial"/>
          <w:sz w:val="24"/>
          <w:szCs w:val="24"/>
        </w:rPr>
        <w:t xml:space="preserve"> dada la situación de emergencia sanitaria.</w:t>
      </w:r>
    </w:p>
    <w:p w:rsidR="007D2806" w:rsidRPr="002C0C73" w:rsidRDefault="007D2806" w:rsidP="007B77D9">
      <w:pPr>
        <w:spacing w:before="100" w:beforeAutospacing="1" w:after="100" w:afterAutospacing="1" w:line="360" w:lineRule="auto"/>
        <w:jc w:val="both"/>
        <w:rPr>
          <w:rFonts w:cs="Arial"/>
          <w:sz w:val="24"/>
          <w:szCs w:val="24"/>
        </w:rPr>
      </w:pPr>
      <w:r w:rsidRPr="002C0C73">
        <w:rPr>
          <w:rFonts w:cs="Arial"/>
          <w:sz w:val="24"/>
          <w:szCs w:val="24"/>
        </w:rPr>
        <w:t xml:space="preserve">Es decir, aún faltan requisitos a cumplir para poder ser verificados por el INE. Esas exigencias son, por supuesto, la celebración de asambleas y obtener afiliados en el número previsto en la legislación. </w:t>
      </w:r>
    </w:p>
    <w:p w:rsidR="007D2806" w:rsidRPr="002C0C73" w:rsidRDefault="007D2806" w:rsidP="007B77D9">
      <w:pPr>
        <w:spacing w:before="100" w:beforeAutospacing="1" w:after="100" w:afterAutospacing="1" w:line="360" w:lineRule="auto"/>
        <w:jc w:val="both"/>
        <w:rPr>
          <w:rFonts w:cs="Arial"/>
          <w:sz w:val="24"/>
          <w:szCs w:val="24"/>
        </w:rPr>
      </w:pPr>
      <w:r w:rsidRPr="002C0C73">
        <w:rPr>
          <w:rFonts w:cs="Arial"/>
          <w:sz w:val="24"/>
          <w:szCs w:val="24"/>
        </w:rPr>
        <w:lastRenderedPageBreak/>
        <w:t>Pero esas actividades están detenidas porque involucran concentraciones masivas de personas y contacto directo entre ellas, lo cual puede generar la propagación del virus causante de la pandemia.</w:t>
      </w:r>
    </w:p>
    <w:p w:rsidR="007B77D9" w:rsidRPr="002C0C73" w:rsidRDefault="007D2806" w:rsidP="007B77D9">
      <w:pPr>
        <w:spacing w:before="100" w:beforeAutospacing="1" w:after="100" w:afterAutospacing="1" w:line="360" w:lineRule="auto"/>
        <w:jc w:val="both"/>
        <w:rPr>
          <w:rFonts w:cs="Arial"/>
          <w:sz w:val="24"/>
          <w:szCs w:val="24"/>
        </w:rPr>
      </w:pPr>
      <w:r w:rsidRPr="002C0C73">
        <w:rPr>
          <w:rFonts w:cs="Arial"/>
          <w:sz w:val="24"/>
          <w:szCs w:val="24"/>
        </w:rPr>
        <w:t xml:space="preserve">Por estas razones, </w:t>
      </w:r>
      <w:r w:rsidR="007B77D9" w:rsidRPr="002C0C73">
        <w:rPr>
          <w:rFonts w:cs="Arial"/>
          <w:sz w:val="24"/>
          <w:szCs w:val="24"/>
        </w:rPr>
        <w:t xml:space="preserve">no se </w:t>
      </w:r>
      <w:r w:rsidRPr="002C0C73">
        <w:rPr>
          <w:rFonts w:cs="Arial"/>
          <w:sz w:val="24"/>
          <w:szCs w:val="24"/>
        </w:rPr>
        <w:t xml:space="preserve">vulneran los </w:t>
      </w:r>
      <w:r w:rsidR="007B77D9" w:rsidRPr="002C0C73">
        <w:rPr>
          <w:rFonts w:cs="Arial"/>
          <w:sz w:val="24"/>
          <w:szCs w:val="24"/>
        </w:rPr>
        <w:t>principio</w:t>
      </w:r>
      <w:r w:rsidRPr="002C0C73">
        <w:rPr>
          <w:rFonts w:cs="Arial"/>
          <w:sz w:val="24"/>
          <w:szCs w:val="24"/>
        </w:rPr>
        <w:t>s</w:t>
      </w:r>
      <w:r w:rsidR="007B77D9" w:rsidRPr="002C0C73">
        <w:rPr>
          <w:rFonts w:cs="Arial"/>
          <w:sz w:val="24"/>
          <w:szCs w:val="24"/>
        </w:rPr>
        <w:t xml:space="preserve"> de igualdad y no discriminación, porque a todas las organizaciones que buscan su registro como PPN se les aplica las mismas reglas y requisitos, sin que a </w:t>
      </w:r>
      <w:r w:rsidRPr="002C0C73">
        <w:rPr>
          <w:rFonts w:cs="Arial"/>
          <w:sz w:val="24"/>
          <w:szCs w:val="24"/>
        </w:rPr>
        <w:t xml:space="preserve">GIN </w:t>
      </w:r>
      <w:r w:rsidR="007B77D9" w:rsidRPr="002C0C73">
        <w:rPr>
          <w:rFonts w:cs="Arial"/>
          <w:sz w:val="24"/>
          <w:szCs w:val="24"/>
        </w:rPr>
        <w:t xml:space="preserve">se le requiera el cumplimiento de mayores </w:t>
      </w:r>
      <w:r w:rsidRPr="002C0C73">
        <w:rPr>
          <w:rFonts w:cs="Arial"/>
          <w:sz w:val="24"/>
          <w:szCs w:val="24"/>
        </w:rPr>
        <w:t>exigencias</w:t>
      </w:r>
      <w:r w:rsidR="007B77D9" w:rsidRPr="002C0C73">
        <w:rPr>
          <w:rFonts w:cs="Arial"/>
          <w:sz w:val="24"/>
          <w:szCs w:val="24"/>
        </w:rPr>
        <w:t>.</w:t>
      </w:r>
    </w:p>
    <w:p w:rsidR="007B77D9" w:rsidRPr="002C0C73" w:rsidRDefault="007D2806" w:rsidP="007B77D9">
      <w:pPr>
        <w:spacing w:before="100" w:beforeAutospacing="1" w:after="100" w:afterAutospacing="1" w:line="360" w:lineRule="auto"/>
        <w:jc w:val="both"/>
        <w:rPr>
          <w:rFonts w:cs="Arial"/>
          <w:b/>
          <w:bCs/>
          <w:sz w:val="24"/>
          <w:szCs w:val="24"/>
        </w:rPr>
      </w:pPr>
      <w:r w:rsidRPr="002C0C73">
        <w:rPr>
          <w:rFonts w:cs="Arial"/>
          <w:b/>
          <w:bCs/>
          <w:sz w:val="24"/>
          <w:szCs w:val="24"/>
        </w:rPr>
        <w:t>2</w:t>
      </w:r>
      <w:r w:rsidR="007B77D9" w:rsidRPr="002C0C73">
        <w:rPr>
          <w:rFonts w:cs="Arial"/>
          <w:b/>
          <w:bCs/>
          <w:sz w:val="24"/>
          <w:szCs w:val="24"/>
        </w:rPr>
        <w:t xml:space="preserve">. </w:t>
      </w:r>
      <w:r w:rsidRPr="002C0C73">
        <w:rPr>
          <w:rFonts w:cs="Arial"/>
          <w:b/>
          <w:bCs/>
          <w:sz w:val="24"/>
          <w:szCs w:val="24"/>
        </w:rPr>
        <w:t>E</w:t>
      </w:r>
      <w:r w:rsidR="007B77D9" w:rsidRPr="002C0C73">
        <w:rPr>
          <w:rFonts w:cs="Arial"/>
          <w:b/>
          <w:bCs/>
          <w:sz w:val="24"/>
          <w:szCs w:val="24"/>
        </w:rPr>
        <w:t>n su momento</w:t>
      </w:r>
      <w:r w:rsidRPr="002C0C73">
        <w:rPr>
          <w:rFonts w:cs="Arial"/>
          <w:b/>
          <w:bCs/>
          <w:sz w:val="24"/>
          <w:szCs w:val="24"/>
        </w:rPr>
        <w:t xml:space="preserve"> se podrá continuar con el procedimiento</w:t>
      </w:r>
    </w:p>
    <w:p w:rsidR="007B77D9" w:rsidRPr="002C0C73" w:rsidRDefault="009D6D1F" w:rsidP="007B77D9">
      <w:pPr>
        <w:spacing w:before="100" w:beforeAutospacing="1" w:after="100" w:afterAutospacing="1" w:line="360" w:lineRule="auto"/>
        <w:jc w:val="both"/>
        <w:rPr>
          <w:rFonts w:cs="Arial"/>
          <w:sz w:val="24"/>
          <w:szCs w:val="24"/>
        </w:rPr>
      </w:pPr>
      <w:r w:rsidRPr="002C0C73">
        <w:rPr>
          <w:rFonts w:cs="Arial"/>
          <w:sz w:val="24"/>
          <w:szCs w:val="24"/>
        </w:rPr>
        <w:t xml:space="preserve">Por otra parte, </w:t>
      </w:r>
      <w:r w:rsidR="007B77D9" w:rsidRPr="002C0C73">
        <w:rPr>
          <w:rFonts w:cs="Arial"/>
          <w:sz w:val="24"/>
          <w:szCs w:val="24"/>
        </w:rPr>
        <w:t xml:space="preserve">es inexacta la afirmación de </w:t>
      </w:r>
      <w:r w:rsidRPr="002C0C73">
        <w:rPr>
          <w:rFonts w:cs="Arial"/>
          <w:sz w:val="24"/>
          <w:szCs w:val="24"/>
        </w:rPr>
        <w:t xml:space="preserve">GIN </w:t>
      </w:r>
      <w:r w:rsidR="007B77D9" w:rsidRPr="002C0C73">
        <w:rPr>
          <w:rFonts w:cs="Arial"/>
          <w:sz w:val="24"/>
          <w:szCs w:val="24"/>
        </w:rPr>
        <w:t>de que</w:t>
      </w:r>
      <w:r w:rsidRPr="002C0C73">
        <w:rPr>
          <w:rFonts w:cs="Arial"/>
          <w:sz w:val="24"/>
          <w:szCs w:val="24"/>
        </w:rPr>
        <w:t>,</w:t>
      </w:r>
      <w:r w:rsidR="007B77D9" w:rsidRPr="002C0C73">
        <w:rPr>
          <w:rFonts w:cs="Arial"/>
          <w:sz w:val="24"/>
          <w:szCs w:val="24"/>
        </w:rPr>
        <w:t xml:space="preserve"> </w:t>
      </w:r>
      <w:r w:rsidRPr="002C0C73">
        <w:rPr>
          <w:rFonts w:cs="Arial"/>
          <w:sz w:val="24"/>
          <w:szCs w:val="24"/>
        </w:rPr>
        <w:t xml:space="preserve">se le causa un perjuicio </w:t>
      </w:r>
      <w:r w:rsidR="007B77D9" w:rsidRPr="002C0C73">
        <w:rPr>
          <w:rFonts w:cs="Arial"/>
          <w:sz w:val="24"/>
          <w:szCs w:val="24"/>
        </w:rPr>
        <w:t xml:space="preserve">al no </w:t>
      </w:r>
      <w:r w:rsidRPr="002C0C73">
        <w:rPr>
          <w:rFonts w:cs="Arial"/>
          <w:sz w:val="24"/>
          <w:szCs w:val="24"/>
        </w:rPr>
        <w:t xml:space="preserve">estar </w:t>
      </w:r>
      <w:r w:rsidR="007B77D9" w:rsidRPr="002C0C73">
        <w:rPr>
          <w:rFonts w:cs="Arial"/>
          <w:sz w:val="24"/>
          <w:szCs w:val="24"/>
        </w:rPr>
        <w:t>inclu</w:t>
      </w:r>
      <w:r w:rsidRPr="002C0C73">
        <w:rPr>
          <w:rFonts w:cs="Arial"/>
          <w:sz w:val="24"/>
          <w:szCs w:val="24"/>
        </w:rPr>
        <w:t xml:space="preserve">ida </w:t>
      </w:r>
      <w:r w:rsidR="007B77D9" w:rsidRPr="002C0C73">
        <w:rPr>
          <w:rFonts w:cs="Arial"/>
          <w:sz w:val="24"/>
          <w:szCs w:val="24"/>
        </w:rPr>
        <w:t xml:space="preserve">en las siete organizaciones cuyos </w:t>
      </w:r>
      <w:r w:rsidRPr="002C0C73">
        <w:rPr>
          <w:rFonts w:cs="Arial"/>
          <w:sz w:val="24"/>
          <w:szCs w:val="24"/>
        </w:rPr>
        <w:t xml:space="preserve">procedimientos </w:t>
      </w:r>
      <w:r w:rsidR="007B77D9" w:rsidRPr="002C0C73">
        <w:rPr>
          <w:rFonts w:cs="Arial"/>
          <w:sz w:val="24"/>
          <w:szCs w:val="24"/>
        </w:rPr>
        <w:t xml:space="preserve">se reanudarán en algunos aspectos, porque </w:t>
      </w:r>
      <w:r w:rsidRPr="002C0C73">
        <w:rPr>
          <w:rFonts w:cs="Arial"/>
          <w:sz w:val="24"/>
          <w:szCs w:val="24"/>
        </w:rPr>
        <w:t xml:space="preserve">se </w:t>
      </w:r>
      <w:r w:rsidR="007B77D9" w:rsidRPr="002C0C73">
        <w:rPr>
          <w:rFonts w:cs="Arial"/>
          <w:sz w:val="24"/>
          <w:szCs w:val="24"/>
        </w:rPr>
        <w:t>le impide continuar con la celebración de asambleas estatales y la afiliación de militantes.</w:t>
      </w:r>
    </w:p>
    <w:p w:rsidR="00E11287" w:rsidRPr="002C0C73" w:rsidRDefault="00E11287" w:rsidP="007B77D9">
      <w:pPr>
        <w:spacing w:before="100" w:beforeAutospacing="1" w:after="100" w:afterAutospacing="1" w:line="360" w:lineRule="auto"/>
        <w:jc w:val="both"/>
        <w:rPr>
          <w:rFonts w:cs="Arial"/>
          <w:sz w:val="24"/>
          <w:szCs w:val="24"/>
        </w:rPr>
      </w:pPr>
      <w:r w:rsidRPr="002C0C73">
        <w:rPr>
          <w:rFonts w:cs="Arial"/>
          <w:sz w:val="24"/>
          <w:szCs w:val="24"/>
        </w:rPr>
        <w:t>Esto, porque en el propio acuerdo se precisó que el CG del INE emitirá una determinación posterior, para reprogramar la realización de las asambleas de GIN, como se evidencia a continuación:</w:t>
      </w:r>
    </w:p>
    <w:p w:rsidR="00E11287" w:rsidRPr="002C0C73" w:rsidRDefault="00E11287" w:rsidP="00E11287">
      <w:pPr>
        <w:ind w:left="567" w:right="567"/>
        <w:jc w:val="both"/>
        <w:rPr>
          <w:rFonts w:cs="Arial"/>
        </w:rPr>
      </w:pPr>
      <w:r w:rsidRPr="002C0C73">
        <w:t xml:space="preserve">Por ende, esta autoridad en apego a la obligación que tiene de adoptar todas las medidas especiales e idóneas para salvaguardar y potencializar los derechos de los pueblos indígenas, que les permitan cumplir con las exigencias para tal efecto, sobre todo si se advierte una situación de vulnerabilidad o de desventaja que atente contra derechos; además, de que tal y como lo dijo la Sala Superior del TEPJF al resolver el expediente SUP-JDC-66/2019, en la que vinculó a este Instituto a realizar los ajustes necesarios y consecuentes por cuanto a los plazos dispuestos para que la organización “Gubernatura Indígena Nacional, A.C.” agote el procedimiento para constituirse como PPN; </w:t>
      </w:r>
      <w:r w:rsidRPr="002C0C73">
        <w:rPr>
          <w:b/>
        </w:rPr>
        <w:t>este Consejo General, a través de un acuerdo posterior y hasta que existan las condiciones sanitarias para reprogramar las asambleas estatales (lo que implica que la asociación civil también pueda recabar las afiliaciones en el resto del país a través de la aplicación móvil y en el régimen de excepción), determinará los plazos para ello,</w:t>
      </w:r>
      <w:r w:rsidRPr="002C0C73">
        <w:t xml:space="preserve"> lo que se hará de su conocimiento a través de la notificación que realice la DEPPP, por instrucción de la Comisión de Prerrogativas y Partidos Políticos.</w:t>
      </w:r>
    </w:p>
    <w:p w:rsidR="00E11287" w:rsidRPr="002C0C73" w:rsidRDefault="00E11287" w:rsidP="007B77D9">
      <w:pPr>
        <w:spacing w:before="100" w:beforeAutospacing="1" w:after="100" w:afterAutospacing="1" w:line="360" w:lineRule="auto"/>
        <w:jc w:val="both"/>
        <w:rPr>
          <w:rFonts w:cs="Arial"/>
          <w:sz w:val="24"/>
          <w:szCs w:val="24"/>
        </w:rPr>
      </w:pPr>
      <w:r w:rsidRPr="002C0C73">
        <w:rPr>
          <w:rFonts w:cs="Arial"/>
          <w:sz w:val="24"/>
          <w:szCs w:val="24"/>
        </w:rPr>
        <w:t>De esta manera, contrario a lo aducido por GIN, el INE en su momento emitirá el acuerdo por el cual se reanuden las actividades del procedimiento de constitución de GIN como PPN, motivo por el cual no se le impide continuar con la realización de las asambleas, sino que se espera haya las condiciones para hacerlo.</w:t>
      </w:r>
    </w:p>
    <w:p w:rsidR="00BE7EB0" w:rsidRPr="002C0C73" w:rsidRDefault="00BE7EB0" w:rsidP="007B77D9">
      <w:pPr>
        <w:spacing w:before="100" w:beforeAutospacing="1" w:after="100" w:afterAutospacing="1" w:line="360" w:lineRule="auto"/>
        <w:jc w:val="both"/>
        <w:rPr>
          <w:rFonts w:cs="Arial"/>
          <w:sz w:val="24"/>
          <w:szCs w:val="24"/>
        </w:rPr>
      </w:pPr>
      <w:r w:rsidRPr="002C0C73">
        <w:rPr>
          <w:rFonts w:cs="Arial"/>
          <w:sz w:val="24"/>
          <w:szCs w:val="24"/>
        </w:rPr>
        <w:t xml:space="preserve">Es decir, el procedimiento de GIN está suspendido con motivo de la contingencia sanitaria y quedará así hasta que se puedan reanudar sin peligro </w:t>
      </w:r>
      <w:r w:rsidRPr="002C0C73">
        <w:rPr>
          <w:rFonts w:cs="Arial"/>
          <w:sz w:val="24"/>
          <w:szCs w:val="24"/>
        </w:rPr>
        <w:lastRenderedPageBreak/>
        <w:t>en la salud de todas las personas involucradas. Por ello, una vez que se reanuden las actividades, la actora podrá continuar con la realización de las asambleas y, de ser el caso, cumplir los requisitos para ser PPN</w:t>
      </w:r>
    </w:p>
    <w:p w:rsidR="007B77D9" w:rsidRPr="002C0C73" w:rsidRDefault="00E11287" w:rsidP="007B77D9">
      <w:pPr>
        <w:spacing w:before="100" w:beforeAutospacing="1" w:after="100" w:afterAutospacing="1" w:line="360" w:lineRule="auto"/>
        <w:jc w:val="both"/>
        <w:rPr>
          <w:rFonts w:cs="Arial"/>
          <w:sz w:val="24"/>
          <w:szCs w:val="24"/>
        </w:rPr>
      </w:pPr>
      <w:r w:rsidRPr="002C0C73">
        <w:rPr>
          <w:rFonts w:cs="Arial"/>
          <w:sz w:val="24"/>
          <w:szCs w:val="24"/>
        </w:rPr>
        <w:t>Además, c</w:t>
      </w:r>
      <w:r w:rsidR="009D6D1F" w:rsidRPr="002C0C73">
        <w:rPr>
          <w:rFonts w:cs="Arial"/>
          <w:sz w:val="24"/>
          <w:szCs w:val="24"/>
        </w:rPr>
        <w:t xml:space="preserve">abe señalar </w:t>
      </w:r>
      <w:r w:rsidRPr="002C0C73">
        <w:rPr>
          <w:rFonts w:cs="Arial"/>
          <w:sz w:val="24"/>
          <w:szCs w:val="24"/>
        </w:rPr>
        <w:t xml:space="preserve">que </w:t>
      </w:r>
      <w:r w:rsidR="009D6D1F" w:rsidRPr="002C0C73">
        <w:rPr>
          <w:rFonts w:cs="Arial"/>
          <w:sz w:val="24"/>
          <w:szCs w:val="24"/>
        </w:rPr>
        <w:t xml:space="preserve">la suspensión </w:t>
      </w:r>
      <w:r w:rsidR="00BE7EB0" w:rsidRPr="002C0C73">
        <w:rPr>
          <w:rFonts w:cs="Arial"/>
          <w:sz w:val="24"/>
          <w:szCs w:val="24"/>
        </w:rPr>
        <w:t>de</w:t>
      </w:r>
      <w:r w:rsidR="009D6D1F" w:rsidRPr="002C0C73">
        <w:rPr>
          <w:rFonts w:cs="Arial"/>
          <w:sz w:val="24"/>
          <w:szCs w:val="24"/>
        </w:rPr>
        <w:t xml:space="preserve"> la celebración de las asambleas</w:t>
      </w:r>
      <w:r w:rsidR="00BE7EB0" w:rsidRPr="002C0C73">
        <w:rPr>
          <w:rFonts w:cs="Arial"/>
          <w:sz w:val="24"/>
          <w:szCs w:val="24"/>
        </w:rPr>
        <w:t xml:space="preserve"> en todo momento ha sido una </w:t>
      </w:r>
      <w:r w:rsidRPr="002C0C73">
        <w:rPr>
          <w:rFonts w:cs="Arial"/>
          <w:sz w:val="24"/>
          <w:szCs w:val="24"/>
        </w:rPr>
        <w:t xml:space="preserve">situación del conocimiento de GIN, porque fue mediante una petición de ésta que </w:t>
      </w:r>
      <w:r w:rsidR="009D6D1F" w:rsidRPr="002C0C73">
        <w:rPr>
          <w:rFonts w:cs="Arial"/>
          <w:sz w:val="24"/>
          <w:szCs w:val="24"/>
        </w:rPr>
        <w:t>el CG del INE</w:t>
      </w:r>
      <w:r w:rsidR="009D6D1F" w:rsidRPr="002C0C73">
        <w:rPr>
          <w:rStyle w:val="Refdenotaalpie"/>
          <w:rFonts w:cs="Arial"/>
          <w:sz w:val="24"/>
          <w:szCs w:val="24"/>
        </w:rPr>
        <w:footnoteReference w:id="39"/>
      </w:r>
      <w:r w:rsidRPr="002C0C73">
        <w:rPr>
          <w:rFonts w:cs="Arial"/>
          <w:sz w:val="24"/>
          <w:szCs w:val="24"/>
        </w:rPr>
        <w:t xml:space="preserve"> determinó </w:t>
      </w:r>
      <w:r w:rsidR="00BE7EB0" w:rsidRPr="002C0C73">
        <w:rPr>
          <w:rFonts w:cs="Arial"/>
          <w:sz w:val="24"/>
          <w:szCs w:val="24"/>
        </w:rPr>
        <w:t>suspenderlas con motivo de la existencia de la pandemia</w:t>
      </w:r>
      <w:r w:rsidR="007B77D9" w:rsidRPr="002C0C73">
        <w:rPr>
          <w:rFonts w:cs="Arial"/>
          <w:sz w:val="24"/>
          <w:szCs w:val="24"/>
        </w:rPr>
        <w:t>.</w:t>
      </w:r>
    </w:p>
    <w:p w:rsidR="007B77D9" w:rsidRPr="002C0C73" w:rsidRDefault="009D6D1F" w:rsidP="007B77D9">
      <w:pPr>
        <w:spacing w:before="100" w:beforeAutospacing="1" w:after="100" w:afterAutospacing="1" w:line="360" w:lineRule="auto"/>
        <w:jc w:val="both"/>
        <w:rPr>
          <w:rFonts w:cs="Arial"/>
          <w:sz w:val="24"/>
          <w:szCs w:val="24"/>
        </w:rPr>
      </w:pPr>
      <w:r w:rsidRPr="002C0C73">
        <w:rPr>
          <w:rFonts w:cs="Arial"/>
          <w:sz w:val="24"/>
          <w:szCs w:val="24"/>
        </w:rPr>
        <w:t>En ese acuerdo</w:t>
      </w:r>
      <w:r w:rsidR="007B77D9" w:rsidRPr="002C0C73">
        <w:rPr>
          <w:rFonts w:cs="Arial"/>
          <w:sz w:val="24"/>
          <w:szCs w:val="24"/>
        </w:rPr>
        <w:t xml:space="preserve">, el </w:t>
      </w:r>
      <w:r w:rsidRPr="002C0C73">
        <w:rPr>
          <w:rFonts w:cs="Arial"/>
          <w:sz w:val="24"/>
          <w:szCs w:val="24"/>
        </w:rPr>
        <w:t xml:space="preserve">CG del INE </w:t>
      </w:r>
      <w:r w:rsidR="007B77D9" w:rsidRPr="002C0C73">
        <w:rPr>
          <w:rFonts w:cs="Arial"/>
          <w:sz w:val="24"/>
          <w:szCs w:val="24"/>
        </w:rPr>
        <w:t xml:space="preserve">determinó la suspensión temporal del </w:t>
      </w:r>
      <w:r w:rsidRPr="002C0C73">
        <w:rPr>
          <w:rFonts w:cs="Arial"/>
          <w:sz w:val="24"/>
          <w:szCs w:val="24"/>
        </w:rPr>
        <w:t>procedimiento de GIN</w:t>
      </w:r>
      <w:r w:rsidR="00F61924" w:rsidRPr="002C0C73">
        <w:rPr>
          <w:rFonts w:cs="Arial"/>
          <w:sz w:val="24"/>
          <w:szCs w:val="24"/>
        </w:rPr>
        <w:t>,</w:t>
      </w:r>
      <w:r w:rsidRPr="002C0C73">
        <w:rPr>
          <w:rFonts w:cs="Arial"/>
          <w:sz w:val="24"/>
          <w:szCs w:val="24"/>
        </w:rPr>
        <w:t xml:space="preserve"> </w:t>
      </w:r>
      <w:r w:rsidR="007B77D9" w:rsidRPr="002C0C73">
        <w:rPr>
          <w:rFonts w:cs="Arial"/>
          <w:sz w:val="24"/>
          <w:szCs w:val="24"/>
        </w:rPr>
        <w:t xml:space="preserve">por una causa de fuerza mayor ante </w:t>
      </w:r>
      <w:r w:rsidR="00F61924" w:rsidRPr="002C0C73">
        <w:rPr>
          <w:rFonts w:cs="Arial"/>
          <w:sz w:val="24"/>
          <w:szCs w:val="24"/>
        </w:rPr>
        <w:t xml:space="preserve">la </w:t>
      </w:r>
      <w:r w:rsidR="007B77D9" w:rsidRPr="002C0C73">
        <w:rPr>
          <w:rFonts w:cs="Arial"/>
          <w:sz w:val="24"/>
          <w:szCs w:val="24"/>
        </w:rPr>
        <w:t xml:space="preserve">emergencia de salud pública, </w:t>
      </w:r>
      <w:r w:rsidR="00F61924" w:rsidRPr="002C0C73">
        <w:rPr>
          <w:rFonts w:cs="Arial"/>
          <w:sz w:val="24"/>
          <w:szCs w:val="24"/>
        </w:rPr>
        <w:t xml:space="preserve">así no transcurrirían </w:t>
      </w:r>
      <w:r w:rsidR="007B77D9" w:rsidRPr="002C0C73">
        <w:rPr>
          <w:rFonts w:cs="Arial"/>
          <w:sz w:val="24"/>
          <w:szCs w:val="24"/>
        </w:rPr>
        <w:t xml:space="preserve">los plazos para </w:t>
      </w:r>
      <w:r w:rsidR="00F61924" w:rsidRPr="002C0C73">
        <w:rPr>
          <w:rFonts w:cs="Arial"/>
          <w:sz w:val="24"/>
          <w:szCs w:val="24"/>
        </w:rPr>
        <w:t xml:space="preserve">esa </w:t>
      </w:r>
      <w:r w:rsidR="007B77D9" w:rsidRPr="002C0C73">
        <w:rPr>
          <w:rFonts w:cs="Arial"/>
          <w:sz w:val="24"/>
          <w:szCs w:val="24"/>
        </w:rPr>
        <w:t xml:space="preserve">organización </w:t>
      </w:r>
      <w:r w:rsidR="00B00258" w:rsidRPr="002C0C73">
        <w:rPr>
          <w:rFonts w:cs="Arial"/>
          <w:sz w:val="24"/>
          <w:szCs w:val="24"/>
        </w:rPr>
        <w:t>en cuanto a la reposición de cincuenta y cuatro días ordenados por el CG del INE</w:t>
      </w:r>
      <w:r w:rsidR="00B00258" w:rsidRPr="002C0C73">
        <w:rPr>
          <w:rStyle w:val="Refdenotaalpie"/>
          <w:rFonts w:cs="Arial"/>
          <w:sz w:val="24"/>
          <w:szCs w:val="24"/>
        </w:rPr>
        <w:footnoteReference w:id="40"/>
      </w:r>
      <w:r w:rsidR="007B77D9"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Esto, porque</w:t>
      </w:r>
      <w:r w:rsidR="00B00258" w:rsidRPr="002C0C73">
        <w:rPr>
          <w:rFonts w:cs="Arial"/>
          <w:sz w:val="24"/>
          <w:szCs w:val="24"/>
        </w:rPr>
        <w:t xml:space="preserve"> GIN</w:t>
      </w:r>
      <w:r w:rsidRPr="002C0C73">
        <w:rPr>
          <w:rFonts w:cs="Arial"/>
          <w:sz w:val="24"/>
          <w:szCs w:val="24"/>
        </w:rPr>
        <w:t xml:space="preserve"> determinó que las asambleas </w:t>
      </w:r>
      <w:r w:rsidR="00B00258" w:rsidRPr="002C0C73">
        <w:rPr>
          <w:rFonts w:cs="Arial"/>
          <w:sz w:val="24"/>
          <w:szCs w:val="24"/>
        </w:rPr>
        <w:t xml:space="preserve">a celebrar </w:t>
      </w:r>
      <w:r w:rsidRPr="002C0C73">
        <w:rPr>
          <w:rFonts w:cs="Arial"/>
          <w:sz w:val="24"/>
          <w:szCs w:val="24"/>
        </w:rPr>
        <w:t xml:space="preserve">serían de carácter estatal, las cuales requieren de una concentración de un mínimo de tres mil personas asistentes, más el personal del </w:t>
      </w:r>
      <w:r w:rsidR="00B00258" w:rsidRPr="002C0C73">
        <w:rPr>
          <w:rFonts w:cs="Arial"/>
          <w:sz w:val="24"/>
          <w:szCs w:val="24"/>
        </w:rPr>
        <w:t>INE</w:t>
      </w:r>
      <w:r w:rsidRPr="002C0C73">
        <w:rPr>
          <w:rFonts w:cs="Arial"/>
          <w:sz w:val="24"/>
          <w:szCs w:val="24"/>
        </w:rPr>
        <w:t xml:space="preserve"> y la dirigencia de la asociación, por lo que permitir la realización implicaría un riesgo sanitario de contagio.</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Por tanto, los plazos se suspenderían hasta </w:t>
      </w:r>
      <w:r w:rsidR="00C32C46" w:rsidRPr="002C0C73">
        <w:rPr>
          <w:rFonts w:cs="Arial"/>
          <w:sz w:val="24"/>
          <w:szCs w:val="24"/>
        </w:rPr>
        <w:t xml:space="preserve">existir </w:t>
      </w:r>
      <w:r w:rsidRPr="002C0C73">
        <w:rPr>
          <w:rFonts w:cs="Arial"/>
          <w:sz w:val="24"/>
          <w:szCs w:val="24"/>
        </w:rPr>
        <w:t>las condiciones sanitarias para ello, razón por la cual se podrían reprogramar las asambleas estatales por el periodo que se determine.</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Además, señaló que </w:t>
      </w:r>
      <w:r w:rsidR="00C32C46" w:rsidRPr="002C0C73">
        <w:rPr>
          <w:rFonts w:cs="Arial"/>
          <w:sz w:val="24"/>
          <w:szCs w:val="24"/>
        </w:rPr>
        <w:t xml:space="preserve">la </w:t>
      </w:r>
      <w:r w:rsidRPr="002C0C73">
        <w:rPr>
          <w:rFonts w:cs="Arial"/>
          <w:sz w:val="24"/>
          <w:szCs w:val="24"/>
        </w:rPr>
        <w:t xml:space="preserve">suspensión implicaba </w:t>
      </w:r>
      <w:r w:rsidR="00C32C46" w:rsidRPr="002C0C73">
        <w:rPr>
          <w:rFonts w:cs="Arial"/>
          <w:sz w:val="24"/>
          <w:szCs w:val="24"/>
        </w:rPr>
        <w:t xml:space="preserve">detener </w:t>
      </w:r>
      <w:r w:rsidRPr="002C0C73">
        <w:rPr>
          <w:rFonts w:cs="Arial"/>
          <w:sz w:val="24"/>
          <w:szCs w:val="24"/>
        </w:rPr>
        <w:t>la fase relativa a recabar afiliaciones en el resto del país a través de la aplicación móvil y en el régimen de excepción.</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En </w:t>
      </w:r>
      <w:r w:rsidR="00C32C46" w:rsidRPr="002C0C73">
        <w:rPr>
          <w:rFonts w:cs="Arial"/>
          <w:sz w:val="24"/>
          <w:szCs w:val="24"/>
        </w:rPr>
        <w:t xml:space="preserve">atención a esas peculiaridades, exclusivas de GIN por la reposición de plazos para celebrar asambleas, el CG del INE reconoció, en el actual acuerdo impugnado, su deber </w:t>
      </w:r>
      <w:r w:rsidRPr="002C0C73">
        <w:rPr>
          <w:rFonts w:cs="Arial"/>
          <w:sz w:val="24"/>
          <w:szCs w:val="24"/>
        </w:rPr>
        <w:t>de adoptar todas las medidas especiales e idóneas para salvaguardar y potencializar los derechos de los pueblos indígenas</w:t>
      </w:r>
      <w:r w:rsidR="00C32C46"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Por ello, </w:t>
      </w:r>
      <w:r w:rsidR="00C32C46" w:rsidRPr="002C0C73">
        <w:rPr>
          <w:rFonts w:cs="Arial"/>
          <w:sz w:val="24"/>
          <w:szCs w:val="24"/>
        </w:rPr>
        <w:t xml:space="preserve">señaló que la situación excepcional de GIN ameritaría el dictado de un </w:t>
      </w:r>
      <w:r w:rsidRPr="002C0C73">
        <w:rPr>
          <w:rFonts w:cs="Arial"/>
          <w:sz w:val="24"/>
          <w:szCs w:val="24"/>
        </w:rPr>
        <w:t>acuerdo posterior</w:t>
      </w:r>
      <w:r w:rsidR="00C32C46" w:rsidRPr="002C0C73">
        <w:rPr>
          <w:rFonts w:cs="Arial"/>
          <w:sz w:val="24"/>
          <w:szCs w:val="24"/>
        </w:rPr>
        <w:t xml:space="preserve">, hasta </w:t>
      </w:r>
      <w:r w:rsidRPr="002C0C73">
        <w:rPr>
          <w:rFonts w:cs="Arial"/>
          <w:sz w:val="24"/>
          <w:szCs w:val="24"/>
        </w:rPr>
        <w:t xml:space="preserve">que existan las condiciones sanitarias para </w:t>
      </w:r>
      <w:r w:rsidRPr="002C0C73">
        <w:rPr>
          <w:rFonts w:cs="Arial"/>
          <w:sz w:val="24"/>
          <w:szCs w:val="24"/>
        </w:rPr>
        <w:lastRenderedPageBreak/>
        <w:t>reprogramar las asambleas estatales y para que pueda recabar las afiliaciones</w:t>
      </w:r>
      <w:r w:rsidR="00C32C46"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De lo anterior, </w:t>
      </w:r>
      <w:r w:rsidR="00C32C46" w:rsidRPr="002C0C73">
        <w:rPr>
          <w:rFonts w:cs="Arial"/>
          <w:sz w:val="24"/>
          <w:szCs w:val="24"/>
        </w:rPr>
        <w:t xml:space="preserve">es evidente que, </w:t>
      </w:r>
      <w:r w:rsidRPr="002C0C73">
        <w:rPr>
          <w:rFonts w:cs="Arial"/>
          <w:sz w:val="24"/>
          <w:szCs w:val="24"/>
        </w:rPr>
        <w:t>en</w:t>
      </w:r>
      <w:r w:rsidR="00C32C46" w:rsidRPr="002C0C73">
        <w:rPr>
          <w:rFonts w:cs="Arial"/>
          <w:sz w:val="24"/>
          <w:szCs w:val="24"/>
        </w:rPr>
        <w:t xml:space="preserve"> </w:t>
      </w:r>
      <w:r w:rsidRPr="002C0C73">
        <w:rPr>
          <w:rFonts w:cs="Arial"/>
          <w:sz w:val="24"/>
          <w:szCs w:val="24"/>
        </w:rPr>
        <w:t>el acuerdo impugnado</w:t>
      </w:r>
      <w:r w:rsidR="00C32C46" w:rsidRPr="002C0C73">
        <w:rPr>
          <w:rFonts w:cs="Arial"/>
          <w:sz w:val="24"/>
          <w:szCs w:val="24"/>
        </w:rPr>
        <w:t>,</w:t>
      </w:r>
      <w:r w:rsidRPr="002C0C73">
        <w:rPr>
          <w:rFonts w:cs="Arial"/>
          <w:sz w:val="24"/>
          <w:szCs w:val="24"/>
        </w:rPr>
        <w:t xml:space="preserve"> no hay elementos que impidan</w:t>
      </w:r>
      <w:r w:rsidR="00C32C46" w:rsidRPr="002C0C73">
        <w:rPr>
          <w:rFonts w:cs="Arial"/>
          <w:sz w:val="24"/>
          <w:szCs w:val="24"/>
        </w:rPr>
        <w:t xml:space="preserve"> a GIN continuar </w:t>
      </w:r>
      <w:r w:rsidRPr="002C0C73">
        <w:rPr>
          <w:rFonts w:cs="Arial"/>
          <w:sz w:val="24"/>
          <w:szCs w:val="24"/>
        </w:rPr>
        <w:t>con la organización de asambleas estatales</w:t>
      </w:r>
      <w:r w:rsidR="00C32C46" w:rsidRPr="002C0C73">
        <w:rPr>
          <w:rFonts w:cs="Arial"/>
          <w:sz w:val="24"/>
          <w:szCs w:val="24"/>
        </w:rPr>
        <w:t xml:space="preserve"> y con las </w:t>
      </w:r>
      <w:r w:rsidRPr="002C0C73">
        <w:rPr>
          <w:rFonts w:cs="Arial"/>
          <w:sz w:val="24"/>
          <w:szCs w:val="24"/>
        </w:rPr>
        <w:t>afiliaciones</w:t>
      </w:r>
      <w:r w:rsidR="00C32C46" w:rsidRPr="002C0C73">
        <w:rPr>
          <w:rFonts w:cs="Arial"/>
          <w:sz w:val="24"/>
          <w:szCs w:val="24"/>
        </w:rPr>
        <w:t xml:space="preserve">, </w:t>
      </w:r>
      <w:r w:rsidR="00865499" w:rsidRPr="002C0C73">
        <w:rPr>
          <w:rFonts w:cs="Arial"/>
          <w:sz w:val="24"/>
          <w:szCs w:val="24"/>
        </w:rPr>
        <w:t xml:space="preserve">porque </w:t>
      </w:r>
      <w:r w:rsidR="00C32C46" w:rsidRPr="002C0C73">
        <w:rPr>
          <w:rFonts w:cs="Arial"/>
          <w:sz w:val="24"/>
          <w:szCs w:val="24"/>
        </w:rPr>
        <w:t>ello se hará cuando existan las condiciones de salud adecuadas para tal efecto.</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No es obstáculo, la manifestación de </w:t>
      </w:r>
      <w:r w:rsidR="0088428B" w:rsidRPr="002C0C73">
        <w:rPr>
          <w:rFonts w:cs="Arial"/>
          <w:sz w:val="24"/>
          <w:szCs w:val="24"/>
        </w:rPr>
        <w:t xml:space="preserve">GIN </w:t>
      </w:r>
      <w:r w:rsidRPr="002C0C73">
        <w:rPr>
          <w:rFonts w:cs="Arial"/>
          <w:sz w:val="24"/>
          <w:szCs w:val="24"/>
        </w:rPr>
        <w:t xml:space="preserve">de que existe la posibilidad de duplicidad de afiliaciones entre las siete organizaciones cuyos </w:t>
      </w:r>
      <w:r w:rsidR="0088428B" w:rsidRPr="002C0C73">
        <w:rPr>
          <w:rFonts w:cs="Arial"/>
          <w:sz w:val="24"/>
          <w:szCs w:val="24"/>
        </w:rPr>
        <w:t xml:space="preserve">procedimientos </w:t>
      </w:r>
      <w:r w:rsidRPr="002C0C73">
        <w:rPr>
          <w:rFonts w:cs="Arial"/>
          <w:sz w:val="24"/>
          <w:szCs w:val="24"/>
        </w:rPr>
        <w:t>se reanudarán, con aquellas afiliaciones que, en su caso, pudiera obtener</w:t>
      </w:r>
      <w:r w:rsidR="0088428B" w:rsidRPr="002C0C73">
        <w:rPr>
          <w:rFonts w:cs="Arial"/>
          <w:sz w:val="24"/>
          <w:szCs w:val="24"/>
        </w:rPr>
        <w:t>.</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Esto</w:t>
      </w:r>
      <w:r w:rsidR="0088428B" w:rsidRPr="002C0C73">
        <w:rPr>
          <w:rFonts w:cs="Arial"/>
          <w:sz w:val="24"/>
          <w:szCs w:val="24"/>
        </w:rPr>
        <w:t>,</w:t>
      </w:r>
      <w:r w:rsidRPr="002C0C73">
        <w:rPr>
          <w:rFonts w:cs="Arial"/>
          <w:sz w:val="24"/>
          <w:szCs w:val="24"/>
        </w:rPr>
        <w:t xml:space="preserve"> porque el argumento se funda en un hecho futuro de realización incierta, es decir, no necesariamente ocurrirá la doble afiliación y, en todo caso, aunque aconteciera tal circunstancia, </w:t>
      </w:r>
      <w:r w:rsidR="0088428B" w:rsidRPr="002C0C73">
        <w:rPr>
          <w:rFonts w:cs="Arial"/>
          <w:sz w:val="24"/>
          <w:szCs w:val="24"/>
        </w:rPr>
        <w:t xml:space="preserve">ello no tiene como consecuencia </w:t>
      </w:r>
      <w:r w:rsidRPr="002C0C73">
        <w:rPr>
          <w:rFonts w:cs="Arial"/>
          <w:sz w:val="24"/>
          <w:szCs w:val="24"/>
        </w:rPr>
        <w:t>automática la negativa de constitución como PPN de alguna de esas organizaciones.</w:t>
      </w:r>
    </w:p>
    <w:p w:rsidR="00572ED8" w:rsidRPr="005B1C5F" w:rsidRDefault="00572ED8" w:rsidP="00572ED8">
      <w:pPr>
        <w:spacing w:before="100" w:beforeAutospacing="1" w:after="100" w:afterAutospacing="1" w:line="360" w:lineRule="auto"/>
        <w:jc w:val="both"/>
        <w:rPr>
          <w:rFonts w:cs="Arial"/>
          <w:sz w:val="24"/>
          <w:szCs w:val="24"/>
        </w:rPr>
      </w:pPr>
      <w:r w:rsidRPr="005B1C5F">
        <w:rPr>
          <w:rFonts w:cs="Arial"/>
          <w:sz w:val="24"/>
          <w:szCs w:val="24"/>
        </w:rPr>
        <w:t>Al respecto, cabe señalar que el INE debe verificar la inexistencia de doble afiliación, en los términos previstos en la normativa.</w:t>
      </w:r>
      <w:r w:rsidRPr="005B1C5F">
        <w:rPr>
          <w:rStyle w:val="Refdenotaalpie"/>
          <w:rFonts w:cs="Arial"/>
          <w:sz w:val="24"/>
          <w:szCs w:val="24"/>
        </w:rPr>
        <w:footnoteReference w:id="41"/>
      </w:r>
      <w:r w:rsidRPr="005B1C5F">
        <w:rPr>
          <w:rFonts w:cs="Arial"/>
          <w:sz w:val="24"/>
          <w:szCs w:val="24"/>
        </w:rPr>
        <w:t xml:space="preserve"> </w:t>
      </w:r>
    </w:p>
    <w:p w:rsidR="00572ED8" w:rsidRPr="005B1C5F" w:rsidRDefault="00572ED8" w:rsidP="00572ED8">
      <w:pPr>
        <w:spacing w:before="100" w:beforeAutospacing="1" w:after="100" w:afterAutospacing="1" w:line="360" w:lineRule="auto"/>
        <w:jc w:val="both"/>
        <w:rPr>
          <w:rFonts w:cs="Arial"/>
          <w:sz w:val="24"/>
          <w:szCs w:val="24"/>
        </w:rPr>
      </w:pPr>
      <w:r w:rsidRPr="005B1C5F">
        <w:rPr>
          <w:rFonts w:cs="Arial"/>
          <w:sz w:val="24"/>
          <w:szCs w:val="24"/>
        </w:rPr>
        <w:t>Es decir, el INE deberá verificar que no exista doble afiliación a partidos ya registrados o en formación. Si un ciudadano aparece en más de un padrón de afiliados de partidos políticos, el INE dará vista a los partidos políticos involucrados para que manifiesten lo que a su derecho convenga; de subsistir la doble afiliación, el INE requerirá al ciudadano para que se manifieste al respecto y, en caso de que no se manifieste, subsistirá la más reciente.</w:t>
      </w:r>
    </w:p>
    <w:p w:rsidR="00572ED8" w:rsidRPr="002C0C73" w:rsidRDefault="00572ED8" w:rsidP="00572ED8">
      <w:pPr>
        <w:spacing w:before="100" w:beforeAutospacing="1" w:after="100" w:afterAutospacing="1" w:line="360" w:lineRule="auto"/>
        <w:jc w:val="both"/>
        <w:rPr>
          <w:rFonts w:cs="Arial"/>
          <w:sz w:val="24"/>
          <w:szCs w:val="24"/>
          <w:u w:color="C45911" w:themeColor="accent2" w:themeShade="BF"/>
        </w:rPr>
      </w:pPr>
      <w:r w:rsidRPr="005B1C5F">
        <w:rPr>
          <w:rFonts w:cs="Arial"/>
          <w:sz w:val="24"/>
          <w:szCs w:val="24"/>
        </w:rPr>
        <w:t>Es decir, la</w:t>
      </w:r>
      <w:r w:rsidRPr="002C0C73">
        <w:rPr>
          <w:rFonts w:cs="Arial"/>
          <w:sz w:val="24"/>
          <w:szCs w:val="24"/>
          <w:u w:color="C45911" w:themeColor="accent2" w:themeShade="BF"/>
        </w:rPr>
        <w:t xml:space="preserve"> normativa en modo alguno impone como consecuencia la negativa de registro de la organización como PPN. </w:t>
      </w:r>
    </w:p>
    <w:p w:rsidR="00B317B7" w:rsidRPr="002C0C73" w:rsidRDefault="00572ED8" w:rsidP="007B77D9">
      <w:pPr>
        <w:spacing w:before="100" w:beforeAutospacing="1" w:after="100" w:afterAutospacing="1" w:line="360" w:lineRule="auto"/>
        <w:jc w:val="both"/>
        <w:rPr>
          <w:rFonts w:cs="Arial"/>
          <w:sz w:val="24"/>
          <w:szCs w:val="24"/>
          <w:u w:color="C45911" w:themeColor="accent2" w:themeShade="BF"/>
        </w:rPr>
      </w:pPr>
      <w:r>
        <w:rPr>
          <w:rFonts w:cs="Arial"/>
          <w:sz w:val="24"/>
          <w:szCs w:val="24"/>
          <w:u w:color="C45911" w:themeColor="accent2" w:themeShade="BF"/>
        </w:rPr>
        <w:t xml:space="preserve">Así, </w:t>
      </w:r>
      <w:r w:rsidR="00B9298B" w:rsidRPr="002C0C73">
        <w:rPr>
          <w:rFonts w:cs="Arial"/>
          <w:sz w:val="24"/>
          <w:szCs w:val="24"/>
          <w:u w:color="C45911" w:themeColor="accent2" w:themeShade="BF"/>
        </w:rPr>
        <w:t>contrario a lo manifestado por GIN, la existencia de duplicidades en s</w:t>
      </w:r>
      <w:r w:rsidR="00932B7B" w:rsidRPr="002C0C73">
        <w:rPr>
          <w:rFonts w:cs="Arial"/>
          <w:sz w:val="24"/>
          <w:szCs w:val="24"/>
          <w:u w:color="C45911" w:themeColor="accent2" w:themeShade="BF"/>
        </w:rPr>
        <w:t>í</w:t>
      </w:r>
      <w:r w:rsidR="00B9298B" w:rsidRPr="002C0C73">
        <w:rPr>
          <w:rFonts w:cs="Arial"/>
          <w:sz w:val="24"/>
          <w:szCs w:val="24"/>
          <w:u w:color="C45911" w:themeColor="accent2" w:themeShade="BF"/>
        </w:rPr>
        <w:t xml:space="preserve"> mismo no le puede causar afectaciones, porque el INE debe verificar su existencia y, en caso de advertirlas, debe realizar un procedimiento para determinar cuál debe prevalecer. </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Tampoco es obstáculo</w:t>
      </w:r>
      <w:r w:rsidR="0088428B" w:rsidRPr="002C0C73">
        <w:rPr>
          <w:rFonts w:cs="Arial"/>
          <w:sz w:val="24"/>
          <w:szCs w:val="24"/>
        </w:rPr>
        <w:t>,</w:t>
      </w:r>
      <w:r w:rsidRPr="002C0C73">
        <w:rPr>
          <w:rFonts w:cs="Arial"/>
          <w:sz w:val="24"/>
          <w:szCs w:val="24"/>
        </w:rPr>
        <w:t xml:space="preserve"> la manifestación de </w:t>
      </w:r>
      <w:r w:rsidR="0088428B" w:rsidRPr="002C0C73">
        <w:rPr>
          <w:rFonts w:cs="Arial"/>
          <w:sz w:val="24"/>
          <w:szCs w:val="24"/>
        </w:rPr>
        <w:t xml:space="preserve">GIN </w:t>
      </w:r>
      <w:r w:rsidRPr="002C0C73">
        <w:rPr>
          <w:rFonts w:cs="Arial"/>
          <w:sz w:val="24"/>
          <w:szCs w:val="24"/>
        </w:rPr>
        <w:t>de que</w:t>
      </w:r>
      <w:r w:rsidR="0088428B" w:rsidRPr="002C0C73">
        <w:rPr>
          <w:rFonts w:cs="Arial"/>
          <w:sz w:val="24"/>
          <w:szCs w:val="24"/>
        </w:rPr>
        <w:t>,</w:t>
      </w:r>
      <w:r w:rsidRPr="002C0C73">
        <w:rPr>
          <w:rFonts w:cs="Arial"/>
          <w:sz w:val="24"/>
          <w:szCs w:val="24"/>
        </w:rPr>
        <w:t xml:space="preserve"> cuando los integrantes de comunidades indígenas soliciten el registro como </w:t>
      </w:r>
      <w:r w:rsidR="0088428B" w:rsidRPr="002C0C73">
        <w:rPr>
          <w:rFonts w:cs="Arial"/>
          <w:sz w:val="24"/>
          <w:szCs w:val="24"/>
        </w:rPr>
        <w:t>PPN</w:t>
      </w:r>
      <w:r w:rsidRPr="002C0C73">
        <w:rPr>
          <w:rFonts w:cs="Arial"/>
          <w:sz w:val="24"/>
          <w:szCs w:val="24"/>
        </w:rPr>
        <w:t xml:space="preserve">, las </w:t>
      </w:r>
      <w:r w:rsidRPr="002C0C73">
        <w:rPr>
          <w:rFonts w:cs="Arial"/>
          <w:sz w:val="24"/>
          <w:szCs w:val="24"/>
        </w:rPr>
        <w:lastRenderedPageBreak/>
        <w:t>autoridades electorales deben interpretar y aplicar las disposiciones relativas de la manera más favorable.</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Lo anterior, ya que, interpretar las normas de la manera más favorable a la maximización de los derechos no implica omitir el cumplimiento de los requisitos establecidos para otorgarle </w:t>
      </w:r>
      <w:r w:rsidR="0088428B" w:rsidRPr="002C0C73">
        <w:rPr>
          <w:rFonts w:cs="Arial"/>
          <w:sz w:val="24"/>
          <w:szCs w:val="24"/>
        </w:rPr>
        <w:t xml:space="preserve">el </w:t>
      </w:r>
      <w:r w:rsidRPr="002C0C73">
        <w:rPr>
          <w:rFonts w:cs="Arial"/>
          <w:sz w:val="24"/>
          <w:szCs w:val="24"/>
        </w:rPr>
        <w:t>registro como PPN.</w:t>
      </w:r>
    </w:p>
    <w:p w:rsidR="007B77D9" w:rsidRPr="002C0C73" w:rsidRDefault="007B77D9" w:rsidP="007B77D9">
      <w:pPr>
        <w:spacing w:before="100" w:beforeAutospacing="1" w:after="100" w:afterAutospacing="1" w:line="360" w:lineRule="auto"/>
        <w:jc w:val="both"/>
        <w:rPr>
          <w:rFonts w:cs="Arial"/>
          <w:sz w:val="24"/>
          <w:szCs w:val="24"/>
        </w:rPr>
      </w:pPr>
      <w:r w:rsidRPr="002C0C73">
        <w:rPr>
          <w:rFonts w:cs="Arial"/>
          <w:sz w:val="24"/>
          <w:szCs w:val="24"/>
        </w:rPr>
        <w:t xml:space="preserve">Además, como se ha establecido anteriormente, el INE sí ha aplicado las disposiciones y ajustado los plazos de una manera que maximiza el derecho de asociación de </w:t>
      </w:r>
      <w:r w:rsidR="0088428B" w:rsidRPr="002C0C73">
        <w:rPr>
          <w:rFonts w:cs="Arial"/>
          <w:sz w:val="24"/>
          <w:szCs w:val="24"/>
        </w:rPr>
        <w:t>GIN</w:t>
      </w:r>
      <w:r w:rsidRPr="002C0C73">
        <w:rPr>
          <w:rFonts w:cs="Arial"/>
          <w:sz w:val="24"/>
          <w:szCs w:val="24"/>
        </w:rPr>
        <w:t xml:space="preserve">, tal como se hizo al reponer </w:t>
      </w:r>
      <w:r w:rsidR="0088428B" w:rsidRPr="002C0C73">
        <w:rPr>
          <w:rFonts w:cs="Arial"/>
          <w:sz w:val="24"/>
          <w:szCs w:val="24"/>
        </w:rPr>
        <w:t xml:space="preserve">cincuenta y cuatro </w:t>
      </w:r>
      <w:r w:rsidRPr="002C0C73">
        <w:rPr>
          <w:rFonts w:cs="Arial"/>
          <w:sz w:val="24"/>
          <w:szCs w:val="24"/>
        </w:rPr>
        <w:t>días en los plazos dentro del mismo.</w:t>
      </w:r>
    </w:p>
    <w:p w:rsidR="00870563" w:rsidRPr="002C0C73" w:rsidRDefault="00D51B27" w:rsidP="00B071F1">
      <w:pPr>
        <w:pStyle w:val="Ttulo1"/>
        <w:spacing w:before="100" w:beforeAutospacing="1" w:after="100" w:afterAutospacing="1" w:line="360" w:lineRule="auto"/>
        <w:jc w:val="both"/>
        <w:rPr>
          <w:rFonts w:ascii="Arial" w:hAnsi="Arial" w:cs="Arial"/>
          <w:b/>
          <w:bCs/>
          <w:color w:val="auto"/>
          <w:sz w:val="24"/>
          <w:szCs w:val="24"/>
        </w:rPr>
      </w:pPr>
      <w:bookmarkStart w:id="29" w:name="_Toc43048092"/>
      <w:r w:rsidRPr="002C0C73">
        <w:rPr>
          <w:rFonts w:ascii="Arial" w:hAnsi="Arial" w:cs="Arial"/>
          <w:b/>
          <w:bCs/>
          <w:color w:val="auto"/>
          <w:sz w:val="24"/>
          <w:szCs w:val="24"/>
        </w:rPr>
        <w:t>Tercer tema</w:t>
      </w:r>
      <w:r w:rsidR="00870563" w:rsidRPr="002C0C73">
        <w:rPr>
          <w:rFonts w:ascii="Arial" w:hAnsi="Arial" w:cs="Arial"/>
          <w:b/>
          <w:bCs/>
          <w:color w:val="auto"/>
          <w:sz w:val="24"/>
          <w:szCs w:val="24"/>
        </w:rPr>
        <w:t>. Fecha límite para resolver sobre el registro y violación a otros derechos</w:t>
      </w:r>
      <w:bookmarkEnd w:id="29"/>
    </w:p>
    <w:p w:rsidR="00870563" w:rsidRPr="002C0C73" w:rsidRDefault="00974A5C" w:rsidP="007B77D9">
      <w:pPr>
        <w:shd w:val="clear" w:color="auto" w:fill="FFFFFF"/>
        <w:spacing w:before="100" w:beforeAutospacing="1" w:after="100" w:afterAutospacing="1" w:line="360" w:lineRule="auto"/>
        <w:jc w:val="both"/>
        <w:rPr>
          <w:rFonts w:eastAsia="Times New Roman" w:cs="Arial"/>
          <w:sz w:val="24"/>
          <w:szCs w:val="24"/>
          <w:lang w:eastAsia="es-MX"/>
        </w:rPr>
      </w:pPr>
      <w:r w:rsidRPr="002C0C73">
        <w:rPr>
          <w:rFonts w:eastAsia="Times New Roman" w:cs="Arial"/>
          <w:sz w:val="24"/>
          <w:szCs w:val="24"/>
          <w:lang w:eastAsia="es-MX"/>
        </w:rPr>
        <w:t xml:space="preserve">Como se mencionó en el apartado de metodología, a continuación, se analizarán los argumentos expuestos por OES y LRD, porque son idénticos en algunos aspectos. </w:t>
      </w:r>
    </w:p>
    <w:p w:rsidR="00974A5C" w:rsidRPr="002C0C73" w:rsidRDefault="00974A5C" w:rsidP="00974A5C">
      <w:pPr>
        <w:spacing w:before="240" w:after="240" w:line="360" w:lineRule="auto"/>
        <w:jc w:val="both"/>
        <w:rPr>
          <w:rFonts w:cs="Arial"/>
          <w:b/>
          <w:sz w:val="24"/>
          <w:szCs w:val="24"/>
        </w:rPr>
      </w:pPr>
      <w:r w:rsidRPr="002C0C73">
        <w:rPr>
          <w:rFonts w:cs="Arial"/>
          <w:b/>
          <w:sz w:val="24"/>
          <w:szCs w:val="24"/>
        </w:rPr>
        <w:t>I. Planteamientos</w:t>
      </w:r>
    </w:p>
    <w:p w:rsidR="00154CF6" w:rsidRPr="002C0C73" w:rsidRDefault="004720E8" w:rsidP="00154CF6">
      <w:pPr>
        <w:spacing w:before="240" w:after="240" w:line="360" w:lineRule="auto"/>
        <w:jc w:val="both"/>
        <w:rPr>
          <w:rFonts w:cs="Arial"/>
          <w:sz w:val="24"/>
          <w:szCs w:val="24"/>
        </w:rPr>
      </w:pPr>
      <w:r w:rsidRPr="002C0C73">
        <w:rPr>
          <w:rFonts w:cs="Arial"/>
          <w:sz w:val="24"/>
          <w:szCs w:val="24"/>
        </w:rPr>
        <w:t xml:space="preserve">En su concepto, </w:t>
      </w:r>
      <w:r w:rsidR="00974A5C" w:rsidRPr="002C0C73">
        <w:rPr>
          <w:rFonts w:cs="Arial"/>
          <w:sz w:val="24"/>
          <w:szCs w:val="24"/>
        </w:rPr>
        <w:t xml:space="preserve">no existe causa legal para retardar el dictado de la resolución de registro, máxime si </w:t>
      </w:r>
      <w:r w:rsidRPr="002C0C73">
        <w:rPr>
          <w:rFonts w:cs="Arial"/>
          <w:sz w:val="24"/>
          <w:szCs w:val="24"/>
        </w:rPr>
        <w:t xml:space="preserve">cumplieron </w:t>
      </w:r>
      <w:r w:rsidR="00974A5C" w:rsidRPr="002C0C73">
        <w:rPr>
          <w:rFonts w:cs="Arial"/>
          <w:sz w:val="24"/>
          <w:szCs w:val="24"/>
        </w:rPr>
        <w:t xml:space="preserve">todos los requisitos. </w:t>
      </w:r>
      <w:r w:rsidR="00154CF6" w:rsidRPr="002C0C73">
        <w:rPr>
          <w:rFonts w:cs="Arial"/>
          <w:sz w:val="24"/>
          <w:szCs w:val="24"/>
        </w:rPr>
        <w:t>Para OES y LRD la nueva fecha límite vulnera la equidad, porque los nuevos PPN necesitan por lo menos dos meses para realizar su organización interna.</w:t>
      </w:r>
    </w:p>
    <w:p w:rsidR="0005370B" w:rsidRPr="002C0C73" w:rsidRDefault="0005370B" w:rsidP="0005370B">
      <w:pPr>
        <w:spacing w:before="240" w:after="240" w:line="360" w:lineRule="auto"/>
        <w:jc w:val="both"/>
        <w:rPr>
          <w:rFonts w:cs="Arial"/>
          <w:sz w:val="24"/>
          <w:szCs w:val="24"/>
        </w:rPr>
      </w:pPr>
      <w:r w:rsidRPr="002C0C73">
        <w:rPr>
          <w:rFonts w:cs="Arial"/>
          <w:sz w:val="24"/>
          <w:szCs w:val="24"/>
        </w:rPr>
        <w:t>Además, en el acuerdo por el cual se suspendieron actividades, solamente se ordenó detener lo vinculado con procedimientos sancionadores, fiscalización y garantía de audiencia para quien así lo solicitara, no las demás</w:t>
      </w:r>
      <w:r w:rsidR="00F85F51" w:rsidRPr="002C0C73">
        <w:rPr>
          <w:rFonts w:cs="Arial"/>
          <w:sz w:val="24"/>
          <w:szCs w:val="24"/>
        </w:rPr>
        <w:t xml:space="preserve"> actividades.</w:t>
      </w:r>
    </w:p>
    <w:p w:rsidR="00974A5C" w:rsidRPr="002C0C73" w:rsidRDefault="00974A5C" w:rsidP="00974A5C">
      <w:pPr>
        <w:spacing w:before="240" w:after="240" w:line="360" w:lineRule="auto"/>
        <w:jc w:val="both"/>
        <w:rPr>
          <w:rFonts w:cs="Arial"/>
          <w:sz w:val="24"/>
          <w:szCs w:val="24"/>
        </w:rPr>
      </w:pPr>
      <w:r w:rsidRPr="002C0C73">
        <w:rPr>
          <w:rFonts w:cs="Arial"/>
          <w:sz w:val="24"/>
          <w:szCs w:val="24"/>
        </w:rPr>
        <w:t xml:space="preserve">En el caso, no se explica porque se dejó de continuar, por ejemplo, con la validación de afiliaciones y de asambleas, o con la revisión de los documentos básicos, actividades que, en su concepto, bien se pudieron concluir. </w:t>
      </w:r>
    </w:p>
    <w:p w:rsidR="00974A5C" w:rsidRPr="002C0C73" w:rsidRDefault="00974A5C" w:rsidP="00974A5C">
      <w:pPr>
        <w:spacing w:before="240" w:after="240" w:line="360" w:lineRule="auto"/>
        <w:jc w:val="both"/>
        <w:rPr>
          <w:rFonts w:cs="Arial"/>
          <w:sz w:val="24"/>
          <w:szCs w:val="24"/>
        </w:rPr>
      </w:pPr>
      <w:r w:rsidRPr="002C0C73">
        <w:rPr>
          <w:rFonts w:cs="Arial"/>
          <w:sz w:val="24"/>
          <w:szCs w:val="24"/>
        </w:rPr>
        <w:t xml:space="preserve">En cuanto a la fiscalización, la resolución se puede dictar con posterioridad a la determinación sobre la procedencia del registro como partido político nacional. </w:t>
      </w:r>
    </w:p>
    <w:p w:rsidR="00154CF6" w:rsidRPr="002C0C73" w:rsidRDefault="00154CF6" w:rsidP="00154CF6">
      <w:pPr>
        <w:spacing w:before="240" w:after="240" w:line="360" w:lineRule="auto"/>
        <w:jc w:val="both"/>
        <w:rPr>
          <w:rFonts w:cs="Arial"/>
          <w:b/>
          <w:sz w:val="24"/>
          <w:szCs w:val="24"/>
        </w:rPr>
      </w:pPr>
      <w:r w:rsidRPr="002C0C73">
        <w:rPr>
          <w:rFonts w:cs="Arial"/>
          <w:b/>
          <w:sz w:val="24"/>
          <w:szCs w:val="24"/>
        </w:rPr>
        <w:t xml:space="preserve">II. Tesis </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lastRenderedPageBreak/>
        <w:t xml:space="preserve">Son </w:t>
      </w:r>
      <w:r w:rsidRPr="002C0C73">
        <w:rPr>
          <w:rFonts w:cs="Arial"/>
          <w:b/>
          <w:sz w:val="24"/>
          <w:szCs w:val="24"/>
        </w:rPr>
        <w:t>infundados</w:t>
      </w:r>
      <w:r w:rsidRPr="002C0C73">
        <w:rPr>
          <w:rFonts w:cs="Arial"/>
          <w:sz w:val="24"/>
          <w:szCs w:val="24"/>
        </w:rPr>
        <w:t xml:space="preserve"> los argumentos, porque sí hay causa que justifica emitir la resolución a más tardar el treinta y uno de agosto, consistente en la existencia de una situación extraordinaria, la emergencia sanitaria ocasionada por el COVID.</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Esto motiva un ajuste de plazos del procedimiento de constitución de PPN, a fin de garantizar una revisión exhaustiva de los requisitos.</w:t>
      </w:r>
    </w:p>
    <w:p w:rsidR="00154CF6" w:rsidRPr="002C0C73" w:rsidRDefault="00154CF6" w:rsidP="00154CF6">
      <w:pPr>
        <w:spacing w:before="240" w:after="240" w:line="360" w:lineRule="auto"/>
        <w:jc w:val="both"/>
        <w:rPr>
          <w:rFonts w:cs="Arial"/>
          <w:b/>
          <w:sz w:val="24"/>
          <w:szCs w:val="24"/>
        </w:rPr>
      </w:pPr>
      <w:r w:rsidRPr="002C0C73">
        <w:rPr>
          <w:rFonts w:cs="Arial"/>
          <w:b/>
          <w:sz w:val="24"/>
          <w:szCs w:val="24"/>
        </w:rPr>
        <w:t>III.</w:t>
      </w:r>
      <w:r w:rsidRPr="002C0C73">
        <w:rPr>
          <w:rFonts w:cs="Arial"/>
          <w:sz w:val="24"/>
          <w:szCs w:val="24"/>
        </w:rPr>
        <w:t xml:space="preserve"> </w:t>
      </w:r>
      <w:r w:rsidRPr="002C0C73">
        <w:rPr>
          <w:rFonts w:cs="Arial"/>
          <w:b/>
          <w:sz w:val="24"/>
          <w:szCs w:val="24"/>
        </w:rPr>
        <w:t xml:space="preserve">Justificación </w:t>
      </w:r>
    </w:p>
    <w:p w:rsidR="00154CF6" w:rsidRPr="002C0C73" w:rsidRDefault="00154CF6" w:rsidP="00154CF6">
      <w:pPr>
        <w:spacing w:before="240" w:after="240" w:line="360" w:lineRule="auto"/>
        <w:jc w:val="both"/>
        <w:rPr>
          <w:rFonts w:cs="Arial"/>
          <w:b/>
          <w:sz w:val="24"/>
          <w:szCs w:val="24"/>
        </w:rPr>
      </w:pPr>
      <w:r w:rsidRPr="002C0C73">
        <w:rPr>
          <w:rFonts w:cs="Arial"/>
          <w:b/>
          <w:sz w:val="24"/>
          <w:szCs w:val="24"/>
        </w:rPr>
        <w:t>1.</w:t>
      </w:r>
      <w:r w:rsidRPr="002C0C73">
        <w:rPr>
          <w:rFonts w:cs="Arial"/>
          <w:sz w:val="24"/>
          <w:szCs w:val="24"/>
        </w:rPr>
        <w:t xml:space="preserve"> </w:t>
      </w:r>
      <w:r w:rsidRPr="002C0C73">
        <w:rPr>
          <w:rFonts w:cs="Arial"/>
          <w:b/>
          <w:sz w:val="24"/>
          <w:szCs w:val="24"/>
        </w:rPr>
        <w:t>Base normativa</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Los partidos políticos son entidades de interés público. La legislación secundaria determinará las normas y requisitos para su registro, así como su intervención en las elecciones.</w:t>
      </w:r>
      <w:r w:rsidRPr="002C0C73">
        <w:rPr>
          <w:rStyle w:val="Refdenotaalpie"/>
          <w:rFonts w:cs="Arial"/>
          <w:sz w:val="24"/>
          <w:szCs w:val="24"/>
        </w:rPr>
        <w:footnoteReference w:id="42"/>
      </w:r>
      <w:r w:rsidRPr="002C0C73">
        <w:rPr>
          <w:rFonts w:cs="Arial"/>
          <w:sz w:val="24"/>
          <w:szCs w:val="24"/>
        </w:rPr>
        <w:t xml:space="preserve"> </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La ley también debe garantizar la equidad de los elementos para que los partidos políticos realicen sus actividades y cómo recibirán financiamiento</w:t>
      </w:r>
      <w:r w:rsidRPr="002C0C73">
        <w:rPr>
          <w:rStyle w:val="Refdenotaalpie"/>
          <w:rFonts w:cs="Arial"/>
          <w:sz w:val="24"/>
          <w:szCs w:val="24"/>
        </w:rPr>
        <w:footnoteReference w:id="43"/>
      </w:r>
      <w:r w:rsidRPr="002C0C73">
        <w:rPr>
          <w:rFonts w:cs="Arial"/>
          <w:sz w:val="24"/>
          <w:szCs w:val="24"/>
        </w:rPr>
        <w:t>. De igual forma, tienen derecho al uso permanente de los medios de comunicación social</w:t>
      </w:r>
      <w:r w:rsidRPr="002C0C73">
        <w:rPr>
          <w:rStyle w:val="Refdenotaalpie"/>
          <w:rFonts w:cs="Arial"/>
          <w:sz w:val="24"/>
          <w:szCs w:val="24"/>
        </w:rPr>
        <w:footnoteReference w:id="44"/>
      </w:r>
      <w:r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Por otra parte, el INE es el encargado de la función estatal y su CG es el máximo órgano de dirección</w:t>
      </w:r>
      <w:r w:rsidRPr="002C0C73">
        <w:rPr>
          <w:rStyle w:val="Refdenotaalpie"/>
          <w:rFonts w:cs="Arial"/>
          <w:sz w:val="24"/>
          <w:szCs w:val="24"/>
        </w:rPr>
        <w:footnoteReference w:id="45"/>
      </w:r>
      <w:r w:rsidRPr="002C0C73">
        <w:rPr>
          <w:rFonts w:cs="Arial"/>
          <w:sz w:val="24"/>
          <w:szCs w:val="24"/>
        </w:rPr>
        <w:t>. Éste es el responsable de vigilar el cumplimiento de las disposiciones constitucionales y legales en la materia</w:t>
      </w:r>
      <w:r w:rsidRPr="002C0C73">
        <w:rPr>
          <w:rStyle w:val="Refdenotaalpie"/>
          <w:rFonts w:cs="Arial"/>
          <w:sz w:val="24"/>
          <w:szCs w:val="24"/>
        </w:rPr>
        <w:footnoteReference w:id="46"/>
      </w:r>
      <w:r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Entre las atribuciones del CG del INE está la posibilidad de emitir reglamentos</w:t>
      </w:r>
      <w:r w:rsidRPr="002C0C73">
        <w:rPr>
          <w:rStyle w:val="Refdenotaalpie"/>
          <w:rFonts w:cs="Arial"/>
          <w:sz w:val="24"/>
          <w:szCs w:val="24"/>
        </w:rPr>
        <w:footnoteReference w:id="47"/>
      </w:r>
      <w:r w:rsidRPr="002C0C73">
        <w:rPr>
          <w:rFonts w:cs="Arial"/>
          <w:sz w:val="24"/>
          <w:szCs w:val="24"/>
        </w:rPr>
        <w:t>, vigilar el adecuado funcionamiento de los órganos</w:t>
      </w:r>
      <w:r w:rsidRPr="002C0C73">
        <w:rPr>
          <w:rStyle w:val="Refdenotaalpie"/>
          <w:rFonts w:cs="Arial"/>
          <w:sz w:val="24"/>
          <w:szCs w:val="24"/>
        </w:rPr>
        <w:footnoteReference w:id="48"/>
      </w:r>
      <w:r w:rsidRPr="002C0C73">
        <w:rPr>
          <w:rFonts w:cs="Arial"/>
          <w:sz w:val="24"/>
          <w:szCs w:val="24"/>
        </w:rPr>
        <w:t>, vigilar el apego a la normativa respecto a las prerrogativas de los partidos políticos, otorgar el registro a éstos y emitir la declaratoria correspondiente</w:t>
      </w:r>
      <w:r w:rsidRPr="002C0C73">
        <w:rPr>
          <w:rStyle w:val="Refdenotaalpie"/>
          <w:rFonts w:cs="Arial"/>
          <w:sz w:val="24"/>
          <w:szCs w:val="24"/>
        </w:rPr>
        <w:footnoteReference w:id="49"/>
      </w:r>
      <w:r w:rsidRPr="002C0C73">
        <w:rPr>
          <w:rFonts w:cs="Arial"/>
          <w:sz w:val="24"/>
          <w:szCs w:val="24"/>
        </w:rPr>
        <w:t>, conocer las infracciones e imponer las sanciones respectivas</w:t>
      </w:r>
      <w:r w:rsidRPr="002C0C73">
        <w:rPr>
          <w:rStyle w:val="Refdenotaalpie"/>
          <w:rFonts w:cs="Arial"/>
          <w:sz w:val="24"/>
          <w:szCs w:val="24"/>
        </w:rPr>
        <w:footnoteReference w:id="50"/>
      </w:r>
      <w:r w:rsidRPr="002C0C73">
        <w:rPr>
          <w:rFonts w:cs="Arial"/>
          <w:sz w:val="24"/>
          <w:szCs w:val="24"/>
        </w:rPr>
        <w:t>, así como dictar los acuerdos necesarios para hacer efectivas las atribuciones anteriores</w:t>
      </w:r>
      <w:r w:rsidRPr="002C0C73">
        <w:rPr>
          <w:rStyle w:val="Refdenotaalpie"/>
          <w:rFonts w:cs="Arial"/>
          <w:sz w:val="24"/>
          <w:szCs w:val="24"/>
        </w:rPr>
        <w:footnoteReference w:id="51"/>
      </w:r>
      <w:r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lastRenderedPageBreak/>
        <w:t xml:space="preserve">Las organizaciones que pretendan ser </w:t>
      </w:r>
      <w:r w:rsidR="009F012F" w:rsidRPr="002C0C73">
        <w:rPr>
          <w:rFonts w:cs="Arial"/>
          <w:sz w:val="24"/>
          <w:szCs w:val="24"/>
        </w:rPr>
        <w:t xml:space="preserve">PPN </w:t>
      </w:r>
      <w:r w:rsidRPr="002C0C73">
        <w:rPr>
          <w:rFonts w:cs="Arial"/>
          <w:sz w:val="24"/>
          <w:szCs w:val="24"/>
        </w:rPr>
        <w:t>deberán obtener su registro ante el INE</w:t>
      </w:r>
      <w:r w:rsidRPr="002C0C73">
        <w:rPr>
          <w:rStyle w:val="Refdenotaalpie"/>
          <w:rFonts w:cs="Arial"/>
          <w:sz w:val="24"/>
          <w:szCs w:val="24"/>
        </w:rPr>
        <w:footnoteReference w:id="52"/>
      </w:r>
      <w:r w:rsidRPr="002C0C73">
        <w:rPr>
          <w:rFonts w:cs="Arial"/>
          <w:sz w:val="24"/>
          <w:szCs w:val="24"/>
        </w:rPr>
        <w:t xml:space="preserve"> y se deberá verificar el cumplimiento de requisitos</w:t>
      </w:r>
      <w:r w:rsidRPr="002C0C73">
        <w:rPr>
          <w:rStyle w:val="Refdenotaalpie"/>
          <w:rFonts w:cs="Arial"/>
          <w:sz w:val="24"/>
          <w:szCs w:val="24"/>
        </w:rPr>
        <w:footnoteReference w:id="53"/>
      </w:r>
      <w:r w:rsidRPr="002C0C73">
        <w:rPr>
          <w:rFonts w:cs="Arial"/>
          <w:sz w:val="24"/>
          <w:szCs w:val="24"/>
        </w:rPr>
        <w:t>, como son</w:t>
      </w:r>
      <w:r w:rsidRPr="002C0C73">
        <w:rPr>
          <w:rStyle w:val="Refdenotaalpie"/>
          <w:rFonts w:cs="Arial"/>
          <w:sz w:val="24"/>
          <w:szCs w:val="24"/>
        </w:rPr>
        <w:footnoteReference w:id="54"/>
      </w:r>
      <w:r w:rsidRPr="002C0C73">
        <w:rPr>
          <w:rFonts w:cs="Arial"/>
          <w:sz w:val="24"/>
          <w:szCs w:val="24"/>
        </w:rPr>
        <w:t>:</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Una declaración de principios, un programa de acción y un estatuto, los cuales deben cumplir las exigencias de ley, y</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 xml:space="preserve">Tener tres mil afiliados en por lo menos veinte estados, o </w:t>
      </w:r>
      <w:r w:rsidR="00932B7B" w:rsidRPr="002C0C73">
        <w:rPr>
          <w:rFonts w:cs="Arial"/>
          <w:sz w:val="24"/>
          <w:szCs w:val="24"/>
        </w:rPr>
        <w:t>trescientos</w:t>
      </w:r>
      <w:r w:rsidRPr="002C0C73">
        <w:rPr>
          <w:rFonts w:cs="Arial"/>
          <w:sz w:val="24"/>
          <w:szCs w:val="24"/>
        </w:rPr>
        <w:t xml:space="preserve"> militantes en por lo menos doscientos distritos, todos deberán contar con credencial para votar. En ningún caso, el número no podrá ser menor al 0.26% del padrón electoral federal.</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El momento de presentar la intención para ser </w:t>
      </w:r>
      <w:r w:rsidR="009F012F" w:rsidRPr="002C0C73">
        <w:rPr>
          <w:rFonts w:cs="Arial"/>
          <w:sz w:val="24"/>
          <w:szCs w:val="24"/>
        </w:rPr>
        <w:t>PPN</w:t>
      </w:r>
      <w:r w:rsidRPr="002C0C73">
        <w:rPr>
          <w:rFonts w:cs="Arial"/>
          <w:sz w:val="24"/>
          <w:szCs w:val="24"/>
        </w:rPr>
        <w:t xml:space="preserve"> es el mes de enero del año siguiente a la elección </w:t>
      </w:r>
      <w:r w:rsidR="009F012F" w:rsidRPr="002C0C73">
        <w:rPr>
          <w:rFonts w:cs="Arial"/>
          <w:sz w:val="24"/>
          <w:szCs w:val="24"/>
        </w:rPr>
        <w:t>presidencial</w:t>
      </w:r>
      <w:r w:rsidRPr="002C0C73">
        <w:rPr>
          <w:rStyle w:val="Refdenotaalpie"/>
          <w:rFonts w:cs="Arial"/>
          <w:sz w:val="24"/>
          <w:szCs w:val="24"/>
        </w:rPr>
        <w:footnoteReference w:id="55"/>
      </w:r>
      <w:r w:rsidRPr="002C0C73">
        <w:rPr>
          <w:rFonts w:cs="Arial"/>
          <w:sz w:val="24"/>
          <w:szCs w:val="24"/>
        </w:rPr>
        <w:t>. Y se deberá acreditar:</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celebración de asambleas estatales o distritales.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 xml:space="preserve">El número exigido de afiliados, que éstos suscribieron la manifestación de afiliación y aprobaron </w:t>
      </w:r>
      <w:r w:rsidR="009F012F" w:rsidRPr="002C0C73">
        <w:rPr>
          <w:rFonts w:cs="Arial"/>
          <w:sz w:val="24"/>
          <w:szCs w:val="24"/>
        </w:rPr>
        <w:t>los documentos básicos</w:t>
      </w:r>
      <w:r w:rsidRPr="002C0C73">
        <w:rPr>
          <w:rFonts w:cs="Arial"/>
          <w:sz w:val="24"/>
          <w:szCs w:val="24"/>
        </w:rPr>
        <w:t>.</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lista de afiliados, con el nombre, apellidos, domicilio, clave y folio de la credencial para votar.</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no participación de organizaciones gremiales u otras de objeto social diferente.</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celebración de una asamblea nacional constitutiva.</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Hecho lo anterior, </w:t>
      </w:r>
      <w:r w:rsidR="00BE7EB0" w:rsidRPr="002C0C73">
        <w:rPr>
          <w:rFonts w:cs="Arial"/>
          <w:sz w:val="24"/>
          <w:szCs w:val="24"/>
        </w:rPr>
        <w:t xml:space="preserve">la organización respectiva </w:t>
      </w:r>
      <w:r w:rsidRPr="002C0C73">
        <w:rPr>
          <w:rFonts w:cs="Arial"/>
          <w:sz w:val="24"/>
          <w:szCs w:val="24"/>
        </w:rPr>
        <w:t>debe presentar ante el INE la solicitud de registro, con: los documentos básicos, las listas de afiliados por entidades, distritos y municipios, así como las actas de las asambleas.</w:t>
      </w:r>
      <w:r w:rsidRPr="002C0C73">
        <w:rPr>
          <w:rStyle w:val="Refdenotaalpie"/>
          <w:rFonts w:cs="Arial"/>
          <w:sz w:val="24"/>
          <w:szCs w:val="24"/>
        </w:rPr>
        <w:footnoteReference w:id="56"/>
      </w:r>
    </w:p>
    <w:p w:rsidR="00154CF6" w:rsidRPr="002C0C73" w:rsidRDefault="00154CF6" w:rsidP="00154CF6">
      <w:pPr>
        <w:spacing w:before="240" w:after="240" w:line="360" w:lineRule="auto"/>
        <w:jc w:val="both"/>
        <w:rPr>
          <w:rFonts w:cs="Arial"/>
          <w:sz w:val="24"/>
          <w:szCs w:val="24"/>
        </w:rPr>
      </w:pPr>
      <w:r w:rsidRPr="002C0C73">
        <w:rPr>
          <w:rFonts w:cs="Arial"/>
          <w:sz w:val="24"/>
          <w:szCs w:val="24"/>
        </w:rPr>
        <w:t>Presentada la solicitud, el INE debe verificar el cumplimiento de los requisitos y del procedimiento de constitución. Para ello, constatará la autenticidad de las afiliaciones, a fin de acreditar el número mínimo de ellos y la antigüedad de un año</w:t>
      </w:r>
      <w:r w:rsidRPr="002C0C73">
        <w:rPr>
          <w:rStyle w:val="Refdenotaalpie"/>
          <w:rFonts w:cs="Arial"/>
          <w:sz w:val="24"/>
          <w:szCs w:val="24"/>
        </w:rPr>
        <w:footnoteReference w:id="57"/>
      </w:r>
      <w:r w:rsidRPr="002C0C73">
        <w:rPr>
          <w:rFonts w:cs="Arial"/>
          <w:sz w:val="24"/>
          <w:szCs w:val="24"/>
        </w:rPr>
        <w:t>. Además, examinar</w:t>
      </w:r>
      <w:r w:rsidR="00722AEB" w:rsidRPr="002C0C73">
        <w:rPr>
          <w:rFonts w:cs="Arial"/>
          <w:sz w:val="24"/>
          <w:szCs w:val="24"/>
        </w:rPr>
        <w:t>á</w:t>
      </w:r>
      <w:r w:rsidRPr="002C0C73">
        <w:rPr>
          <w:rFonts w:cs="Arial"/>
          <w:sz w:val="24"/>
          <w:szCs w:val="24"/>
        </w:rPr>
        <w:t xml:space="preserve"> la inexistencia de doble afiliación</w:t>
      </w:r>
      <w:r w:rsidRPr="002C0C73">
        <w:rPr>
          <w:rStyle w:val="Refdenotaalpie"/>
          <w:rFonts w:cs="Arial"/>
          <w:sz w:val="24"/>
          <w:szCs w:val="24"/>
        </w:rPr>
        <w:footnoteReference w:id="58"/>
      </w:r>
      <w:r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El INE debe elaborar el dictamen respectivo y en los sesenta días posteriores a la presentación de la solicitud, resolverá sobre el registro. De ser procedente, </w:t>
      </w:r>
      <w:r w:rsidRPr="002C0C73">
        <w:rPr>
          <w:rFonts w:cs="Arial"/>
          <w:sz w:val="24"/>
          <w:szCs w:val="24"/>
        </w:rPr>
        <w:lastRenderedPageBreak/>
        <w:t>surtirá efectos constitutivos a partir del primer día del mes de julio del año previo al de la elección.</w:t>
      </w:r>
    </w:p>
    <w:p w:rsidR="00BE7EB0" w:rsidRPr="002C0C73" w:rsidRDefault="00BE7EB0" w:rsidP="00154CF6">
      <w:pPr>
        <w:spacing w:before="240" w:after="240" w:line="360" w:lineRule="auto"/>
        <w:jc w:val="both"/>
        <w:rPr>
          <w:rFonts w:cs="Arial"/>
          <w:sz w:val="24"/>
          <w:szCs w:val="24"/>
        </w:rPr>
      </w:pPr>
      <w:r w:rsidRPr="002C0C73">
        <w:rPr>
          <w:rFonts w:cs="Arial"/>
          <w:sz w:val="24"/>
          <w:szCs w:val="24"/>
        </w:rPr>
        <w:t>De lo expuesto, se advierte que las organizaciones que pretendan ser PPN deben realizar m</w:t>
      </w:r>
      <w:r w:rsidR="00627171" w:rsidRPr="002C0C73">
        <w:rPr>
          <w:rFonts w:cs="Arial"/>
          <w:sz w:val="24"/>
          <w:szCs w:val="24"/>
        </w:rPr>
        <w:t>ú</w:t>
      </w:r>
      <w:r w:rsidRPr="002C0C73">
        <w:rPr>
          <w:rFonts w:cs="Arial"/>
          <w:sz w:val="24"/>
          <w:szCs w:val="24"/>
        </w:rPr>
        <w:t>ltiples actividades y cumplir diversos requisitos</w:t>
      </w:r>
      <w:r w:rsidR="00627171" w:rsidRPr="002C0C73">
        <w:rPr>
          <w:rFonts w:cs="Arial"/>
          <w:sz w:val="24"/>
          <w:szCs w:val="24"/>
        </w:rPr>
        <w:t xml:space="preserve"> para lograrlo. Y, a su vez, el INE debe verificar que esos actos se hayan llevado a cabo y, por supuesto, examinar si se cumplen las exigencias para ser PPN.</w:t>
      </w:r>
    </w:p>
    <w:p w:rsidR="00627171" w:rsidRPr="002C0C73" w:rsidRDefault="00627171" w:rsidP="00154CF6">
      <w:pPr>
        <w:spacing w:before="240" w:after="240" w:line="360" w:lineRule="auto"/>
        <w:jc w:val="both"/>
        <w:rPr>
          <w:rFonts w:cs="Arial"/>
          <w:sz w:val="24"/>
          <w:szCs w:val="24"/>
        </w:rPr>
      </w:pPr>
      <w:r w:rsidRPr="002C0C73">
        <w:rPr>
          <w:rFonts w:cs="Arial"/>
          <w:sz w:val="24"/>
          <w:szCs w:val="24"/>
        </w:rPr>
        <w:t xml:space="preserve">Todo ello evidencia que la constitución de PPN es un procedimiento complejo, compuesto de diversas etapas, </w:t>
      </w:r>
      <w:r w:rsidR="00F85F51" w:rsidRPr="002C0C73">
        <w:rPr>
          <w:rFonts w:cs="Arial"/>
          <w:sz w:val="24"/>
          <w:szCs w:val="24"/>
        </w:rPr>
        <w:t>se realizan varias actividades y</w:t>
      </w:r>
      <w:r w:rsidRPr="002C0C73">
        <w:rPr>
          <w:rFonts w:cs="Arial"/>
          <w:sz w:val="24"/>
          <w:szCs w:val="24"/>
        </w:rPr>
        <w:t xml:space="preserve"> participa</w:t>
      </w:r>
      <w:r w:rsidR="00F85F51" w:rsidRPr="002C0C73">
        <w:rPr>
          <w:rFonts w:cs="Arial"/>
          <w:sz w:val="24"/>
          <w:szCs w:val="24"/>
        </w:rPr>
        <w:t>n</w:t>
      </w:r>
      <w:r w:rsidRPr="002C0C73">
        <w:rPr>
          <w:rFonts w:cs="Arial"/>
          <w:sz w:val="24"/>
          <w:szCs w:val="24"/>
        </w:rPr>
        <w:t xml:space="preserve"> las organizaciones que desean ser PPN, la ciudadanía, </w:t>
      </w:r>
      <w:r w:rsidR="00F85F51" w:rsidRPr="002C0C73">
        <w:rPr>
          <w:rFonts w:cs="Arial"/>
          <w:sz w:val="24"/>
          <w:szCs w:val="24"/>
        </w:rPr>
        <w:t xml:space="preserve">las </w:t>
      </w:r>
      <w:r w:rsidRPr="002C0C73">
        <w:rPr>
          <w:rFonts w:cs="Arial"/>
          <w:sz w:val="24"/>
          <w:szCs w:val="24"/>
        </w:rPr>
        <w:t xml:space="preserve">autoridades y </w:t>
      </w:r>
      <w:r w:rsidR="00F85F51" w:rsidRPr="002C0C73">
        <w:rPr>
          <w:rFonts w:cs="Arial"/>
          <w:sz w:val="24"/>
          <w:szCs w:val="24"/>
        </w:rPr>
        <w:t xml:space="preserve">los </w:t>
      </w:r>
      <w:r w:rsidRPr="002C0C73">
        <w:rPr>
          <w:rFonts w:cs="Arial"/>
          <w:sz w:val="24"/>
          <w:szCs w:val="24"/>
        </w:rPr>
        <w:t>funcionarios electorales, todo lo cual se desarrolla en un tiempo prolongado</w:t>
      </w:r>
      <w:r w:rsidR="00F85F51" w:rsidRPr="002C0C73">
        <w:rPr>
          <w:rFonts w:cs="Arial"/>
          <w:sz w:val="24"/>
          <w:szCs w:val="24"/>
        </w:rPr>
        <w:t>, especialmente lo relativo a la verificación de requisitos</w:t>
      </w:r>
    </w:p>
    <w:p w:rsidR="00154CF6" w:rsidRPr="002C0C73" w:rsidRDefault="00154CF6" w:rsidP="00154CF6">
      <w:pPr>
        <w:spacing w:before="240" w:after="240" w:line="360" w:lineRule="auto"/>
        <w:jc w:val="both"/>
        <w:rPr>
          <w:rFonts w:cs="Arial"/>
          <w:b/>
          <w:sz w:val="24"/>
          <w:szCs w:val="24"/>
        </w:rPr>
      </w:pPr>
      <w:r w:rsidRPr="002C0C73">
        <w:rPr>
          <w:rFonts w:cs="Arial"/>
          <w:b/>
          <w:sz w:val="24"/>
          <w:szCs w:val="24"/>
        </w:rPr>
        <w:t>2. Caso concreto</w:t>
      </w:r>
    </w:p>
    <w:p w:rsidR="00F85F51" w:rsidRPr="002C0C73" w:rsidRDefault="00F85F51" w:rsidP="00F85F51">
      <w:pPr>
        <w:spacing w:before="240" w:after="240" w:line="360" w:lineRule="auto"/>
        <w:jc w:val="both"/>
        <w:rPr>
          <w:rFonts w:cs="Arial"/>
          <w:b/>
          <w:i/>
          <w:sz w:val="24"/>
          <w:szCs w:val="24"/>
        </w:rPr>
      </w:pPr>
      <w:r w:rsidRPr="002C0C73">
        <w:rPr>
          <w:rFonts w:cs="Arial"/>
          <w:b/>
          <w:i/>
          <w:sz w:val="24"/>
          <w:szCs w:val="24"/>
        </w:rPr>
        <w:t>Existe una situación extraordinaria que impidió un procedimiento normal</w:t>
      </w:r>
    </w:p>
    <w:p w:rsidR="00154CF6" w:rsidRPr="002C0C73" w:rsidRDefault="00154CF6" w:rsidP="00F85F51">
      <w:pPr>
        <w:spacing w:before="240" w:after="240" w:line="360" w:lineRule="auto"/>
        <w:jc w:val="both"/>
        <w:rPr>
          <w:rFonts w:cs="Arial"/>
          <w:sz w:val="24"/>
          <w:szCs w:val="24"/>
        </w:rPr>
      </w:pPr>
      <w:r w:rsidRPr="002C0C73">
        <w:rPr>
          <w:rFonts w:cs="Arial"/>
          <w:sz w:val="24"/>
          <w:szCs w:val="24"/>
        </w:rPr>
        <w:t xml:space="preserve">Como se </w:t>
      </w:r>
      <w:r w:rsidR="00F85F51" w:rsidRPr="002C0C73">
        <w:rPr>
          <w:rFonts w:cs="Arial"/>
          <w:sz w:val="24"/>
          <w:szCs w:val="24"/>
        </w:rPr>
        <w:t>mencionó</w:t>
      </w:r>
      <w:r w:rsidRPr="002C0C73">
        <w:rPr>
          <w:rFonts w:cs="Arial"/>
          <w:sz w:val="24"/>
          <w:szCs w:val="24"/>
        </w:rPr>
        <w:t xml:space="preserve">, el procedimiento de constitución de </w:t>
      </w:r>
      <w:r w:rsidR="009F012F" w:rsidRPr="002C0C73">
        <w:rPr>
          <w:rFonts w:cs="Arial"/>
          <w:sz w:val="24"/>
          <w:szCs w:val="24"/>
        </w:rPr>
        <w:t xml:space="preserve">PPN </w:t>
      </w:r>
      <w:r w:rsidRPr="002C0C73">
        <w:rPr>
          <w:rFonts w:cs="Arial"/>
          <w:sz w:val="24"/>
          <w:szCs w:val="24"/>
        </w:rPr>
        <w:t>es un acto complejo</w:t>
      </w:r>
      <w:r w:rsidR="00F85F51" w:rsidRPr="002C0C73">
        <w:rPr>
          <w:rFonts w:cs="Arial"/>
          <w:sz w:val="24"/>
          <w:szCs w:val="24"/>
        </w:rPr>
        <w:t xml:space="preserve"> que c</w:t>
      </w:r>
      <w:r w:rsidRPr="002C0C73">
        <w:rPr>
          <w:rFonts w:cs="Arial"/>
          <w:sz w:val="24"/>
          <w:szCs w:val="24"/>
        </w:rPr>
        <w:t>omienza con la manifestación de la organización</w:t>
      </w:r>
      <w:r w:rsidR="00F85F51" w:rsidRPr="002C0C73">
        <w:rPr>
          <w:rFonts w:cs="Arial"/>
          <w:sz w:val="24"/>
          <w:szCs w:val="24"/>
        </w:rPr>
        <w:t xml:space="preserve"> de ser PPN, lo cual ocurre </w:t>
      </w:r>
      <w:r w:rsidRPr="002C0C73">
        <w:rPr>
          <w:rFonts w:cs="Arial"/>
          <w:sz w:val="24"/>
          <w:szCs w:val="24"/>
        </w:rPr>
        <w:t xml:space="preserve">en </w:t>
      </w:r>
      <w:r w:rsidR="00F85F51" w:rsidRPr="002C0C73">
        <w:rPr>
          <w:rFonts w:cs="Arial"/>
          <w:sz w:val="24"/>
          <w:szCs w:val="24"/>
        </w:rPr>
        <w:t xml:space="preserve">el mes de enero del año siguiente al de la elección presidencial </w:t>
      </w:r>
      <w:r w:rsidRPr="002C0C73">
        <w:rPr>
          <w:rFonts w:cs="Arial"/>
          <w:sz w:val="24"/>
          <w:szCs w:val="24"/>
        </w:rPr>
        <w:t xml:space="preserve">y, </w:t>
      </w:r>
      <w:r w:rsidRPr="002C0C73">
        <w:rPr>
          <w:rFonts w:cs="Arial"/>
          <w:b/>
          <w:sz w:val="24"/>
          <w:szCs w:val="24"/>
        </w:rPr>
        <w:t>en circunstancias ordinarias,</w:t>
      </w:r>
      <w:r w:rsidRPr="002C0C73">
        <w:rPr>
          <w:rFonts w:cs="Arial"/>
          <w:sz w:val="24"/>
          <w:szCs w:val="24"/>
        </w:rPr>
        <w:t xml:space="preserve"> conclu</w:t>
      </w:r>
      <w:r w:rsidR="009F012F" w:rsidRPr="002C0C73">
        <w:rPr>
          <w:rFonts w:cs="Arial"/>
          <w:sz w:val="24"/>
          <w:szCs w:val="24"/>
        </w:rPr>
        <w:t>ye</w:t>
      </w:r>
      <w:r w:rsidRPr="002C0C73">
        <w:rPr>
          <w:rFonts w:cs="Arial"/>
          <w:sz w:val="24"/>
          <w:szCs w:val="24"/>
        </w:rPr>
        <w:t xml:space="preserve"> </w:t>
      </w:r>
      <w:r w:rsidR="00FA1556" w:rsidRPr="002C0C73">
        <w:rPr>
          <w:rFonts w:cs="Arial"/>
          <w:sz w:val="24"/>
          <w:szCs w:val="24"/>
        </w:rPr>
        <w:t xml:space="preserve">cuando el CG del INE emite la resolución respectiva dentro de los sesenta días siguientes a la presentación de la solicitud de registro, esto </w:t>
      </w:r>
      <w:r w:rsidRPr="002C0C73">
        <w:rPr>
          <w:rFonts w:cs="Arial"/>
          <w:sz w:val="24"/>
          <w:szCs w:val="24"/>
        </w:rPr>
        <w:t xml:space="preserve">en el </w:t>
      </w:r>
      <w:r w:rsidR="00FA1556" w:rsidRPr="002C0C73">
        <w:rPr>
          <w:rFonts w:cs="Arial"/>
          <w:sz w:val="24"/>
          <w:szCs w:val="24"/>
        </w:rPr>
        <w:t xml:space="preserve">año previo a la siguiente </w:t>
      </w:r>
      <w:r w:rsidR="00F85F51" w:rsidRPr="002C0C73">
        <w:rPr>
          <w:rFonts w:cs="Arial"/>
          <w:sz w:val="24"/>
          <w:szCs w:val="24"/>
        </w:rPr>
        <w:t xml:space="preserve">elección. </w:t>
      </w:r>
    </w:p>
    <w:p w:rsidR="00154CF6" w:rsidRPr="002C0C73" w:rsidRDefault="00F85F51" w:rsidP="00154CF6">
      <w:pPr>
        <w:spacing w:before="240" w:after="240" w:line="360" w:lineRule="auto"/>
        <w:jc w:val="both"/>
        <w:rPr>
          <w:rFonts w:cs="Arial"/>
          <w:sz w:val="24"/>
          <w:szCs w:val="24"/>
        </w:rPr>
      </w:pPr>
      <w:r w:rsidRPr="002C0C73">
        <w:rPr>
          <w:rFonts w:cs="Arial"/>
          <w:sz w:val="24"/>
          <w:szCs w:val="24"/>
        </w:rPr>
        <w:t>Sin embargo</w:t>
      </w:r>
      <w:r w:rsidR="00FA1556" w:rsidRPr="002C0C73">
        <w:rPr>
          <w:rFonts w:cs="Arial"/>
          <w:sz w:val="24"/>
          <w:szCs w:val="24"/>
        </w:rPr>
        <w:t>, e</w:t>
      </w:r>
      <w:r w:rsidR="00154CF6" w:rsidRPr="002C0C73">
        <w:rPr>
          <w:rFonts w:cs="Arial"/>
          <w:sz w:val="24"/>
          <w:szCs w:val="24"/>
        </w:rPr>
        <w:t xml:space="preserve">n el caso, existe una situación extraordinaria que </w:t>
      </w:r>
      <w:r w:rsidR="009F012F" w:rsidRPr="002C0C73">
        <w:rPr>
          <w:rFonts w:cs="Arial"/>
          <w:sz w:val="24"/>
          <w:szCs w:val="24"/>
        </w:rPr>
        <w:t>impide</w:t>
      </w:r>
      <w:r w:rsidR="00154CF6" w:rsidRPr="002C0C73">
        <w:rPr>
          <w:rFonts w:cs="Arial"/>
          <w:sz w:val="24"/>
          <w:szCs w:val="24"/>
        </w:rPr>
        <w:t xml:space="preserve"> </w:t>
      </w:r>
      <w:r w:rsidR="00FA1556" w:rsidRPr="002C0C73">
        <w:rPr>
          <w:rFonts w:cs="Arial"/>
          <w:sz w:val="24"/>
          <w:szCs w:val="24"/>
        </w:rPr>
        <w:t>resolver sobre la procedencia del registro en los tiempos previstos en la ley</w:t>
      </w:r>
      <w:r w:rsidR="00154CF6"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Es un hecho notorio</w:t>
      </w:r>
      <w:r w:rsidRPr="002C0C73">
        <w:rPr>
          <w:rStyle w:val="Refdenotaalpie"/>
          <w:rFonts w:cs="Arial"/>
          <w:sz w:val="24"/>
          <w:szCs w:val="24"/>
        </w:rPr>
        <w:footnoteReference w:id="59"/>
      </w:r>
      <w:r w:rsidRPr="002C0C73">
        <w:rPr>
          <w:rFonts w:cs="Arial"/>
          <w:sz w:val="24"/>
          <w:szCs w:val="24"/>
        </w:rPr>
        <w:t xml:space="preserve"> que, en diciembre de dos mil diecinueve, China informó sobre la existencia de personas con síndrome respiratorio agudo de etiología desconocida. Asimismo, en enero comunicó la presencia de un nuevo coronavirus </w:t>
      </w:r>
      <w:r w:rsidR="00FA1556" w:rsidRPr="002C0C73">
        <w:rPr>
          <w:rFonts w:cs="Arial"/>
          <w:sz w:val="24"/>
          <w:szCs w:val="24"/>
        </w:rPr>
        <w:t xml:space="preserve">como </w:t>
      </w:r>
      <w:r w:rsidRPr="002C0C73">
        <w:rPr>
          <w:rFonts w:cs="Arial"/>
          <w:sz w:val="24"/>
          <w:szCs w:val="24"/>
        </w:rPr>
        <w:t>posible causante.</w:t>
      </w:r>
    </w:p>
    <w:p w:rsidR="00154CF6" w:rsidRPr="002C0C73" w:rsidRDefault="00F85F51" w:rsidP="00154CF6">
      <w:pPr>
        <w:spacing w:before="240" w:after="240" w:line="360" w:lineRule="auto"/>
        <w:jc w:val="both"/>
        <w:rPr>
          <w:rFonts w:cs="Arial"/>
          <w:sz w:val="24"/>
          <w:szCs w:val="24"/>
        </w:rPr>
      </w:pPr>
      <w:r w:rsidRPr="002C0C73">
        <w:rPr>
          <w:rFonts w:cs="Arial"/>
          <w:sz w:val="24"/>
          <w:szCs w:val="24"/>
        </w:rPr>
        <w:t>También es un hecho notorio que</w:t>
      </w:r>
      <w:r w:rsidR="00FA1556" w:rsidRPr="002C0C73">
        <w:rPr>
          <w:rFonts w:cs="Arial"/>
          <w:sz w:val="24"/>
          <w:szCs w:val="24"/>
        </w:rPr>
        <w:t>,</w:t>
      </w:r>
      <w:r w:rsidRPr="002C0C73">
        <w:rPr>
          <w:rFonts w:cs="Arial"/>
          <w:sz w:val="24"/>
          <w:szCs w:val="24"/>
        </w:rPr>
        <w:t xml:space="preserve"> </w:t>
      </w:r>
      <w:r w:rsidR="00154CF6" w:rsidRPr="002C0C73">
        <w:rPr>
          <w:rFonts w:cs="Arial"/>
          <w:sz w:val="24"/>
          <w:szCs w:val="24"/>
        </w:rPr>
        <w:t>el once de marzo la OMS calificó como pandemia el brote del virus</w:t>
      </w:r>
      <w:r w:rsidRPr="002C0C73">
        <w:rPr>
          <w:rFonts w:cs="Arial"/>
          <w:sz w:val="24"/>
          <w:szCs w:val="24"/>
        </w:rPr>
        <w:t xml:space="preserve">, </w:t>
      </w:r>
      <w:r w:rsidR="00154CF6" w:rsidRPr="002C0C73">
        <w:rPr>
          <w:rFonts w:cs="Arial"/>
          <w:sz w:val="24"/>
          <w:szCs w:val="24"/>
        </w:rPr>
        <w:t>por la cantidad de casos y países involucrados.</w:t>
      </w:r>
    </w:p>
    <w:p w:rsidR="00154CF6" w:rsidRPr="002C0C73" w:rsidRDefault="00216C89" w:rsidP="00154CF6">
      <w:pPr>
        <w:spacing w:before="240" w:after="240" w:line="360" w:lineRule="auto"/>
        <w:jc w:val="both"/>
        <w:rPr>
          <w:rFonts w:cs="Arial"/>
          <w:sz w:val="24"/>
          <w:szCs w:val="24"/>
        </w:rPr>
      </w:pPr>
      <w:r w:rsidRPr="002C0C73">
        <w:rPr>
          <w:rFonts w:cs="Arial"/>
          <w:sz w:val="24"/>
          <w:szCs w:val="24"/>
        </w:rPr>
        <w:lastRenderedPageBreak/>
        <w:t>Por otra parte, cuando se declaró la existencia de la pandemia, diversas organizaciones ya habían presentado su solicitud de registro como PPN, en los siguientes términos:</w:t>
      </w:r>
    </w:p>
    <w:tbl>
      <w:tblPr>
        <w:tblStyle w:val="Tablaconcuadrcula"/>
        <w:tblW w:w="0" w:type="auto"/>
        <w:jc w:val="center"/>
        <w:tblLook w:val="04A0" w:firstRow="1" w:lastRow="0" w:firstColumn="1" w:lastColumn="0" w:noHBand="0" w:noVBand="1"/>
      </w:tblPr>
      <w:tblGrid>
        <w:gridCol w:w="3823"/>
        <w:gridCol w:w="2551"/>
      </w:tblGrid>
      <w:tr w:rsidR="00154CF6" w:rsidRPr="002C0C73" w:rsidTr="004614FE">
        <w:trPr>
          <w:jc w:val="center"/>
        </w:trPr>
        <w:tc>
          <w:tcPr>
            <w:tcW w:w="3823" w:type="dxa"/>
            <w:shd w:val="clear" w:color="auto" w:fill="BDD6EE" w:themeFill="accent1" w:themeFillTint="66"/>
            <w:vAlign w:val="center"/>
          </w:tcPr>
          <w:p w:rsidR="00154CF6" w:rsidRPr="002C0C73" w:rsidRDefault="00154CF6" w:rsidP="004614FE">
            <w:pPr>
              <w:jc w:val="center"/>
              <w:rPr>
                <w:rFonts w:cs="Arial"/>
                <w:b/>
                <w:sz w:val="16"/>
                <w:szCs w:val="16"/>
              </w:rPr>
            </w:pPr>
            <w:r w:rsidRPr="002C0C73">
              <w:rPr>
                <w:rFonts w:cs="Arial"/>
                <w:b/>
                <w:sz w:val="16"/>
                <w:szCs w:val="16"/>
              </w:rPr>
              <w:t>Organización</w:t>
            </w:r>
          </w:p>
        </w:tc>
        <w:tc>
          <w:tcPr>
            <w:tcW w:w="2551" w:type="dxa"/>
            <w:shd w:val="clear" w:color="auto" w:fill="BDD6EE" w:themeFill="accent1" w:themeFillTint="66"/>
            <w:vAlign w:val="center"/>
          </w:tcPr>
          <w:p w:rsidR="00154CF6" w:rsidRPr="002C0C73" w:rsidRDefault="00154CF6" w:rsidP="004614FE">
            <w:pPr>
              <w:jc w:val="center"/>
              <w:rPr>
                <w:rFonts w:cs="Arial"/>
                <w:b/>
                <w:sz w:val="16"/>
                <w:szCs w:val="16"/>
              </w:rPr>
            </w:pPr>
            <w:r w:rsidRPr="002C0C73">
              <w:rPr>
                <w:rFonts w:cs="Arial"/>
                <w:b/>
                <w:sz w:val="16"/>
                <w:szCs w:val="16"/>
              </w:rPr>
              <w:t>Fecha de presentación</w:t>
            </w: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Encuentro Solidario</w:t>
            </w:r>
          </w:p>
        </w:tc>
        <w:tc>
          <w:tcPr>
            <w:tcW w:w="2551" w:type="dxa"/>
            <w:vAlign w:val="center"/>
          </w:tcPr>
          <w:p w:rsidR="00154CF6" w:rsidRPr="002C0C73" w:rsidRDefault="00154CF6" w:rsidP="004614FE">
            <w:pPr>
              <w:jc w:val="center"/>
              <w:rPr>
                <w:rFonts w:cs="Arial"/>
                <w:sz w:val="16"/>
                <w:szCs w:val="16"/>
              </w:rPr>
            </w:pPr>
            <w:r w:rsidRPr="002C0C73">
              <w:rPr>
                <w:rFonts w:cs="Arial"/>
                <w:sz w:val="16"/>
                <w:szCs w:val="16"/>
              </w:rPr>
              <w:t>21 de febrero</w:t>
            </w: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Redes Sociales Progresistas</w:t>
            </w:r>
          </w:p>
        </w:tc>
        <w:tc>
          <w:tcPr>
            <w:tcW w:w="2551" w:type="dxa"/>
            <w:vMerge w:val="restart"/>
            <w:vAlign w:val="center"/>
          </w:tcPr>
          <w:p w:rsidR="00154CF6" w:rsidRPr="002C0C73" w:rsidRDefault="00154CF6" w:rsidP="004614FE">
            <w:pPr>
              <w:jc w:val="center"/>
              <w:rPr>
                <w:rFonts w:cs="Arial"/>
                <w:sz w:val="16"/>
                <w:szCs w:val="16"/>
              </w:rPr>
            </w:pPr>
            <w:r w:rsidRPr="002C0C73">
              <w:rPr>
                <w:rFonts w:cs="Arial"/>
                <w:sz w:val="16"/>
                <w:szCs w:val="16"/>
              </w:rPr>
              <w:t>24 de febrero</w:t>
            </w: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Grupo Social Promotor de México</w:t>
            </w:r>
          </w:p>
        </w:tc>
        <w:tc>
          <w:tcPr>
            <w:tcW w:w="2551" w:type="dxa"/>
            <w:vMerge/>
            <w:vAlign w:val="center"/>
          </w:tcPr>
          <w:p w:rsidR="00154CF6" w:rsidRPr="002C0C73" w:rsidRDefault="00154CF6" w:rsidP="004614FE">
            <w:pPr>
              <w:jc w:val="center"/>
              <w:rPr>
                <w:rFonts w:cs="Arial"/>
                <w:sz w:val="16"/>
                <w:szCs w:val="16"/>
              </w:rPr>
            </w:pP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Libertad y Responsabilidad Democrática</w:t>
            </w:r>
          </w:p>
        </w:tc>
        <w:tc>
          <w:tcPr>
            <w:tcW w:w="2551" w:type="dxa"/>
            <w:vMerge w:val="restart"/>
            <w:vAlign w:val="center"/>
          </w:tcPr>
          <w:p w:rsidR="00154CF6" w:rsidRPr="002C0C73" w:rsidRDefault="00154CF6" w:rsidP="004614FE">
            <w:pPr>
              <w:jc w:val="center"/>
              <w:rPr>
                <w:rFonts w:cs="Arial"/>
                <w:sz w:val="16"/>
                <w:szCs w:val="16"/>
              </w:rPr>
            </w:pPr>
            <w:r w:rsidRPr="002C0C73">
              <w:rPr>
                <w:rFonts w:cs="Arial"/>
                <w:sz w:val="16"/>
                <w:szCs w:val="16"/>
              </w:rPr>
              <w:t>28 de febrero</w:t>
            </w: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Fuerza Social por México</w:t>
            </w:r>
          </w:p>
        </w:tc>
        <w:tc>
          <w:tcPr>
            <w:tcW w:w="2551" w:type="dxa"/>
            <w:vMerge/>
            <w:vAlign w:val="center"/>
          </w:tcPr>
          <w:p w:rsidR="00154CF6" w:rsidRPr="002C0C73" w:rsidRDefault="00154CF6" w:rsidP="004614FE">
            <w:pPr>
              <w:jc w:val="center"/>
              <w:rPr>
                <w:rFonts w:cs="Arial"/>
                <w:sz w:val="16"/>
                <w:szCs w:val="16"/>
              </w:rPr>
            </w:pP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Súmate a Nosotros</w:t>
            </w:r>
          </w:p>
        </w:tc>
        <w:tc>
          <w:tcPr>
            <w:tcW w:w="2551" w:type="dxa"/>
            <w:vMerge/>
            <w:vAlign w:val="center"/>
          </w:tcPr>
          <w:p w:rsidR="00154CF6" w:rsidRPr="002C0C73" w:rsidRDefault="00154CF6" w:rsidP="004614FE">
            <w:pPr>
              <w:jc w:val="center"/>
              <w:rPr>
                <w:rFonts w:cs="Arial"/>
                <w:sz w:val="16"/>
                <w:szCs w:val="16"/>
              </w:rPr>
            </w:pPr>
          </w:p>
        </w:tc>
      </w:tr>
      <w:tr w:rsidR="00154CF6" w:rsidRPr="002C0C73" w:rsidTr="004614FE">
        <w:trPr>
          <w:jc w:val="center"/>
        </w:trPr>
        <w:tc>
          <w:tcPr>
            <w:tcW w:w="3823" w:type="dxa"/>
            <w:vAlign w:val="center"/>
          </w:tcPr>
          <w:p w:rsidR="00154CF6" w:rsidRPr="002C0C73" w:rsidRDefault="00154CF6" w:rsidP="004614FE">
            <w:pPr>
              <w:jc w:val="center"/>
              <w:rPr>
                <w:rFonts w:cs="Arial"/>
                <w:sz w:val="16"/>
                <w:szCs w:val="16"/>
              </w:rPr>
            </w:pPr>
            <w:r w:rsidRPr="002C0C73">
              <w:rPr>
                <w:rFonts w:cs="Arial"/>
                <w:sz w:val="16"/>
                <w:szCs w:val="16"/>
              </w:rPr>
              <w:t>Fundación Alternativa</w:t>
            </w:r>
          </w:p>
        </w:tc>
        <w:tc>
          <w:tcPr>
            <w:tcW w:w="2551" w:type="dxa"/>
            <w:vMerge/>
            <w:vAlign w:val="center"/>
          </w:tcPr>
          <w:p w:rsidR="00154CF6" w:rsidRPr="002C0C73" w:rsidRDefault="00154CF6" w:rsidP="004614FE">
            <w:pPr>
              <w:jc w:val="center"/>
              <w:rPr>
                <w:rFonts w:cs="Arial"/>
                <w:sz w:val="16"/>
                <w:szCs w:val="16"/>
              </w:rPr>
            </w:pPr>
          </w:p>
        </w:tc>
      </w:tr>
    </w:tbl>
    <w:p w:rsidR="00154CF6" w:rsidRPr="002C0C73" w:rsidRDefault="00216C89" w:rsidP="00154CF6">
      <w:pPr>
        <w:spacing w:before="240" w:after="240" w:line="360" w:lineRule="auto"/>
        <w:jc w:val="both"/>
        <w:rPr>
          <w:rFonts w:cs="Arial"/>
          <w:sz w:val="24"/>
          <w:szCs w:val="24"/>
        </w:rPr>
      </w:pPr>
      <w:r w:rsidRPr="002C0C73">
        <w:rPr>
          <w:rFonts w:cs="Arial"/>
          <w:sz w:val="24"/>
          <w:szCs w:val="24"/>
        </w:rPr>
        <w:t>En este entorno,</w:t>
      </w:r>
      <w:r w:rsidRPr="002C0C73">
        <w:rPr>
          <w:rFonts w:cs="Arial"/>
          <w:b/>
          <w:sz w:val="24"/>
          <w:szCs w:val="24"/>
        </w:rPr>
        <w:t xml:space="preserve"> </w:t>
      </w:r>
      <w:r w:rsidR="00154CF6" w:rsidRPr="002C0C73">
        <w:rPr>
          <w:rFonts w:cs="Arial"/>
          <w:sz w:val="24"/>
          <w:szCs w:val="24"/>
        </w:rPr>
        <w:t>el diecisiete de marzo la JGE emitió un acuerdo sobre las medias preventivas y de actuación ante la pandemia.</w:t>
      </w:r>
      <w:r w:rsidR="00154CF6" w:rsidRPr="002C0C73">
        <w:rPr>
          <w:rStyle w:val="Refdenotaalpie"/>
          <w:rFonts w:cs="Arial"/>
          <w:sz w:val="24"/>
          <w:szCs w:val="24"/>
        </w:rPr>
        <w:footnoteReference w:id="60"/>
      </w:r>
      <w:r w:rsidR="00154CF6" w:rsidRPr="002C0C73">
        <w:rPr>
          <w:rFonts w:cs="Arial"/>
          <w:sz w:val="24"/>
          <w:szCs w:val="24"/>
        </w:rPr>
        <w:t xml:space="preserve"> En ese acuerdo se orden</w:t>
      </w:r>
      <w:r w:rsidR="009F012F" w:rsidRPr="002C0C73">
        <w:rPr>
          <w:rFonts w:cs="Arial"/>
          <w:sz w:val="24"/>
          <w:szCs w:val="24"/>
        </w:rPr>
        <w:t xml:space="preserve">ó </w:t>
      </w:r>
      <w:r w:rsidR="00154CF6" w:rsidRPr="002C0C73">
        <w:rPr>
          <w:rFonts w:cs="Arial"/>
          <w:sz w:val="24"/>
          <w:szCs w:val="24"/>
        </w:rPr>
        <w:t xml:space="preserve">continuar con las funciones esenciales y facilitar que las actividades se realicen con el personal mínimo e indispensable, mediante guardias presenciales, trabajo desde el hogar y el auxilio de </w:t>
      </w:r>
      <w:r w:rsidR="009F012F" w:rsidRPr="002C0C73">
        <w:rPr>
          <w:rFonts w:cs="Arial"/>
          <w:sz w:val="24"/>
          <w:szCs w:val="24"/>
        </w:rPr>
        <w:t>tecnología</w:t>
      </w:r>
      <w:r w:rsidR="00154CF6" w:rsidRPr="002C0C73">
        <w:rPr>
          <w:rFonts w:cs="Arial"/>
          <w:sz w:val="24"/>
          <w:szCs w:val="24"/>
        </w:rPr>
        <w:t>.</w:t>
      </w:r>
      <w:r w:rsidR="00154CF6" w:rsidRPr="002C0C73">
        <w:rPr>
          <w:rStyle w:val="Refdenotaalpie"/>
          <w:rFonts w:cs="Arial"/>
          <w:sz w:val="24"/>
          <w:szCs w:val="24"/>
        </w:rPr>
        <w:footnoteReference w:id="61"/>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Es decir, dieciocho días después de vencido el plazo para presentar la solicitud de registro como partido político nacional, el INE laboró con el personal mínimo e indispensable, motivo por el cual su trabajo estuvo disminuido significativamente. No obstante, sus funciones continuaron en la media de lo posible mediante actividades desde el hogar.</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Ante el avance de la pandemia en nuestro país, el CSG reconoció al virus como una enfermad grave de atención prioritaria.</w:t>
      </w:r>
      <w:r w:rsidRPr="002C0C73">
        <w:rPr>
          <w:rStyle w:val="Refdenotaalpie"/>
          <w:rFonts w:cs="Arial"/>
          <w:sz w:val="24"/>
          <w:szCs w:val="24"/>
        </w:rPr>
        <w:footnoteReference w:id="62"/>
      </w:r>
      <w:r w:rsidRPr="002C0C73">
        <w:rPr>
          <w:rFonts w:cs="Arial"/>
          <w:sz w:val="24"/>
          <w:szCs w:val="24"/>
        </w:rPr>
        <w:t xml:space="preserve"> Por otra parte, estableció medidas preventivas para la mitigación y control del virus, como lo fue la denominada “Jornada Nacional de Sana Distancia” </w:t>
      </w:r>
      <w:r w:rsidR="00B362A3" w:rsidRPr="002C0C73">
        <w:rPr>
          <w:rFonts w:cs="Arial"/>
          <w:sz w:val="24"/>
          <w:szCs w:val="24"/>
        </w:rPr>
        <w:t>(la cual inició el veintitrés de marzo</w:t>
      </w:r>
      <w:r w:rsidR="00832007" w:rsidRPr="002C0C73">
        <w:rPr>
          <w:rStyle w:val="Refdenotaalpie"/>
          <w:rFonts w:cs="Arial"/>
          <w:sz w:val="24"/>
          <w:szCs w:val="24"/>
        </w:rPr>
        <w:footnoteReference w:id="63"/>
      </w:r>
      <w:r w:rsidR="00B362A3" w:rsidRPr="002C0C73">
        <w:rPr>
          <w:rFonts w:cs="Arial"/>
          <w:sz w:val="24"/>
          <w:szCs w:val="24"/>
        </w:rPr>
        <w:t xml:space="preserve"> y concluyó el treinta y uno de mayo</w:t>
      </w:r>
      <w:r w:rsidR="007413A1" w:rsidRPr="002C0C73">
        <w:rPr>
          <w:rStyle w:val="Refdenotaalpie"/>
          <w:rFonts w:cs="Arial"/>
          <w:sz w:val="24"/>
          <w:szCs w:val="24"/>
        </w:rPr>
        <w:footnoteReference w:id="64"/>
      </w:r>
      <w:r w:rsidR="00B362A3" w:rsidRPr="002C0C73">
        <w:rPr>
          <w:rFonts w:cs="Arial"/>
          <w:sz w:val="24"/>
          <w:szCs w:val="24"/>
        </w:rPr>
        <w:t xml:space="preserve">), </w:t>
      </w:r>
      <w:r w:rsidRPr="002C0C73">
        <w:rPr>
          <w:rFonts w:cs="Arial"/>
          <w:sz w:val="24"/>
          <w:szCs w:val="24"/>
        </w:rPr>
        <w:t>cuyo objetivo era el distanciamiento social.</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Para tal efecto, se </w:t>
      </w:r>
      <w:r w:rsidR="00B362A3" w:rsidRPr="002C0C73">
        <w:rPr>
          <w:rFonts w:cs="Arial"/>
          <w:sz w:val="24"/>
          <w:szCs w:val="24"/>
        </w:rPr>
        <w:t xml:space="preserve">determinó </w:t>
      </w:r>
      <w:r w:rsidRPr="002C0C73">
        <w:rPr>
          <w:rFonts w:cs="Arial"/>
          <w:sz w:val="24"/>
          <w:szCs w:val="24"/>
        </w:rPr>
        <w:t>evitar la asistencia a centro</w:t>
      </w:r>
      <w:r w:rsidR="009F012F" w:rsidRPr="002C0C73">
        <w:rPr>
          <w:rFonts w:cs="Arial"/>
          <w:sz w:val="24"/>
          <w:szCs w:val="24"/>
        </w:rPr>
        <w:t>s</w:t>
      </w:r>
      <w:r w:rsidRPr="002C0C73">
        <w:rPr>
          <w:rFonts w:cs="Arial"/>
          <w:sz w:val="24"/>
          <w:szCs w:val="24"/>
        </w:rPr>
        <w:t xml:space="preserve"> de trabajo y suspender temporalmente las actividades de concentración física, tr</w:t>
      </w:r>
      <w:r w:rsidR="009F012F" w:rsidRPr="002C0C73">
        <w:rPr>
          <w:rFonts w:cs="Arial"/>
          <w:sz w:val="24"/>
          <w:szCs w:val="24"/>
        </w:rPr>
        <w:t>á</w:t>
      </w:r>
      <w:r w:rsidRPr="002C0C73">
        <w:rPr>
          <w:rFonts w:cs="Arial"/>
          <w:sz w:val="24"/>
          <w:szCs w:val="24"/>
        </w:rPr>
        <w:t>nsito o desplazamiento de personas.</w:t>
      </w:r>
    </w:p>
    <w:p w:rsidR="0038175B" w:rsidRPr="002C0C73" w:rsidRDefault="00154CF6" w:rsidP="00154CF6">
      <w:pPr>
        <w:spacing w:before="240" w:after="240" w:line="360" w:lineRule="auto"/>
        <w:jc w:val="both"/>
        <w:rPr>
          <w:rFonts w:cs="Arial"/>
          <w:sz w:val="24"/>
          <w:szCs w:val="24"/>
        </w:rPr>
      </w:pPr>
      <w:r w:rsidRPr="002C0C73">
        <w:rPr>
          <w:rFonts w:cs="Arial"/>
          <w:sz w:val="24"/>
          <w:szCs w:val="24"/>
        </w:rPr>
        <w:lastRenderedPageBreak/>
        <w:t>Ante tal situación, el veintisiete de marzo el CG del INE acordó</w:t>
      </w:r>
      <w:r w:rsidRPr="002C0C73">
        <w:rPr>
          <w:rStyle w:val="Refdenotaalpie"/>
          <w:rFonts w:cs="Arial"/>
          <w:sz w:val="24"/>
          <w:szCs w:val="24"/>
        </w:rPr>
        <w:footnoteReference w:id="65"/>
      </w:r>
      <w:r w:rsidRPr="002C0C73">
        <w:rPr>
          <w:rFonts w:cs="Arial"/>
          <w:sz w:val="24"/>
          <w:szCs w:val="24"/>
        </w:rPr>
        <w:t xml:space="preserve"> como medida extraordinaria la suspensión de plazos inherentes a las actividades de la función electoral</w:t>
      </w:r>
      <w:r w:rsidR="00171CDE" w:rsidRPr="002C0C73">
        <w:rPr>
          <w:rFonts w:cs="Arial"/>
          <w:sz w:val="24"/>
          <w:szCs w:val="24"/>
        </w:rPr>
        <w:t>, así como toda aquella que requiera la interacción de personas, tanto en el interior como en el exterior del INE. La suspensión se dictó a fin de evitar el incumplimiento de plazos y términos cuyo vencimiento está próximo.</w:t>
      </w:r>
    </w:p>
    <w:p w:rsidR="0038175B" w:rsidRPr="002C0C73" w:rsidRDefault="00171CDE" w:rsidP="00154CF6">
      <w:pPr>
        <w:spacing w:before="240" w:after="240" w:line="360" w:lineRule="auto"/>
        <w:jc w:val="both"/>
        <w:rPr>
          <w:rFonts w:cs="Arial"/>
          <w:sz w:val="24"/>
          <w:szCs w:val="24"/>
        </w:rPr>
      </w:pPr>
      <w:r w:rsidRPr="002C0C73">
        <w:rPr>
          <w:rFonts w:cs="Arial"/>
          <w:sz w:val="24"/>
          <w:szCs w:val="24"/>
        </w:rPr>
        <w:t>En el propio acuerdo, el CG del INE precisó que</w:t>
      </w:r>
      <w:r w:rsidR="0038175B" w:rsidRPr="002C0C73">
        <w:rPr>
          <w:rFonts w:cs="Arial"/>
          <w:sz w:val="24"/>
          <w:szCs w:val="24"/>
        </w:rPr>
        <w:t xml:space="preserve">, una vez restablecidas las condiciones de seguridad, el personal </w:t>
      </w:r>
      <w:r w:rsidRPr="002C0C73">
        <w:rPr>
          <w:rFonts w:cs="Arial"/>
          <w:sz w:val="24"/>
          <w:szCs w:val="24"/>
        </w:rPr>
        <w:t xml:space="preserve">podría </w:t>
      </w:r>
      <w:r w:rsidR="0038175B" w:rsidRPr="002C0C73">
        <w:rPr>
          <w:rFonts w:cs="Arial"/>
          <w:sz w:val="24"/>
          <w:szCs w:val="24"/>
        </w:rPr>
        <w:t>retornar con normalidad a las áreas de trabajo, para la ejecución de actividades electorales y trabajo de campo.</w:t>
      </w:r>
    </w:p>
    <w:p w:rsidR="00154CF6" w:rsidRPr="002C0C73" w:rsidRDefault="00B362A3" w:rsidP="00154CF6">
      <w:pPr>
        <w:spacing w:before="240" w:after="240" w:line="360" w:lineRule="auto"/>
        <w:jc w:val="both"/>
        <w:rPr>
          <w:rFonts w:cs="Arial"/>
          <w:sz w:val="24"/>
          <w:szCs w:val="24"/>
        </w:rPr>
      </w:pPr>
      <w:r w:rsidRPr="002C0C73">
        <w:rPr>
          <w:rFonts w:cs="Arial"/>
          <w:sz w:val="24"/>
          <w:szCs w:val="24"/>
        </w:rPr>
        <w:t>Asimismo, señaló que las actividades se reanudarían cuando se contuviera la pandemia, para lo cual se dictarían las determinaciones conducentes a fin de reanudar las labores y retomar los trabajo</w:t>
      </w:r>
      <w:r w:rsidRPr="002C0C73">
        <w:rPr>
          <w:rStyle w:val="Refdenotaalpie"/>
          <w:rFonts w:cs="Arial"/>
          <w:sz w:val="24"/>
          <w:szCs w:val="24"/>
        </w:rPr>
        <w:footnoteReference w:id="66"/>
      </w:r>
      <w:r w:rsidR="00171CDE" w:rsidRPr="002C0C73">
        <w:rPr>
          <w:rFonts w:cs="Arial"/>
          <w:sz w:val="24"/>
          <w:szCs w:val="24"/>
        </w:rPr>
        <w:t>. Además, se facultó al presidente y al secretario ejecutivo del INE, para que atento a la información proporcionada por la Secretaría de Salud, tomar las determinaciones necesarias para hacer frente a la contingencia.</w:t>
      </w:r>
    </w:p>
    <w:p w:rsidR="00171CDE" w:rsidRPr="002C0C73" w:rsidRDefault="00171CDE" w:rsidP="00154CF6">
      <w:pPr>
        <w:spacing w:before="240" w:after="240" w:line="360" w:lineRule="auto"/>
        <w:jc w:val="both"/>
        <w:rPr>
          <w:rFonts w:cs="Arial"/>
          <w:sz w:val="24"/>
          <w:szCs w:val="24"/>
        </w:rPr>
      </w:pPr>
      <w:r w:rsidRPr="002C0C73">
        <w:rPr>
          <w:rFonts w:cs="Arial"/>
          <w:sz w:val="24"/>
          <w:szCs w:val="24"/>
        </w:rPr>
        <w:t>Entre los plazos que fueron suspendidos, de manera enunciativa más no limitativa</w:t>
      </w:r>
      <w:r w:rsidR="00B648BD" w:rsidRPr="002C0C73">
        <w:rPr>
          <w:rFonts w:cs="Arial"/>
          <w:sz w:val="24"/>
          <w:szCs w:val="24"/>
        </w:rPr>
        <w:t>,</w:t>
      </w:r>
      <w:r w:rsidRPr="002C0C73">
        <w:rPr>
          <w:rFonts w:cs="Arial"/>
          <w:sz w:val="24"/>
          <w:szCs w:val="24"/>
        </w:rPr>
        <w:t xml:space="preserve"> según el anexo de ese acuerdo de suspensión, están actividades vinculadas, por ejemplo, con el dictamen del sistema de voto electrónico, procedimientos sancionadores, procedimientos de remoción de consejeros, cumplimientos de algunas sentencias, asuntos laborales, constitución de agrupaciones políticas. </w:t>
      </w:r>
    </w:p>
    <w:p w:rsidR="00154CF6" w:rsidRPr="002C0C73" w:rsidRDefault="00171CDE" w:rsidP="00154CF6">
      <w:pPr>
        <w:spacing w:before="240" w:after="240" w:line="360" w:lineRule="auto"/>
        <w:jc w:val="both"/>
        <w:rPr>
          <w:rFonts w:cs="Arial"/>
          <w:sz w:val="24"/>
          <w:szCs w:val="24"/>
        </w:rPr>
      </w:pPr>
      <w:r w:rsidRPr="002C0C73">
        <w:rPr>
          <w:rFonts w:cs="Arial"/>
          <w:sz w:val="24"/>
          <w:szCs w:val="24"/>
        </w:rPr>
        <w:t xml:space="preserve">Lo anterior, porque </w:t>
      </w:r>
      <w:r w:rsidR="00154CF6" w:rsidRPr="002C0C73">
        <w:rPr>
          <w:rFonts w:cs="Arial"/>
          <w:sz w:val="24"/>
          <w:szCs w:val="24"/>
        </w:rPr>
        <w:t>el INE expresamente reconoció que algunas de sus funciones implican necesariamente el contacto directo con personas, su movilidad, congregación de centros de trabajo, actividades de campo, las cuales aumenta</w:t>
      </w:r>
      <w:r w:rsidR="009F012F" w:rsidRPr="002C0C73">
        <w:rPr>
          <w:rFonts w:cs="Arial"/>
          <w:sz w:val="24"/>
          <w:szCs w:val="24"/>
        </w:rPr>
        <w:t>n</w:t>
      </w:r>
      <w:r w:rsidR="00154CF6" w:rsidRPr="002C0C73">
        <w:rPr>
          <w:rFonts w:cs="Arial"/>
          <w:sz w:val="24"/>
          <w:szCs w:val="24"/>
        </w:rPr>
        <w:t xml:space="preserve"> el riesgo de infección.</w:t>
      </w:r>
    </w:p>
    <w:p w:rsidR="00154CF6" w:rsidRPr="002C0C73" w:rsidRDefault="00B648BD" w:rsidP="00154CF6">
      <w:pPr>
        <w:spacing w:before="240" w:after="240" w:line="360" w:lineRule="auto"/>
        <w:jc w:val="both"/>
        <w:rPr>
          <w:rFonts w:cs="Arial"/>
          <w:sz w:val="24"/>
          <w:szCs w:val="24"/>
        </w:rPr>
      </w:pPr>
      <w:r w:rsidRPr="002C0C73">
        <w:rPr>
          <w:rFonts w:cs="Arial"/>
          <w:sz w:val="24"/>
          <w:szCs w:val="24"/>
        </w:rPr>
        <w:lastRenderedPageBreak/>
        <w:t xml:space="preserve">En cuanto a actividades sobre la constitución de PPN, se suspendieron plazos para </w:t>
      </w:r>
      <w:r w:rsidR="00154CF6" w:rsidRPr="002C0C73">
        <w:rPr>
          <w:rFonts w:cs="Arial"/>
          <w:sz w:val="24"/>
          <w:szCs w:val="24"/>
        </w:rPr>
        <w:t xml:space="preserve">el desahogo de la garantía de audiencia, los procedimientos </w:t>
      </w:r>
      <w:r w:rsidR="00B362A3" w:rsidRPr="002C0C73">
        <w:rPr>
          <w:rFonts w:cs="Arial"/>
          <w:sz w:val="24"/>
          <w:szCs w:val="24"/>
        </w:rPr>
        <w:t xml:space="preserve">sancionadores </w:t>
      </w:r>
      <w:r w:rsidR="00154CF6" w:rsidRPr="002C0C73">
        <w:rPr>
          <w:rFonts w:cs="Arial"/>
          <w:sz w:val="24"/>
          <w:szCs w:val="24"/>
        </w:rPr>
        <w:t>y la fiscalización.</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De esta manera, desde el diecisiete de marzo, el INE adoptó medidas para contener el posible contagio entre su personal. Esto motivó la reducción significativa de sus labores y se complementó con otra serie de actuaciones por parte del CG del INE que conllevaron a la suspensión de actividades.</w:t>
      </w:r>
    </w:p>
    <w:p w:rsidR="00154CF6" w:rsidRPr="002C0C73" w:rsidRDefault="00154CF6" w:rsidP="00154CF6">
      <w:pPr>
        <w:spacing w:before="240" w:after="240" w:line="360" w:lineRule="auto"/>
        <w:jc w:val="both"/>
        <w:rPr>
          <w:rFonts w:cs="Arial"/>
          <w:b/>
          <w:i/>
          <w:sz w:val="24"/>
          <w:szCs w:val="24"/>
        </w:rPr>
      </w:pPr>
      <w:r w:rsidRPr="002C0C73">
        <w:rPr>
          <w:rFonts w:cs="Arial"/>
          <w:b/>
          <w:i/>
          <w:sz w:val="24"/>
          <w:szCs w:val="24"/>
        </w:rPr>
        <w:t>¿Está justificado que el CG del INE resuelva el treinta y uno de agosto?</w:t>
      </w:r>
    </w:p>
    <w:p w:rsidR="00B648BD" w:rsidRPr="002C0C73" w:rsidRDefault="00B648BD" w:rsidP="00154CF6">
      <w:pPr>
        <w:spacing w:before="240" w:after="240" w:line="360" w:lineRule="auto"/>
        <w:jc w:val="both"/>
        <w:rPr>
          <w:rFonts w:cs="Arial"/>
          <w:sz w:val="24"/>
          <w:szCs w:val="24"/>
        </w:rPr>
      </w:pPr>
      <w:r w:rsidRPr="002C0C73">
        <w:rPr>
          <w:rFonts w:cs="Arial"/>
          <w:sz w:val="24"/>
          <w:szCs w:val="24"/>
        </w:rPr>
        <w:t>En el caso, está justificado que el INE resuelva sobre la procedencia de registro de PPN, a más tardar el treinta y uno de agosto, porque</w:t>
      </w:r>
      <w:r w:rsidR="001D7207" w:rsidRPr="002C0C73">
        <w:rPr>
          <w:rFonts w:cs="Arial"/>
          <w:sz w:val="24"/>
          <w:szCs w:val="24"/>
        </w:rPr>
        <w:t>:</w:t>
      </w:r>
      <w:r w:rsidRPr="002C0C73">
        <w:rPr>
          <w:rFonts w:cs="Arial"/>
          <w:sz w:val="24"/>
          <w:szCs w:val="24"/>
        </w:rPr>
        <w:t xml:space="preserve"> </w:t>
      </w:r>
      <w:r w:rsidR="001D7207" w:rsidRPr="002C0C73">
        <w:rPr>
          <w:rFonts w:cs="Arial"/>
          <w:b/>
          <w:bCs/>
          <w:sz w:val="24"/>
          <w:szCs w:val="24"/>
        </w:rPr>
        <w:t xml:space="preserve">a) </w:t>
      </w:r>
      <w:r w:rsidRPr="002C0C73">
        <w:rPr>
          <w:rFonts w:cs="Arial"/>
          <w:sz w:val="24"/>
          <w:szCs w:val="24"/>
        </w:rPr>
        <w:t>existe una situación extraordinaria que lo justifica</w:t>
      </w:r>
      <w:r w:rsidR="001D7207" w:rsidRPr="002C0C73">
        <w:rPr>
          <w:rFonts w:cs="Arial"/>
          <w:sz w:val="24"/>
          <w:szCs w:val="24"/>
        </w:rPr>
        <w:t xml:space="preserve">; </w:t>
      </w:r>
      <w:r w:rsidR="001D7207" w:rsidRPr="002C0C73">
        <w:rPr>
          <w:rFonts w:cs="Arial"/>
          <w:b/>
          <w:bCs/>
          <w:sz w:val="24"/>
          <w:szCs w:val="24"/>
        </w:rPr>
        <w:t xml:space="preserve">b) </w:t>
      </w:r>
      <w:r w:rsidR="001D7207" w:rsidRPr="002C0C73">
        <w:rPr>
          <w:rFonts w:cs="Arial"/>
          <w:sz w:val="24"/>
          <w:szCs w:val="24"/>
        </w:rPr>
        <w:t xml:space="preserve">el procedimiento de revisión de los requisitos es complejo, y </w:t>
      </w:r>
      <w:r w:rsidR="001D7207" w:rsidRPr="002C0C73">
        <w:rPr>
          <w:rFonts w:cs="Arial"/>
          <w:b/>
          <w:bCs/>
          <w:sz w:val="24"/>
          <w:szCs w:val="24"/>
        </w:rPr>
        <w:t xml:space="preserve">c) </w:t>
      </w:r>
      <w:r w:rsidR="001D7207" w:rsidRPr="002C0C73">
        <w:rPr>
          <w:rFonts w:cs="Arial"/>
          <w:sz w:val="24"/>
          <w:szCs w:val="24"/>
        </w:rPr>
        <w:t>la fecha señalada por el CG del INE es de límite, es decir, puede resolver antes</w:t>
      </w:r>
      <w:r w:rsidR="00722AEB" w:rsidRPr="002C0C73">
        <w:rPr>
          <w:rFonts w:cs="Arial"/>
          <w:sz w:val="24"/>
          <w:szCs w:val="24"/>
        </w:rPr>
        <w:t>.</w:t>
      </w:r>
    </w:p>
    <w:p w:rsidR="00154CF6" w:rsidRPr="002C0C73" w:rsidRDefault="009E3563" w:rsidP="00154CF6">
      <w:pPr>
        <w:spacing w:before="240" w:after="240" w:line="360" w:lineRule="auto"/>
        <w:jc w:val="both"/>
        <w:rPr>
          <w:rFonts w:cs="Arial"/>
          <w:sz w:val="24"/>
          <w:szCs w:val="24"/>
        </w:rPr>
      </w:pPr>
      <w:r w:rsidRPr="002C0C73">
        <w:rPr>
          <w:rFonts w:cs="Arial"/>
          <w:sz w:val="24"/>
          <w:szCs w:val="24"/>
        </w:rPr>
        <w:t>T</w:t>
      </w:r>
      <w:r w:rsidR="00154CF6" w:rsidRPr="002C0C73">
        <w:rPr>
          <w:rFonts w:cs="Arial"/>
          <w:sz w:val="24"/>
          <w:szCs w:val="24"/>
        </w:rPr>
        <w:t xml:space="preserve">anto OES y LRD aducen que el plazo fijado por el CG del INE es indebido. </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Este argumento es </w:t>
      </w:r>
      <w:r w:rsidRPr="002C0C73">
        <w:rPr>
          <w:rFonts w:cs="Arial"/>
          <w:b/>
          <w:sz w:val="24"/>
          <w:szCs w:val="24"/>
        </w:rPr>
        <w:t xml:space="preserve">infundado </w:t>
      </w:r>
      <w:r w:rsidRPr="002C0C73">
        <w:rPr>
          <w:rFonts w:cs="Arial"/>
          <w:sz w:val="24"/>
          <w:szCs w:val="24"/>
        </w:rPr>
        <w:t>porque el tiempo existente entre la reanudación de actividades (</w:t>
      </w:r>
      <w:r w:rsidR="008F0D88" w:rsidRPr="002C0C73">
        <w:rPr>
          <w:rFonts w:cs="Arial"/>
          <w:sz w:val="24"/>
          <w:szCs w:val="24"/>
        </w:rPr>
        <w:t xml:space="preserve">quince </w:t>
      </w:r>
      <w:r w:rsidRPr="002C0C73">
        <w:rPr>
          <w:rFonts w:cs="Arial"/>
          <w:sz w:val="24"/>
          <w:szCs w:val="24"/>
        </w:rPr>
        <w:t>de junio) y el dictado de la resolución (</w:t>
      </w:r>
      <w:r w:rsidR="00722AEB" w:rsidRPr="002C0C73">
        <w:rPr>
          <w:rFonts w:cs="Arial"/>
          <w:sz w:val="24"/>
          <w:szCs w:val="24"/>
        </w:rPr>
        <w:t xml:space="preserve">a más tardar el </w:t>
      </w:r>
      <w:r w:rsidR="008F0D88" w:rsidRPr="002C0C73">
        <w:rPr>
          <w:rFonts w:cs="Arial"/>
          <w:sz w:val="24"/>
          <w:szCs w:val="24"/>
        </w:rPr>
        <w:t xml:space="preserve">treinta y uno </w:t>
      </w:r>
      <w:r w:rsidRPr="002C0C73">
        <w:rPr>
          <w:rFonts w:cs="Arial"/>
          <w:sz w:val="24"/>
          <w:szCs w:val="24"/>
        </w:rPr>
        <w:t xml:space="preserve">de agosto) es razonable y necesario para verificar exhaustivamente el cumplimiento de los requisitos exigidos para constituir un </w:t>
      </w:r>
      <w:r w:rsidR="00725F96" w:rsidRPr="002C0C73">
        <w:rPr>
          <w:rFonts w:cs="Arial"/>
          <w:sz w:val="24"/>
          <w:szCs w:val="24"/>
        </w:rPr>
        <w:t>PPN</w:t>
      </w:r>
      <w:r w:rsidR="001D7207" w:rsidRPr="002C0C73">
        <w:rPr>
          <w:rFonts w:cs="Arial"/>
          <w:sz w:val="24"/>
          <w:szCs w:val="24"/>
        </w:rPr>
        <w:t>, máxime ante la existencia de una situación extraordinaria que así lo amerita.</w:t>
      </w:r>
    </w:p>
    <w:p w:rsidR="001D7207" w:rsidRPr="002C0C73" w:rsidRDefault="001D7207" w:rsidP="00154CF6">
      <w:pPr>
        <w:spacing w:before="240" w:after="240" w:line="360" w:lineRule="auto"/>
        <w:jc w:val="both"/>
        <w:rPr>
          <w:rFonts w:cs="Arial"/>
          <w:sz w:val="24"/>
          <w:szCs w:val="24"/>
        </w:rPr>
      </w:pPr>
      <w:r w:rsidRPr="002C0C73">
        <w:rPr>
          <w:rFonts w:cs="Arial"/>
          <w:sz w:val="24"/>
          <w:szCs w:val="24"/>
        </w:rPr>
        <w:t xml:space="preserve">Ha sido criterio de este Tribunal Electoral que las leyes contienen </w:t>
      </w:r>
      <w:r w:rsidR="003D7320" w:rsidRPr="002C0C73">
        <w:rPr>
          <w:rFonts w:cs="Arial"/>
          <w:sz w:val="24"/>
          <w:szCs w:val="24"/>
        </w:rPr>
        <w:t>hipótesis comunes, no extraordinarias</w:t>
      </w:r>
      <w:r w:rsidR="003D7320" w:rsidRPr="002C0C73">
        <w:rPr>
          <w:rStyle w:val="Refdenotaalpie"/>
          <w:rFonts w:cs="Arial"/>
          <w:sz w:val="24"/>
          <w:szCs w:val="24"/>
        </w:rPr>
        <w:footnoteReference w:id="67"/>
      </w:r>
      <w:r w:rsidR="003D7320" w:rsidRPr="002C0C73">
        <w:rPr>
          <w:rFonts w:cs="Arial"/>
          <w:sz w:val="24"/>
          <w:szCs w:val="24"/>
        </w:rPr>
        <w:t>. Al respecto, se ha considerado que cuando se presentan circunstancias anormales, explicablemente no previstas en la legislación electoral, la autoridad debe buscar una solución con base en el conjunto de principios rectores, para encontrar la armonización de los fines y valores tutelados.</w:t>
      </w:r>
    </w:p>
    <w:p w:rsidR="00154CF6" w:rsidRPr="002C0C73" w:rsidRDefault="003D7320" w:rsidP="00154CF6">
      <w:pPr>
        <w:spacing w:before="240" w:after="240" w:line="360" w:lineRule="auto"/>
        <w:jc w:val="both"/>
        <w:rPr>
          <w:rFonts w:cs="Arial"/>
          <w:sz w:val="24"/>
          <w:szCs w:val="24"/>
        </w:rPr>
      </w:pPr>
      <w:r w:rsidRPr="002C0C73">
        <w:rPr>
          <w:rFonts w:cs="Arial"/>
          <w:sz w:val="24"/>
          <w:szCs w:val="24"/>
        </w:rPr>
        <w:t xml:space="preserve">En el caso, </w:t>
      </w:r>
      <w:r w:rsidR="00154CF6" w:rsidRPr="002C0C73">
        <w:rPr>
          <w:rFonts w:cs="Arial"/>
          <w:sz w:val="24"/>
          <w:szCs w:val="24"/>
        </w:rPr>
        <w:t>la ley</w:t>
      </w:r>
      <w:r w:rsidRPr="002C0C73">
        <w:rPr>
          <w:rFonts w:cs="Arial"/>
          <w:sz w:val="24"/>
          <w:szCs w:val="24"/>
        </w:rPr>
        <w:t xml:space="preserve"> dispone que, </w:t>
      </w:r>
      <w:r w:rsidR="00154CF6" w:rsidRPr="002C0C73">
        <w:rPr>
          <w:rFonts w:cs="Arial"/>
          <w:sz w:val="24"/>
          <w:szCs w:val="24"/>
        </w:rPr>
        <w:t xml:space="preserve">con la solicitud de registro las organizaciones que pretendan ser un </w:t>
      </w:r>
      <w:r w:rsidR="00725F96" w:rsidRPr="002C0C73">
        <w:rPr>
          <w:rFonts w:cs="Arial"/>
          <w:sz w:val="24"/>
          <w:szCs w:val="24"/>
        </w:rPr>
        <w:t xml:space="preserve">PPN </w:t>
      </w:r>
      <w:r w:rsidR="00154CF6" w:rsidRPr="002C0C73">
        <w:rPr>
          <w:rFonts w:cs="Arial"/>
          <w:sz w:val="24"/>
          <w:szCs w:val="24"/>
        </w:rPr>
        <w:t xml:space="preserve">deben acreditar la celebración de asambleas; el número exigido de afiliados, que éstos suscribieron la manifestación de afiliación y aprobaron los documentos básicos; la lista de afiliados, con el </w:t>
      </w:r>
      <w:r w:rsidR="00154CF6" w:rsidRPr="002C0C73">
        <w:rPr>
          <w:rFonts w:cs="Arial"/>
          <w:sz w:val="24"/>
          <w:szCs w:val="24"/>
        </w:rPr>
        <w:lastRenderedPageBreak/>
        <w:t>nombre, apellidos, domicilio, clave y folio de la credencial para votar y la no participación de organizaciones gremiales u otras de objeto social diferente.</w:t>
      </w:r>
    </w:p>
    <w:p w:rsidR="003D7320" w:rsidRPr="002C0C73" w:rsidRDefault="003D7320" w:rsidP="00154CF6">
      <w:pPr>
        <w:spacing w:before="240" w:after="240" w:line="360" w:lineRule="auto"/>
        <w:jc w:val="both"/>
        <w:rPr>
          <w:rFonts w:cs="Arial"/>
          <w:sz w:val="24"/>
          <w:szCs w:val="24"/>
        </w:rPr>
      </w:pPr>
      <w:r w:rsidRPr="002C0C73">
        <w:rPr>
          <w:rFonts w:cs="Arial"/>
          <w:sz w:val="24"/>
          <w:szCs w:val="24"/>
        </w:rPr>
        <w:t>Hecho lo anterior, la ley regula una situación ordinaria sobre el plazo que el INE tiene para revisar los requisitos y, en su momento, emitir la resolución correspondiente.</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Así, entre las actividades que debe realizar el INE</w:t>
      </w:r>
      <w:r w:rsidR="003D7320" w:rsidRPr="002C0C73">
        <w:rPr>
          <w:rFonts w:cs="Arial"/>
          <w:sz w:val="24"/>
          <w:szCs w:val="24"/>
        </w:rPr>
        <w:t xml:space="preserve">, en el plazo ordinario previsto en la ley, </w:t>
      </w:r>
      <w:r w:rsidRPr="002C0C73">
        <w:rPr>
          <w:rFonts w:cs="Arial"/>
          <w:sz w:val="24"/>
          <w:szCs w:val="24"/>
        </w:rPr>
        <w:t>están las siguientes: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Revisar que los documentos básicos satisfagan los requisitos legales.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Verificar que las organizaciones tengan tres mil militantes en</w:t>
      </w:r>
      <w:r w:rsidR="00725F96" w:rsidRPr="002C0C73">
        <w:rPr>
          <w:rFonts w:cs="Arial"/>
          <w:sz w:val="24"/>
          <w:szCs w:val="24"/>
        </w:rPr>
        <w:t xml:space="preserve"> al</w:t>
      </w:r>
      <w:r w:rsidRPr="002C0C73">
        <w:rPr>
          <w:rFonts w:cs="Arial"/>
          <w:sz w:val="24"/>
          <w:szCs w:val="24"/>
        </w:rPr>
        <w:t xml:space="preserve"> menos veinte entidades, o trescientos en doscientos distritos, y el número mínimo de militantes.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Constatar la celebración de asambleas estatales o distritales.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Determinar si no existió intervención de organizaciones gremiales.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falta de atractivos para inducir a las personas a acudir a las asambleas.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celebración de la asamblea nacional.</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La inexistencia de doble afiliación.</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Dar vista a los partidos políticos con las duplicidades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En su caso, realizar visitas domiciliarias a la ciudadanía, para que señale su prevalencia respecto de la organización o del partido político</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Informar a la organización sobre el número preliminar de personas afiliadas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Garantizar el derecho de audiencia a las organizaciones.</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Si de la verificación de las actas de las asambleas se advierte una irregularidad, ordenar la investigación respectiva para validarlas o no.</w:t>
      </w:r>
    </w:p>
    <w:p w:rsidR="00154CF6" w:rsidRPr="002C0C73" w:rsidRDefault="00154CF6" w:rsidP="00154CF6">
      <w:pPr>
        <w:pStyle w:val="Prrafodelista"/>
        <w:numPr>
          <w:ilvl w:val="0"/>
          <w:numId w:val="17"/>
        </w:numPr>
        <w:spacing w:before="240" w:after="240" w:line="360" w:lineRule="auto"/>
        <w:ind w:left="0" w:firstLine="0"/>
        <w:contextualSpacing/>
        <w:jc w:val="both"/>
        <w:rPr>
          <w:rFonts w:cs="Arial"/>
          <w:sz w:val="24"/>
          <w:szCs w:val="24"/>
        </w:rPr>
      </w:pPr>
      <w:r w:rsidRPr="002C0C73">
        <w:rPr>
          <w:rFonts w:cs="Arial"/>
          <w:sz w:val="24"/>
          <w:szCs w:val="24"/>
        </w:rPr>
        <w:t>Resolver sobre la fiscalización y los procedimientos sancionadores</w:t>
      </w:r>
    </w:p>
    <w:p w:rsidR="00154CF6" w:rsidRPr="002C0C73" w:rsidRDefault="003D7320" w:rsidP="00154CF6">
      <w:pPr>
        <w:spacing w:before="240" w:after="240" w:line="360" w:lineRule="auto"/>
        <w:jc w:val="both"/>
        <w:rPr>
          <w:rFonts w:cs="Arial"/>
          <w:sz w:val="24"/>
          <w:szCs w:val="24"/>
        </w:rPr>
      </w:pPr>
      <w:r w:rsidRPr="002C0C73">
        <w:rPr>
          <w:rFonts w:cs="Arial"/>
          <w:sz w:val="24"/>
          <w:szCs w:val="24"/>
        </w:rPr>
        <w:t>Ahora, p</w:t>
      </w:r>
      <w:r w:rsidR="00154CF6" w:rsidRPr="002C0C73">
        <w:rPr>
          <w:rFonts w:cs="Arial"/>
          <w:sz w:val="24"/>
          <w:szCs w:val="24"/>
        </w:rPr>
        <w:t>ara realizar esas actividades, el CG del INE precisó que se requiere la intervención de diversos órganos, como la DEPPP, la DERFE, la UTF, la UTCE, así como de las juntas locales y distritales</w:t>
      </w:r>
      <w:r w:rsidR="00A708A8" w:rsidRPr="002C0C73">
        <w:rPr>
          <w:rFonts w:cs="Arial"/>
          <w:sz w:val="24"/>
          <w:szCs w:val="24"/>
        </w:rPr>
        <w:t>, lo cual se entiende por la cantidad de requisitos a verificar, si se considera que son siete organizaciones que pretenden ser PPN.</w:t>
      </w:r>
    </w:p>
    <w:tbl>
      <w:tblPr>
        <w:tblStyle w:val="Tablaconcuadrcula"/>
        <w:tblW w:w="0" w:type="auto"/>
        <w:tblLook w:val="04A0" w:firstRow="1" w:lastRow="0" w:firstColumn="1" w:lastColumn="0" w:noHBand="0" w:noVBand="1"/>
      </w:tblPr>
      <w:tblGrid>
        <w:gridCol w:w="2405"/>
        <w:gridCol w:w="5855"/>
      </w:tblGrid>
      <w:tr w:rsidR="00A708A8" w:rsidRPr="002C0C73" w:rsidTr="00A708A8">
        <w:tc>
          <w:tcPr>
            <w:tcW w:w="2405" w:type="dxa"/>
            <w:shd w:val="clear" w:color="auto" w:fill="BDD6EE" w:themeFill="accent1" w:themeFillTint="66"/>
          </w:tcPr>
          <w:p w:rsidR="00A708A8" w:rsidRPr="002C0C73" w:rsidRDefault="00A708A8" w:rsidP="00A708A8">
            <w:pPr>
              <w:jc w:val="both"/>
              <w:rPr>
                <w:rFonts w:cs="Arial"/>
                <w:b/>
              </w:rPr>
            </w:pPr>
            <w:r w:rsidRPr="002C0C73">
              <w:rPr>
                <w:rFonts w:cs="Arial"/>
                <w:b/>
              </w:rPr>
              <w:t>Requisito</w:t>
            </w:r>
          </w:p>
        </w:tc>
        <w:tc>
          <w:tcPr>
            <w:tcW w:w="5855" w:type="dxa"/>
            <w:shd w:val="clear" w:color="auto" w:fill="BDD6EE" w:themeFill="accent1" w:themeFillTint="66"/>
          </w:tcPr>
          <w:p w:rsidR="00A708A8" w:rsidRPr="002C0C73" w:rsidRDefault="00A708A8" w:rsidP="00A708A8">
            <w:pPr>
              <w:jc w:val="both"/>
              <w:rPr>
                <w:rFonts w:cs="Arial"/>
                <w:b/>
              </w:rPr>
            </w:pPr>
            <w:r w:rsidRPr="002C0C73">
              <w:rPr>
                <w:rFonts w:cs="Arial"/>
                <w:b/>
              </w:rPr>
              <w:t>Cantidad</w:t>
            </w:r>
          </w:p>
        </w:tc>
      </w:tr>
      <w:tr w:rsidR="00A708A8" w:rsidRPr="002C0C73" w:rsidTr="00A708A8">
        <w:tc>
          <w:tcPr>
            <w:tcW w:w="2405" w:type="dxa"/>
          </w:tcPr>
          <w:p w:rsidR="00A708A8" w:rsidRPr="002C0C73" w:rsidRDefault="00A708A8" w:rsidP="00A708A8">
            <w:pPr>
              <w:jc w:val="both"/>
              <w:rPr>
                <w:rFonts w:cs="Arial"/>
              </w:rPr>
            </w:pPr>
            <w:r w:rsidRPr="002C0C73">
              <w:rPr>
                <w:rFonts w:cs="Arial"/>
              </w:rPr>
              <w:t>Documentos básicos</w:t>
            </w:r>
          </w:p>
        </w:tc>
        <w:tc>
          <w:tcPr>
            <w:tcW w:w="5855" w:type="dxa"/>
          </w:tcPr>
          <w:p w:rsidR="00A708A8" w:rsidRPr="002C0C73" w:rsidRDefault="00A708A8" w:rsidP="00A708A8">
            <w:pPr>
              <w:jc w:val="both"/>
              <w:rPr>
                <w:rFonts w:cs="Arial"/>
              </w:rPr>
            </w:pPr>
            <w:r w:rsidRPr="002C0C73">
              <w:rPr>
                <w:rFonts w:cs="Arial"/>
              </w:rPr>
              <w:t>Siete estatutos, declaración de principios y programas de acción</w:t>
            </w:r>
          </w:p>
        </w:tc>
      </w:tr>
      <w:tr w:rsidR="00A708A8" w:rsidRPr="002C0C73" w:rsidTr="00A708A8">
        <w:tc>
          <w:tcPr>
            <w:tcW w:w="2405" w:type="dxa"/>
          </w:tcPr>
          <w:p w:rsidR="00A708A8" w:rsidRPr="002C0C73" w:rsidRDefault="00A708A8" w:rsidP="00A708A8">
            <w:pPr>
              <w:jc w:val="both"/>
              <w:rPr>
                <w:rFonts w:cs="Arial"/>
              </w:rPr>
            </w:pPr>
            <w:r w:rsidRPr="002C0C73">
              <w:rPr>
                <w:rFonts w:cs="Arial"/>
              </w:rPr>
              <w:lastRenderedPageBreak/>
              <w:t>Asambleas</w:t>
            </w:r>
          </w:p>
        </w:tc>
        <w:tc>
          <w:tcPr>
            <w:tcW w:w="5855" w:type="dxa"/>
          </w:tcPr>
          <w:p w:rsidR="00A708A8" w:rsidRPr="002C0C73" w:rsidRDefault="00A708A8" w:rsidP="00A708A8">
            <w:pPr>
              <w:jc w:val="both"/>
              <w:rPr>
                <w:rFonts w:cs="Arial"/>
              </w:rPr>
            </w:pPr>
            <w:r w:rsidRPr="002C0C73">
              <w:rPr>
                <w:rFonts w:cs="Arial"/>
              </w:rPr>
              <w:t>Ciento cuarenta asambleas, en caso de ser estatales</w:t>
            </w:r>
          </w:p>
          <w:p w:rsidR="00A708A8" w:rsidRPr="002C0C73" w:rsidRDefault="00A708A8" w:rsidP="00A708A8">
            <w:pPr>
              <w:jc w:val="both"/>
              <w:rPr>
                <w:rFonts w:cs="Arial"/>
              </w:rPr>
            </w:pPr>
            <w:r w:rsidRPr="002C0C73">
              <w:rPr>
                <w:rFonts w:cs="Arial"/>
              </w:rPr>
              <w:t>Mil cuatrocientas, en caso de ser distritales</w:t>
            </w:r>
          </w:p>
          <w:p w:rsidR="00A708A8" w:rsidRPr="002C0C73" w:rsidRDefault="00A708A8" w:rsidP="00A708A8">
            <w:pPr>
              <w:jc w:val="both"/>
              <w:rPr>
                <w:rFonts w:cs="Arial"/>
              </w:rPr>
            </w:pPr>
            <w:r w:rsidRPr="002C0C73">
              <w:rPr>
                <w:rFonts w:cs="Arial"/>
              </w:rPr>
              <w:t>Lo cual dependerá del tipo de asamblea que haya decidido celebrar la organización</w:t>
            </w:r>
          </w:p>
        </w:tc>
      </w:tr>
      <w:tr w:rsidR="00A708A8" w:rsidRPr="002C0C73" w:rsidTr="00A708A8">
        <w:tc>
          <w:tcPr>
            <w:tcW w:w="2405" w:type="dxa"/>
          </w:tcPr>
          <w:p w:rsidR="00A708A8" w:rsidRPr="002C0C73" w:rsidRDefault="00A708A8" w:rsidP="00A708A8">
            <w:pPr>
              <w:jc w:val="both"/>
              <w:rPr>
                <w:rFonts w:cs="Arial"/>
              </w:rPr>
            </w:pPr>
            <w:r w:rsidRPr="002C0C73">
              <w:rPr>
                <w:rFonts w:cs="Arial"/>
              </w:rPr>
              <w:t>Asamblea nacional</w:t>
            </w:r>
          </w:p>
        </w:tc>
        <w:tc>
          <w:tcPr>
            <w:tcW w:w="5855" w:type="dxa"/>
          </w:tcPr>
          <w:p w:rsidR="00A708A8" w:rsidRPr="002C0C73" w:rsidRDefault="00A708A8" w:rsidP="00A708A8">
            <w:pPr>
              <w:jc w:val="both"/>
              <w:rPr>
                <w:rFonts w:cs="Arial"/>
              </w:rPr>
            </w:pPr>
            <w:r w:rsidRPr="002C0C73">
              <w:rPr>
                <w:rFonts w:cs="Arial"/>
              </w:rPr>
              <w:t>Siete asambleas nacionales</w:t>
            </w:r>
          </w:p>
        </w:tc>
      </w:tr>
      <w:tr w:rsidR="009E3563" w:rsidRPr="002C0C73" w:rsidTr="00A708A8">
        <w:tc>
          <w:tcPr>
            <w:tcW w:w="2405" w:type="dxa"/>
          </w:tcPr>
          <w:p w:rsidR="009E3563" w:rsidRPr="002C0C73" w:rsidRDefault="009E3563" w:rsidP="00A708A8">
            <w:pPr>
              <w:jc w:val="both"/>
              <w:rPr>
                <w:rFonts w:cs="Arial"/>
              </w:rPr>
            </w:pPr>
            <w:r w:rsidRPr="002C0C73">
              <w:rPr>
                <w:rFonts w:cs="Arial"/>
              </w:rPr>
              <w:t>Revisión de actas</w:t>
            </w:r>
          </w:p>
        </w:tc>
        <w:tc>
          <w:tcPr>
            <w:tcW w:w="5855" w:type="dxa"/>
          </w:tcPr>
          <w:p w:rsidR="009E3563" w:rsidRPr="002C0C73" w:rsidRDefault="009E3563" w:rsidP="00A708A8">
            <w:pPr>
              <w:jc w:val="both"/>
              <w:rPr>
                <w:rFonts w:cs="Arial"/>
              </w:rPr>
            </w:pPr>
            <w:r w:rsidRPr="002C0C73">
              <w:rPr>
                <w:rFonts w:cs="Arial"/>
              </w:rPr>
              <w:t>Examinar todas las actas de asambleas estatales o distritales, como la nacional, de cada una de las organizaciones</w:t>
            </w:r>
          </w:p>
        </w:tc>
      </w:tr>
      <w:tr w:rsidR="00A708A8" w:rsidRPr="002C0C73" w:rsidTr="00A708A8">
        <w:tc>
          <w:tcPr>
            <w:tcW w:w="2405" w:type="dxa"/>
          </w:tcPr>
          <w:p w:rsidR="00A708A8" w:rsidRPr="002C0C73" w:rsidRDefault="00A708A8" w:rsidP="00A708A8">
            <w:pPr>
              <w:jc w:val="both"/>
              <w:rPr>
                <w:rFonts w:cs="Arial"/>
              </w:rPr>
            </w:pPr>
            <w:r w:rsidRPr="002C0C73">
              <w:rPr>
                <w:rFonts w:cs="Arial"/>
              </w:rPr>
              <w:t>Afiliaciones</w:t>
            </w:r>
          </w:p>
        </w:tc>
        <w:tc>
          <w:tcPr>
            <w:tcW w:w="5855" w:type="dxa"/>
          </w:tcPr>
          <w:p w:rsidR="00A708A8" w:rsidRPr="002C0C73" w:rsidRDefault="00A708A8" w:rsidP="00A708A8">
            <w:pPr>
              <w:jc w:val="both"/>
              <w:rPr>
                <w:rFonts w:cs="Arial"/>
              </w:rPr>
            </w:pPr>
            <w:r w:rsidRPr="002C0C73">
              <w:rPr>
                <w:rFonts w:cs="Arial"/>
              </w:rPr>
              <w:t>Tres mil, en por lo menos veinte entidades</w:t>
            </w:r>
          </w:p>
          <w:p w:rsidR="00A708A8" w:rsidRPr="002C0C73" w:rsidRDefault="00A708A8" w:rsidP="00A708A8">
            <w:pPr>
              <w:jc w:val="both"/>
              <w:rPr>
                <w:rFonts w:cs="Arial"/>
              </w:rPr>
            </w:pPr>
            <w:r w:rsidRPr="002C0C73">
              <w:rPr>
                <w:rFonts w:cs="Arial"/>
              </w:rPr>
              <w:t xml:space="preserve">O bien trescientos en doscientos distritos, </w:t>
            </w:r>
          </w:p>
        </w:tc>
      </w:tr>
      <w:tr w:rsidR="00A708A8" w:rsidRPr="002C0C73" w:rsidTr="00A708A8">
        <w:tc>
          <w:tcPr>
            <w:tcW w:w="2405" w:type="dxa"/>
          </w:tcPr>
          <w:p w:rsidR="00A708A8" w:rsidRPr="002C0C73" w:rsidRDefault="00A708A8" w:rsidP="00A708A8">
            <w:pPr>
              <w:jc w:val="both"/>
              <w:rPr>
                <w:rFonts w:cs="Arial"/>
              </w:rPr>
            </w:pPr>
            <w:r w:rsidRPr="002C0C73">
              <w:rPr>
                <w:rFonts w:cs="Arial"/>
              </w:rPr>
              <w:t>Afiliación mínima</w:t>
            </w:r>
          </w:p>
        </w:tc>
        <w:tc>
          <w:tcPr>
            <w:tcW w:w="5855" w:type="dxa"/>
          </w:tcPr>
          <w:p w:rsidR="00A708A8" w:rsidRPr="002C0C73" w:rsidRDefault="00A708A8" w:rsidP="00A708A8">
            <w:pPr>
              <w:jc w:val="both"/>
              <w:rPr>
                <w:rFonts w:cs="Arial"/>
              </w:rPr>
            </w:pPr>
            <w:r w:rsidRPr="002C0C73">
              <w:rPr>
                <w:rFonts w:cs="Arial"/>
              </w:rPr>
              <w:t>En cada caso, se debe verificar que las organizaciones cuentan con el número mínimo de afiliados exigido por la ley</w:t>
            </w:r>
          </w:p>
        </w:tc>
      </w:tr>
      <w:tr w:rsidR="009E3563" w:rsidRPr="002C0C73" w:rsidTr="00A708A8">
        <w:tc>
          <w:tcPr>
            <w:tcW w:w="2405" w:type="dxa"/>
          </w:tcPr>
          <w:p w:rsidR="009E3563" w:rsidRPr="002C0C73" w:rsidRDefault="009E3563" w:rsidP="00A708A8">
            <w:pPr>
              <w:jc w:val="both"/>
              <w:rPr>
                <w:rFonts w:cs="Arial"/>
              </w:rPr>
            </w:pPr>
            <w:r w:rsidRPr="002C0C73">
              <w:rPr>
                <w:rFonts w:cs="Arial"/>
              </w:rPr>
              <w:t>Verificación ante la DERFE</w:t>
            </w:r>
          </w:p>
        </w:tc>
        <w:tc>
          <w:tcPr>
            <w:tcW w:w="5855" w:type="dxa"/>
          </w:tcPr>
          <w:p w:rsidR="009E3563" w:rsidRPr="002C0C73" w:rsidRDefault="009E3563" w:rsidP="00A708A8">
            <w:pPr>
              <w:jc w:val="both"/>
              <w:rPr>
                <w:rFonts w:cs="Arial"/>
              </w:rPr>
            </w:pPr>
            <w:r w:rsidRPr="002C0C73">
              <w:rPr>
                <w:rFonts w:cs="Arial"/>
              </w:rPr>
              <w:t>Se debe examinar si cada persona afiliada está en el registro federal de electores</w:t>
            </w:r>
          </w:p>
        </w:tc>
      </w:tr>
      <w:tr w:rsidR="00A708A8" w:rsidRPr="002C0C73" w:rsidTr="00A708A8">
        <w:tc>
          <w:tcPr>
            <w:tcW w:w="2405" w:type="dxa"/>
          </w:tcPr>
          <w:p w:rsidR="00A708A8" w:rsidRPr="002C0C73" w:rsidRDefault="00A708A8" w:rsidP="00A708A8">
            <w:pPr>
              <w:jc w:val="both"/>
              <w:rPr>
                <w:rFonts w:cs="Arial"/>
              </w:rPr>
            </w:pPr>
            <w:r w:rsidRPr="002C0C73">
              <w:rPr>
                <w:rFonts w:cs="Arial"/>
              </w:rPr>
              <w:t>Evitar la doble afiliación</w:t>
            </w:r>
          </w:p>
        </w:tc>
        <w:tc>
          <w:tcPr>
            <w:tcW w:w="5855" w:type="dxa"/>
          </w:tcPr>
          <w:p w:rsidR="00A708A8" w:rsidRPr="002C0C73" w:rsidRDefault="00A708A8" w:rsidP="00A708A8">
            <w:pPr>
              <w:jc w:val="both"/>
              <w:rPr>
                <w:rFonts w:cs="Arial"/>
              </w:rPr>
            </w:pPr>
            <w:r w:rsidRPr="002C0C73">
              <w:rPr>
                <w:rFonts w:cs="Arial"/>
              </w:rPr>
              <w:t>Se debe constatar que las siete organizaciones no tengan personas afiliadas en dos o más de éstas, o con otros partidos políticos, lo cual implica la revisión del número total de afiliados.</w:t>
            </w:r>
          </w:p>
        </w:tc>
      </w:tr>
      <w:tr w:rsidR="00A708A8" w:rsidRPr="002C0C73" w:rsidTr="00A708A8">
        <w:tc>
          <w:tcPr>
            <w:tcW w:w="2405" w:type="dxa"/>
          </w:tcPr>
          <w:p w:rsidR="00A708A8" w:rsidRPr="002C0C73" w:rsidRDefault="00A708A8" w:rsidP="00A708A8">
            <w:pPr>
              <w:jc w:val="both"/>
              <w:rPr>
                <w:rFonts w:cs="Arial"/>
              </w:rPr>
            </w:pPr>
            <w:r w:rsidRPr="002C0C73">
              <w:rPr>
                <w:rFonts w:cs="Arial"/>
              </w:rPr>
              <w:t>Fiscalización</w:t>
            </w:r>
          </w:p>
        </w:tc>
        <w:tc>
          <w:tcPr>
            <w:tcW w:w="5855" w:type="dxa"/>
          </w:tcPr>
          <w:p w:rsidR="00A708A8" w:rsidRPr="002C0C73" w:rsidRDefault="00A708A8" w:rsidP="00A708A8">
            <w:pPr>
              <w:jc w:val="both"/>
              <w:rPr>
                <w:rFonts w:cs="Arial"/>
              </w:rPr>
            </w:pPr>
            <w:r w:rsidRPr="002C0C73">
              <w:rPr>
                <w:rFonts w:cs="Arial"/>
              </w:rPr>
              <w:t>La revisión de cada informe mensual rendido por las organizaciones, así como el origen y destino</w:t>
            </w:r>
          </w:p>
        </w:tc>
      </w:tr>
      <w:tr w:rsidR="00A708A8" w:rsidRPr="002C0C73" w:rsidTr="00A708A8">
        <w:tc>
          <w:tcPr>
            <w:tcW w:w="2405" w:type="dxa"/>
          </w:tcPr>
          <w:p w:rsidR="00A708A8" w:rsidRPr="002C0C73" w:rsidRDefault="00A708A8" w:rsidP="00A708A8">
            <w:pPr>
              <w:jc w:val="both"/>
              <w:rPr>
                <w:rFonts w:cs="Arial"/>
              </w:rPr>
            </w:pPr>
            <w:r w:rsidRPr="002C0C73">
              <w:rPr>
                <w:rFonts w:cs="Arial"/>
              </w:rPr>
              <w:t>Procedimientos sancionadores</w:t>
            </w:r>
          </w:p>
        </w:tc>
        <w:tc>
          <w:tcPr>
            <w:tcW w:w="5855" w:type="dxa"/>
          </w:tcPr>
          <w:p w:rsidR="00A708A8" w:rsidRPr="002C0C73" w:rsidRDefault="00A708A8" w:rsidP="00A708A8">
            <w:pPr>
              <w:jc w:val="both"/>
              <w:rPr>
                <w:rFonts w:cs="Arial"/>
              </w:rPr>
            </w:pPr>
            <w:r w:rsidRPr="002C0C73">
              <w:rPr>
                <w:rFonts w:cs="Arial"/>
              </w:rPr>
              <w:t xml:space="preserve">La resolución de las denuncias presentadas en contra de cada una de las </w:t>
            </w:r>
            <w:r w:rsidR="009E3563" w:rsidRPr="002C0C73">
              <w:rPr>
                <w:rFonts w:cs="Arial"/>
              </w:rPr>
              <w:t>o</w:t>
            </w:r>
            <w:r w:rsidRPr="002C0C73">
              <w:rPr>
                <w:rFonts w:cs="Arial"/>
              </w:rPr>
              <w:t>rganizaciones</w:t>
            </w:r>
          </w:p>
        </w:tc>
      </w:tr>
    </w:tbl>
    <w:p w:rsidR="009E3563" w:rsidRPr="002C0C73" w:rsidRDefault="009E3563" w:rsidP="00154CF6">
      <w:pPr>
        <w:spacing w:before="240" w:after="240" w:line="360" w:lineRule="auto"/>
        <w:jc w:val="both"/>
        <w:rPr>
          <w:rFonts w:cs="Arial"/>
          <w:sz w:val="24"/>
          <w:szCs w:val="24"/>
        </w:rPr>
      </w:pPr>
      <w:r w:rsidRPr="002C0C73">
        <w:rPr>
          <w:rFonts w:cs="Arial"/>
          <w:sz w:val="24"/>
          <w:szCs w:val="24"/>
        </w:rPr>
        <w:t xml:space="preserve">Como se observa, la complejidad del procedimiento de registro de PPN involucra muchas actividades que necesariamente requiere una revisión exhaustiva de los requisitos, lo cual </w:t>
      </w:r>
      <w:r w:rsidR="00722AEB" w:rsidRPr="002C0C73">
        <w:rPr>
          <w:rFonts w:cs="Arial"/>
          <w:sz w:val="24"/>
          <w:szCs w:val="24"/>
        </w:rPr>
        <w:t>exige</w:t>
      </w:r>
      <w:r w:rsidRPr="002C0C73">
        <w:rPr>
          <w:rFonts w:cs="Arial"/>
          <w:sz w:val="24"/>
          <w:szCs w:val="24"/>
        </w:rPr>
        <w:t xml:space="preserve"> un tiempo razonable para su análisis</w:t>
      </w:r>
      <w:r w:rsidR="003D7320" w:rsidRPr="002C0C73">
        <w:rPr>
          <w:rFonts w:cs="Arial"/>
          <w:sz w:val="24"/>
          <w:szCs w:val="24"/>
        </w:rPr>
        <w:t>, el cual está prevista en la ley para los casos ordinarios.</w:t>
      </w:r>
    </w:p>
    <w:p w:rsidR="002C0121" w:rsidRPr="002C0C73" w:rsidRDefault="002C0121" w:rsidP="00154CF6">
      <w:pPr>
        <w:spacing w:before="240" w:after="240" w:line="360" w:lineRule="auto"/>
        <w:jc w:val="both"/>
        <w:rPr>
          <w:rFonts w:cs="Arial"/>
          <w:sz w:val="24"/>
          <w:szCs w:val="24"/>
        </w:rPr>
      </w:pPr>
      <w:r w:rsidRPr="002C0C73">
        <w:rPr>
          <w:rFonts w:cs="Arial"/>
          <w:sz w:val="24"/>
          <w:szCs w:val="24"/>
        </w:rPr>
        <w:t>Por eso, la propia LGPP</w:t>
      </w:r>
      <w:r w:rsidRPr="002C0C73">
        <w:rPr>
          <w:rStyle w:val="Refdenotaalpie"/>
          <w:rFonts w:cs="Arial"/>
          <w:sz w:val="24"/>
          <w:szCs w:val="24"/>
        </w:rPr>
        <w:footnoteReference w:id="68"/>
      </w:r>
      <w:r w:rsidRPr="002C0C73">
        <w:rPr>
          <w:rFonts w:cs="Arial"/>
          <w:sz w:val="24"/>
          <w:szCs w:val="24"/>
        </w:rPr>
        <w:t xml:space="preserve"> señala que para realizar esas actividades se tiene sesenta días, es decir, se reconoce la necesidad de que el INE tenga el suficiente tiempo, en condiciones ordinarias, para la revisión de los requisitos de las organizaciones que pretenden ser PPN.</w:t>
      </w:r>
    </w:p>
    <w:p w:rsidR="009D0B20" w:rsidRPr="002C0C73" w:rsidRDefault="009D0B20" w:rsidP="00154CF6">
      <w:pPr>
        <w:spacing w:before="240" w:after="240" w:line="360" w:lineRule="auto"/>
        <w:jc w:val="both"/>
        <w:rPr>
          <w:rFonts w:cs="Arial"/>
          <w:sz w:val="24"/>
          <w:szCs w:val="24"/>
          <w:u w:color="538135" w:themeColor="accent6" w:themeShade="BF"/>
        </w:rPr>
      </w:pPr>
      <w:r w:rsidRPr="002C0C73">
        <w:rPr>
          <w:rFonts w:cs="Arial"/>
          <w:sz w:val="24"/>
          <w:szCs w:val="24"/>
          <w:u w:color="538135" w:themeColor="accent6" w:themeShade="BF"/>
        </w:rPr>
        <w:t>Por otra parte, es necesario señalar que</w:t>
      </w:r>
      <w:r w:rsidR="00FD5F2B" w:rsidRPr="002C0C73">
        <w:rPr>
          <w:rFonts w:cs="Arial"/>
          <w:sz w:val="24"/>
          <w:szCs w:val="24"/>
          <w:u w:color="538135" w:themeColor="accent6" w:themeShade="BF"/>
        </w:rPr>
        <w:t xml:space="preserve"> no fue controvertido</w:t>
      </w:r>
      <w:r w:rsidRPr="002C0C73">
        <w:rPr>
          <w:rFonts w:cs="Arial"/>
          <w:sz w:val="24"/>
          <w:szCs w:val="24"/>
          <w:u w:color="538135" w:themeColor="accent6" w:themeShade="BF"/>
        </w:rPr>
        <w:t xml:space="preserve"> el acuerdo</w:t>
      </w:r>
      <w:r w:rsidR="00FD5F2B" w:rsidRPr="002C0C73">
        <w:rPr>
          <w:rStyle w:val="Refdenotaalpie"/>
          <w:rFonts w:cs="Arial"/>
          <w:sz w:val="24"/>
          <w:szCs w:val="24"/>
          <w:u w:color="538135" w:themeColor="accent6" w:themeShade="BF"/>
        </w:rPr>
        <w:footnoteReference w:id="69"/>
      </w:r>
      <w:r w:rsidRPr="002C0C73">
        <w:rPr>
          <w:rFonts w:cs="Arial"/>
          <w:sz w:val="24"/>
          <w:szCs w:val="24"/>
          <w:u w:color="538135" w:themeColor="accent6" w:themeShade="BF"/>
        </w:rPr>
        <w:t xml:space="preserve"> por el</w:t>
      </w:r>
      <w:r w:rsidR="00FD5F2B" w:rsidRPr="002C0C73">
        <w:rPr>
          <w:rFonts w:cs="Arial"/>
          <w:sz w:val="24"/>
          <w:szCs w:val="24"/>
          <w:u w:color="538135" w:themeColor="accent6" w:themeShade="BF"/>
        </w:rPr>
        <w:t xml:space="preserve"> cual el INE </w:t>
      </w:r>
      <w:r w:rsidRPr="002C0C73">
        <w:rPr>
          <w:rFonts w:cs="Arial"/>
          <w:sz w:val="24"/>
          <w:szCs w:val="24"/>
          <w:u w:color="538135" w:themeColor="accent6" w:themeShade="BF"/>
        </w:rPr>
        <w:t>suspend</w:t>
      </w:r>
      <w:r w:rsidR="00FD5F2B" w:rsidRPr="002C0C73">
        <w:rPr>
          <w:rFonts w:cs="Arial"/>
          <w:sz w:val="24"/>
          <w:szCs w:val="24"/>
          <w:u w:color="538135" w:themeColor="accent6" w:themeShade="BF"/>
        </w:rPr>
        <w:t>ió sus actividades, y ello justifica la imposibilidad de resolver sobre el registro de nuevos PPN antes del primero de julio.</w:t>
      </w:r>
    </w:p>
    <w:p w:rsidR="003D7320" w:rsidRPr="002C0C73" w:rsidRDefault="002C0C73" w:rsidP="00154CF6">
      <w:pPr>
        <w:spacing w:before="240" w:after="240" w:line="360" w:lineRule="auto"/>
        <w:jc w:val="both"/>
        <w:rPr>
          <w:rFonts w:cs="Arial"/>
          <w:sz w:val="24"/>
          <w:szCs w:val="24"/>
        </w:rPr>
      </w:pPr>
      <w:r>
        <w:rPr>
          <w:rFonts w:cs="Arial"/>
          <w:sz w:val="24"/>
          <w:szCs w:val="24"/>
        </w:rPr>
        <w:t xml:space="preserve">Esto, porque </w:t>
      </w:r>
      <w:r w:rsidR="00AD6692" w:rsidRPr="002C0C73">
        <w:rPr>
          <w:rFonts w:cs="Arial"/>
          <w:sz w:val="24"/>
          <w:szCs w:val="24"/>
        </w:rPr>
        <w:t>s</w:t>
      </w:r>
      <w:r w:rsidR="003D7320" w:rsidRPr="002C0C73">
        <w:rPr>
          <w:rFonts w:cs="Arial"/>
          <w:sz w:val="24"/>
          <w:szCs w:val="24"/>
        </w:rPr>
        <w:t>e está en presencia de una situación</w:t>
      </w:r>
      <w:r w:rsidR="007250AA" w:rsidRPr="002C0C73">
        <w:rPr>
          <w:rFonts w:cs="Arial"/>
          <w:sz w:val="24"/>
          <w:szCs w:val="24"/>
        </w:rPr>
        <w:t xml:space="preserve"> totalmente</w:t>
      </w:r>
      <w:r w:rsidR="003D7320" w:rsidRPr="002C0C73">
        <w:rPr>
          <w:rFonts w:cs="Arial"/>
          <w:sz w:val="24"/>
          <w:szCs w:val="24"/>
        </w:rPr>
        <w:t xml:space="preserve"> extraordinaria,</w:t>
      </w:r>
      <w:r w:rsidR="00167C12" w:rsidRPr="002C0C73">
        <w:rPr>
          <w:rFonts w:cs="Arial"/>
          <w:sz w:val="24"/>
          <w:szCs w:val="24"/>
        </w:rPr>
        <w:t xml:space="preserve"> por lo que</w:t>
      </w:r>
      <w:r w:rsidR="003D7320" w:rsidRPr="002C0C73">
        <w:rPr>
          <w:rFonts w:cs="Arial"/>
          <w:sz w:val="24"/>
          <w:szCs w:val="24"/>
        </w:rPr>
        <w:t xml:space="preserve"> </w:t>
      </w:r>
      <w:r w:rsidR="00167C12" w:rsidRPr="002C0C73">
        <w:rPr>
          <w:rFonts w:cs="Arial"/>
          <w:sz w:val="24"/>
          <w:szCs w:val="24"/>
        </w:rPr>
        <w:t xml:space="preserve">no era racionalmente posible su previsión en </w:t>
      </w:r>
      <w:r w:rsidR="003D7320" w:rsidRPr="002C0C73">
        <w:rPr>
          <w:rFonts w:cs="Arial"/>
          <w:sz w:val="24"/>
          <w:szCs w:val="24"/>
        </w:rPr>
        <w:t xml:space="preserve">la ley, </w:t>
      </w:r>
      <w:r w:rsidR="00167C12" w:rsidRPr="002C0C73">
        <w:rPr>
          <w:rFonts w:cs="Arial"/>
          <w:sz w:val="24"/>
          <w:szCs w:val="24"/>
        </w:rPr>
        <w:t xml:space="preserve">y </w:t>
      </w:r>
      <w:r w:rsidR="003D7320" w:rsidRPr="002C0C73">
        <w:rPr>
          <w:rFonts w:cs="Arial"/>
          <w:sz w:val="24"/>
          <w:szCs w:val="24"/>
        </w:rPr>
        <w:t xml:space="preserve">que ha motivado al INE a tomar las medidas necesarias para cumplir los fines acordes a su función electoral. </w:t>
      </w:r>
    </w:p>
    <w:p w:rsidR="00AD6692" w:rsidRPr="002C0C73" w:rsidRDefault="00AD6692" w:rsidP="00154CF6">
      <w:pPr>
        <w:spacing w:before="240" w:after="240" w:line="360" w:lineRule="auto"/>
        <w:jc w:val="both"/>
        <w:rPr>
          <w:rFonts w:cs="Arial"/>
          <w:sz w:val="24"/>
          <w:szCs w:val="24"/>
        </w:rPr>
      </w:pPr>
      <w:r w:rsidRPr="002C0C73">
        <w:rPr>
          <w:rFonts w:cs="Arial"/>
          <w:sz w:val="24"/>
          <w:szCs w:val="24"/>
        </w:rPr>
        <w:t>Ello porque, como se ha explicado, existe una situación extraordinaria derivada de la emergencia necesaria provocada por el virus COVID-19, motivo por el cual se justifica adecuar los plazos previstos en la ley, para resolver sobre la constitución de PPN.</w:t>
      </w:r>
    </w:p>
    <w:p w:rsidR="00154CF6" w:rsidRPr="002C0C73" w:rsidRDefault="00AD6692" w:rsidP="00154CF6">
      <w:pPr>
        <w:spacing w:before="240" w:after="240" w:line="360" w:lineRule="auto"/>
        <w:jc w:val="both"/>
        <w:rPr>
          <w:rFonts w:cs="Arial"/>
          <w:sz w:val="24"/>
          <w:szCs w:val="24"/>
        </w:rPr>
      </w:pPr>
      <w:r w:rsidRPr="002C0C73">
        <w:rPr>
          <w:rFonts w:cs="Arial"/>
          <w:sz w:val="24"/>
          <w:szCs w:val="24"/>
        </w:rPr>
        <w:lastRenderedPageBreak/>
        <w:t xml:space="preserve">En este sentido, </w:t>
      </w:r>
      <w:r w:rsidR="00154CF6" w:rsidRPr="002C0C73">
        <w:rPr>
          <w:rFonts w:cs="Arial"/>
          <w:sz w:val="24"/>
          <w:szCs w:val="24"/>
        </w:rPr>
        <w:t xml:space="preserve">si bien se ha reanudado el procedimiento de constitución de partidos políticos, ello aún es en el contexto de la existencia </w:t>
      </w:r>
      <w:r w:rsidR="009E3563" w:rsidRPr="002C0C73">
        <w:rPr>
          <w:rFonts w:cs="Arial"/>
          <w:sz w:val="24"/>
          <w:szCs w:val="24"/>
        </w:rPr>
        <w:t xml:space="preserve">aún </w:t>
      </w:r>
      <w:r w:rsidR="00154CF6" w:rsidRPr="002C0C73">
        <w:rPr>
          <w:rFonts w:cs="Arial"/>
          <w:sz w:val="24"/>
          <w:szCs w:val="24"/>
        </w:rPr>
        <w:t xml:space="preserve">de la </w:t>
      </w:r>
      <w:r w:rsidRPr="002C0C73">
        <w:rPr>
          <w:rFonts w:cs="Arial"/>
          <w:sz w:val="24"/>
          <w:szCs w:val="24"/>
        </w:rPr>
        <w:t xml:space="preserve">situación extraordinaria impuesta por la </w:t>
      </w:r>
      <w:r w:rsidR="00154CF6" w:rsidRPr="002C0C73">
        <w:rPr>
          <w:rFonts w:cs="Arial"/>
          <w:sz w:val="24"/>
          <w:szCs w:val="24"/>
        </w:rPr>
        <w:t>pandemia, lo cual implica, por supuesto, conservar todas las medidas necesarias para evitar un contagio entre el personal</w:t>
      </w:r>
      <w:r w:rsidR="009E3563" w:rsidRPr="002C0C73">
        <w:rPr>
          <w:rFonts w:cs="Arial"/>
          <w:sz w:val="24"/>
          <w:szCs w:val="24"/>
        </w:rPr>
        <w:t>, tal como se precisa en el acuerdo impugnado</w:t>
      </w:r>
      <w:r w:rsidRPr="002C0C73">
        <w:rPr>
          <w:rFonts w:cs="Arial"/>
          <w:sz w:val="24"/>
          <w:szCs w:val="24"/>
        </w:rPr>
        <w:t>, ello en armonía con la labor exhaustiva encomendada al INE de revisar los requisitos para ser PPN.</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Esto supone, por ejemplo, evitar las reuniones de personal y evitar en la medida de lo posible la cercanía entre las mismas. </w:t>
      </w:r>
      <w:r w:rsidR="00AD6692" w:rsidRPr="002C0C73">
        <w:rPr>
          <w:rFonts w:cs="Arial"/>
          <w:sz w:val="24"/>
          <w:szCs w:val="24"/>
        </w:rPr>
        <w:t xml:space="preserve">Es decir, </w:t>
      </w:r>
      <w:r w:rsidRPr="002C0C73">
        <w:rPr>
          <w:rFonts w:cs="Arial"/>
          <w:sz w:val="24"/>
          <w:szCs w:val="24"/>
        </w:rPr>
        <w:t xml:space="preserve">el INE implementa las medidas pertinentes entre su personal, como puede ser trabajar con un porcentaje inferior, horarios escalonados, asistencia diferida de las personas, así como todas aquellas que le permitan resolver </w:t>
      </w:r>
      <w:r w:rsidR="00722AEB" w:rsidRPr="002C0C73">
        <w:rPr>
          <w:rFonts w:cs="Arial"/>
          <w:sz w:val="24"/>
          <w:szCs w:val="24"/>
        </w:rPr>
        <w:t xml:space="preserve">a más tardar </w:t>
      </w:r>
      <w:r w:rsidRPr="002C0C73">
        <w:rPr>
          <w:rFonts w:cs="Arial"/>
          <w:sz w:val="24"/>
          <w:szCs w:val="24"/>
        </w:rPr>
        <w:t>al treinta y uno de agosto, pero sin implicar un riesgo mayor a la salud.</w:t>
      </w:r>
    </w:p>
    <w:p w:rsidR="00154CF6" w:rsidRPr="002C0C73" w:rsidRDefault="002C0121" w:rsidP="00154CF6">
      <w:pPr>
        <w:spacing w:before="240" w:after="240" w:line="360" w:lineRule="auto"/>
        <w:jc w:val="both"/>
        <w:rPr>
          <w:rFonts w:cs="Arial"/>
          <w:sz w:val="24"/>
          <w:szCs w:val="24"/>
        </w:rPr>
      </w:pPr>
      <w:r w:rsidRPr="002C0C73">
        <w:rPr>
          <w:rFonts w:cs="Arial"/>
          <w:sz w:val="24"/>
          <w:szCs w:val="24"/>
        </w:rPr>
        <w:t>Así</w:t>
      </w:r>
      <w:r w:rsidR="00154CF6" w:rsidRPr="002C0C73">
        <w:rPr>
          <w:rFonts w:cs="Arial"/>
          <w:sz w:val="24"/>
          <w:szCs w:val="24"/>
        </w:rPr>
        <w:t xml:space="preserve">, como la reanudación de actividades </w:t>
      </w:r>
      <w:r w:rsidR="00725F96" w:rsidRPr="002C0C73">
        <w:rPr>
          <w:rFonts w:cs="Arial"/>
          <w:sz w:val="24"/>
          <w:szCs w:val="24"/>
        </w:rPr>
        <w:t xml:space="preserve">se hace </w:t>
      </w:r>
      <w:r w:rsidR="00154CF6" w:rsidRPr="002C0C73">
        <w:rPr>
          <w:rFonts w:cs="Arial"/>
          <w:sz w:val="24"/>
          <w:szCs w:val="24"/>
        </w:rPr>
        <w:t xml:space="preserve">aún con la existencia del riesgo y de la emergencia sanitaria, se entiende que todas las actividades relacionadas con la revisión exhaustiva de los requisitos para constituir un </w:t>
      </w:r>
      <w:r w:rsidR="00725F96" w:rsidRPr="002C0C73">
        <w:rPr>
          <w:rFonts w:cs="Arial"/>
          <w:sz w:val="24"/>
          <w:szCs w:val="24"/>
        </w:rPr>
        <w:t>PPN</w:t>
      </w:r>
      <w:r w:rsidR="00154CF6" w:rsidRPr="002C0C73">
        <w:rPr>
          <w:rFonts w:cs="Arial"/>
          <w:sz w:val="24"/>
          <w:szCs w:val="24"/>
        </w:rPr>
        <w:t>, sea con la salvaguarda de la salud del personal del INE.</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Con base en lo expuesto, contrario a lo sostenido </w:t>
      </w:r>
      <w:r w:rsidR="00725F96" w:rsidRPr="002C0C73">
        <w:rPr>
          <w:rFonts w:cs="Arial"/>
          <w:sz w:val="24"/>
          <w:szCs w:val="24"/>
        </w:rPr>
        <w:t>en las demandas</w:t>
      </w:r>
      <w:r w:rsidRPr="002C0C73">
        <w:rPr>
          <w:rFonts w:cs="Arial"/>
          <w:sz w:val="24"/>
          <w:szCs w:val="24"/>
        </w:rPr>
        <w:t>, sí existe una causa que justifica la nueva fecha establecida por el INE, en tanto se requiere revisar exhaustivamente el cumplimiento de requisitos, sin que se haya superado la crisis sanitaria provocada por el virus, lo cual implica que se debe hacer esa actividad sin poner en riesgo la salud del personal.</w:t>
      </w:r>
    </w:p>
    <w:p w:rsidR="002C0121" w:rsidRPr="002C0C73" w:rsidRDefault="002C0121" w:rsidP="00154CF6">
      <w:pPr>
        <w:spacing w:before="240" w:after="240" w:line="360" w:lineRule="auto"/>
        <w:jc w:val="both"/>
        <w:rPr>
          <w:rFonts w:cs="Arial"/>
          <w:sz w:val="24"/>
          <w:szCs w:val="24"/>
        </w:rPr>
      </w:pPr>
      <w:r w:rsidRPr="002C0C73">
        <w:rPr>
          <w:rFonts w:cs="Arial"/>
          <w:sz w:val="24"/>
          <w:szCs w:val="24"/>
        </w:rPr>
        <w:t>Lo anterior, porque se requiere realizar múltiples actividades para la revisión de los requisitos, para lo cual la LGPP otorga sesenta días para hacerlo, pero actualmente se esta en una situación de pandemia que impide funcionar con regularidad.</w:t>
      </w:r>
    </w:p>
    <w:p w:rsidR="00AD6692" w:rsidRPr="002C0C73" w:rsidRDefault="00AD6692" w:rsidP="00154CF6">
      <w:pPr>
        <w:spacing w:before="240" w:after="240" w:line="360" w:lineRule="auto"/>
        <w:jc w:val="both"/>
        <w:rPr>
          <w:rFonts w:cs="Arial"/>
          <w:sz w:val="24"/>
          <w:szCs w:val="24"/>
        </w:rPr>
      </w:pPr>
      <w:r w:rsidRPr="002C0C73">
        <w:rPr>
          <w:rFonts w:cs="Arial"/>
          <w:sz w:val="24"/>
          <w:szCs w:val="24"/>
        </w:rPr>
        <w:t xml:space="preserve">Además, cabe señalar que el CG del INE estableció el treinta y uno de agosto como la fecha límite para resolver sobre la procedencia del registro. </w:t>
      </w:r>
    </w:p>
    <w:p w:rsidR="00AD6692" w:rsidRPr="002C0C73" w:rsidRDefault="00AD6692" w:rsidP="00154CF6">
      <w:pPr>
        <w:spacing w:before="240" w:after="240" w:line="360" w:lineRule="auto"/>
        <w:jc w:val="both"/>
        <w:rPr>
          <w:rFonts w:cs="Arial"/>
          <w:sz w:val="24"/>
          <w:szCs w:val="24"/>
        </w:rPr>
      </w:pPr>
      <w:r w:rsidRPr="002C0C73">
        <w:rPr>
          <w:rFonts w:cs="Arial"/>
          <w:sz w:val="24"/>
          <w:szCs w:val="24"/>
        </w:rPr>
        <w:t>Al respecto, cabe señalar que el propio INE establece un plazo entre el quince de junio y el treinta y uno de agosto, para revisar exhaustivamente los requisitos de las organizaciones que pretenden ser PPN.</w:t>
      </w:r>
    </w:p>
    <w:p w:rsidR="00AD6692" w:rsidRPr="002C0C73" w:rsidRDefault="00AD6692" w:rsidP="00154CF6">
      <w:pPr>
        <w:spacing w:before="240" w:after="240" w:line="360" w:lineRule="auto"/>
        <w:jc w:val="both"/>
        <w:rPr>
          <w:rFonts w:cs="Arial"/>
          <w:sz w:val="24"/>
          <w:szCs w:val="24"/>
        </w:rPr>
      </w:pPr>
      <w:r w:rsidRPr="002C0C73">
        <w:rPr>
          <w:rFonts w:cs="Arial"/>
          <w:sz w:val="24"/>
          <w:szCs w:val="24"/>
        </w:rPr>
        <w:lastRenderedPageBreak/>
        <w:t xml:space="preserve">En ese plazo, el INE desarrollará todas las actividades conducentes y, una vez acreditado el cumplimiento de los requisitos, estará en la aptitud de emitir la resolución respectiva. </w:t>
      </w:r>
    </w:p>
    <w:p w:rsidR="00AD6692" w:rsidRPr="002C0C73" w:rsidRDefault="00AD6692" w:rsidP="00154CF6">
      <w:pPr>
        <w:spacing w:before="240" w:after="240" w:line="360" w:lineRule="auto"/>
        <w:jc w:val="both"/>
        <w:rPr>
          <w:rFonts w:cs="Arial"/>
          <w:sz w:val="24"/>
          <w:szCs w:val="24"/>
        </w:rPr>
      </w:pPr>
      <w:r w:rsidRPr="002C0C73">
        <w:rPr>
          <w:rFonts w:cs="Arial"/>
          <w:sz w:val="24"/>
          <w:szCs w:val="24"/>
        </w:rPr>
        <w:t>Ello significa, en concepto de esta Sala Superior, que el propio INE reconoce la posibilidad de resolver sobre la procedencia del registro con antelación al treinta y uno de agosto, porque esa fecha es el límite, lo cual, en modo alguno, impide al CG resolver con antelación a esa fecha.</w:t>
      </w:r>
    </w:p>
    <w:p w:rsidR="00AD6692" w:rsidRPr="002C0C73" w:rsidRDefault="00AD6692" w:rsidP="00154CF6">
      <w:pPr>
        <w:spacing w:before="240" w:after="240" w:line="360" w:lineRule="auto"/>
        <w:jc w:val="both"/>
        <w:rPr>
          <w:rFonts w:cs="Arial"/>
          <w:b/>
          <w:i/>
          <w:sz w:val="24"/>
          <w:szCs w:val="24"/>
        </w:rPr>
      </w:pPr>
      <w:r w:rsidRPr="002C0C73">
        <w:rPr>
          <w:rFonts w:cs="Arial"/>
          <w:sz w:val="24"/>
          <w:szCs w:val="24"/>
        </w:rPr>
        <w:t>Por tanto, lo aducido por las actor</w:t>
      </w:r>
      <w:r w:rsidR="00C421CF" w:rsidRPr="002C0C73">
        <w:rPr>
          <w:rFonts w:cs="Arial"/>
          <w:sz w:val="24"/>
          <w:szCs w:val="24"/>
        </w:rPr>
        <w:t>a</w:t>
      </w:r>
      <w:r w:rsidRPr="002C0C73">
        <w:rPr>
          <w:rFonts w:cs="Arial"/>
          <w:sz w:val="24"/>
          <w:szCs w:val="24"/>
        </w:rPr>
        <w:t>s resulta inoperante, porque en modo alguno el INE señaló que emitirá la resolución el día treinta y uno de agosto, sino que esa fecha la señaló como límite, lo cual le permite emitir la resolución antes, si</w:t>
      </w:r>
      <w:r w:rsidR="00C421CF" w:rsidRPr="002C0C73">
        <w:rPr>
          <w:rFonts w:cs="Arial"/>
          <w:sz w:val="24"/>
          <w:szCs w:val="24"/>
        </w:rPr>
        <w:t xml:space="preserve"> en su caso termin</w:t>
      </w:r>
      <w:r w:rsidR="00722AEB" w:rsidRPr="002C0C73">
        <w:rPr>
          <w:rFonts w:cs="Arial"/>
          <w:sz w:val="24"/>
          <w:szCs w:val="24"/>
        </w:rPr>
        <w:t>a</w:t>
      </w:r>
      <w:r w:rsidR="00C421CF" w:rsidRPr="002C0C73">
        <w:rPr>
          <w:rFonts w:cs="Arial"/>
          <w:sz w:val="24"/>
          <w:szCs w:val="24"/>
        </w:rPr>
        <w:t xml:space="preserve"> con la revisión exhaustiva de los requisitos.</w:t>
      </w:r>
      <w:r w:rsidR="00315D06" w:rsidRPr="002C0C73">
        <w:rPr>
          <w:rStyle w:val="Refdenotaalpie"/>
          <w:rFonts w:cs="Arial"/>
          <w:sz w:val="24"/>
          <w:szCs w:val="24"/>
        </w:rPr>
        <w:footnoteReference w:id="70"/>
      </w:r>
    </w:p>
    <w:p w:rsidR="00154CF6" w:rsidRPr="002C0C73" w:rsidRDefault="00154CF6" w:rsidP="00154CF6">
      <w:pPr>
        <w:spacing w:before="240" w:after="240" w:line="360" w:lineRule="auto"/>
        <w:jc w:val="both"/>
        <w:rPr>
          <w:rFonts w:cs="Arial"/>
          <w:b/>
          <w:i/>
          <w:sz w:val="24"/>
          <w:szCs w:val="24"/>
        </w:rPr>
      </w:pPr>
      <w:r w:rsidRPr="002C0C73">
        <w:rPr>
          <w:rFonts w:cs="Arial"/>
          <w:b/>
          <w:i/>
          <w:sz w:val="24"/>
          <w:szCs w:val="24"/>
        </w:rPr>
        <w:t>No se suspendieron s</w:t>
      </w:r>
      <w:r w:rsidR="00380CFA" w:rsidRPr="002C0C73">
        <w:rPr>
          <w:rFonts w:cs="Arial"/>
          <w:b/>
          <w:i/>
          <w:sz w:val="24"/>
          <w:szCs w:val="24"/>
        </w:rPr>
        <w:t>o</w:t>
      </w:r>
      <w:r w:rsidRPr="002C0C73">
        <w:rPr>
          <w:rFonts w:cs="Arial"/>
          <w:b/>
          <w:i/>
          <w:sz w:val="24"/>
          <w:szCs w:val="24"/>
        </w:rPr>
        <w:t>lo tres actividades, como afirma LRD</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Por otra parte, </w:t>
      </w:r>
      <w:r w:rsidRPr="002C0C73">
        <w:rPr>
          <w:rFonts w:cs="Arial"/>
          <w:b/>
          <w:bCs/>
          <w:sz w:val="24"/>
          <w:szCs w:val="24"/>
        </w:rPr>
        <w:t>tampoco asiste razón</w:t>
      </w:r>
      <w:r w:rsidRPr="002C0C73">
        <w:rPr>
          <w:rFonts w:cs="Arial"/>
          <w:sz w:val="24"/>
          <w:szCs w:val="24"/>
        </w:rPr>
        <w:t xml:space="preserve"> a LRD respecto a que únicamente el CG del INE ordenó suspender ciertas actividades del procedimiento de registro de partidos políticos.</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Lo anterior, porque tal como se ha precisado, las actividades suspendidas fueron enunciativas más no limitativas. Por tanto, si bien el INE determinó en su momento suspender la garantía de audiencia, la fiscalización y la resolución de procedimientos sancionadores, ello fue solamente de manera ejemplificativa.</w:t>
      </w:r>
    </w:p>
    <w:p w:rsidR="00021263" w:rsidRPr="002C0C73" w:rsidRDefault="00021263" w:rsidP="00154CF6">
      <w:pPr>
        <w:spacing w:before="240" w:after="240" w:line="360" w:lineRule="auto"/>
        <w:jc w:val="both"/>
        <w:rPr>
          <w:rFonts w:cs="Arial"/>
          <w:sz w:val="24"/>
          <w:szCs w:val="24"/>
        </w:rPr>
      </w:pPr>
      <w:r w:rsidRPr="002C0C73">
        <w:rPr>
          <w:rFonts w:cs="Arial"/>
          <w:sz w:val="24"/>
          <w:szCs w:val="24"/>
        </w:rPr>
        <w:t>Lo enunciativo de las actividades mencionadas por el INE, se advierte del propio acuerdo emitido en su momento, por el cual suspendió de plazos inherentes a la función electoral</w:t>
      </w:r>
      <w:r w:rsidRPr="002C0C73">
        <w:rPr>
          <w:rStyle w:val="Refdenotaalpie"/>
          <w:rFonts w:cs="Arial"/>
          <w:sz w:val="24"/>
          <w:szCs w:val="24"/>
        </w:rPr>
        <w:footnoteReference w:id="71"/>
      </w:r>
      <w:r w:rsidR="00722AEB" w:rsidRPr="002C0C73">
        <w:rPr>
          <w:rFonts w:cs="Arial"/>
          <w:sz w:val="24"/>
          <w:szCs w:val="24"/>
        </w:rPr>
        <w:t>.</w:t>
      </w:r>
      <w:r w:rsidRPr="002C0C73">
        <w:rPr>
          <w:rFonts w:cs="Arial"/>
          <w:sz w:val="24"/>
          <w:szCs w:val="24"/>
        </w:rPr>
        <w:t xml:space="preserve"> </w:t>
      </w:r>
    </w:p>
    <w:p w:rsidR="00021263" w:rsidRPr="002C0C73" w:rsidRDefault="00021263" w:rsidP="00154CF6">
      <w:pPr>
        <w:spacing w:before="240" w:after="240" w:line="360" w:lineRule="auto"/>
        <w:jc w:val="both"/>
        <w:rPr>
          <w:rFonts w:cs="Arial"/>
          <w:sz w:val="24"/>
          <w:szCs w:val="24"/>
        </w:rPr>
      </w:pPr>
      <w:r w:rsidRPr="002C0C73">
        <w:rPr>
          <w:rFonts w:cs="Arial"/>
          <w:sz w:val="24"/>
          <w:szCs w:val="24"/>
        </w:rPr>
        <w:t xml:space="preserve">Al respecto, cabe señalar que la finalidad de ese acuerdo era garantizar la salud del personal del INE y evitar en la mayor medida posible la propagación del virus. </w:t>
      </w:r>
    </w:p>
    <w:p w:rsidR="00021263" w:rsidRPr="002C0C73" w:rsidRDefault="00021263" w:rsidP="00154CF6">
      <w:pPr>
        <w:spacing w:before="240" w:after="240" w:line="360" w:lineRule="auto"/>
        <w:jc w:val="both"/>
        <w:rPr>
          <w:rFonts w:cs="Arial"/>
          <w:sz w:val="24"/>
          <w:szCs w:val="24"/>
        </w:rPr>
      </w:pPr>
      <w:r w:rsidRPr="002C0C73">
        <w:rPr>
          <w:rFonts w:cs="Arial"/>
          <w:sz w:val="24"/>
          <w:szCs w:val="24"/>
        </w:rPr>
        <w:lastRenderedPageBreak/>
        <w:t>Ahora, la función electoral del INE abarca una serie de facultades y atribuciones previstas en la Constitución y en las diversas leyes de la materia. Por eso, decidió señalar de manera enunciativa algunas de sus tareas que se suspenderían, con motivo de la situación extraordinaria derivada de la contingencia sanitaria.</w:t>
      </w:r>
    </w:p>
    <w:p w:rsidR="00D85E6A" w:rsidRPr="002C0C73" w:rsidRDefault="00D85E6A" w:rsidP="00154CF6">
      <w:pPr>
        <w:spacing w:before="240" w:after="240" w:line="360" w:lineRule="auto"/>
        <w:jc w:val="both"/>
        <w:rPr>
          <w:rFonts w:cs="Arial"/>
          <w:sz w:val="24"/>
          <w:szCs w:val="24"/>
        </w:rPr>
      </w:pPr>
      <w:r w:rsidRPr="002C0C73">
        <w:rPr>
          <w:rFonts w:cs="Arial"/>
          <w:sz w:val="24"/>
          <w:szCs w:val="24"/>
        </w:rPr>
        <w:t>No obstante, se debe tener presente el contexto en el cual fue emitido ese acuerdo y la finalidad perseguida. Así, la determinación se dictó ante la existencia de la emergencia sanitaria y su finalidad era evitar el contagio del virus entre el personal, motivo por el cual la función electoral se debía suspender y enunció, más no limitó, ciertas actividades.</w:t>
      </w:r>
    </w:p>
    <w:p w:rsidR="00021263" w:rsidRPr="002C0C73" w:rsidRDefault="00D85E6A" w:rsidP="00154CF6">
      <w:pPr>
        <w:spacing w:before="240" w:after="240" w:line="360" w:lineRule="auto"/>
        <w:jc w:val="both"/>
        <w:rPr>
          <w:rFonts w:cs="Arial"/>
          <w:sz w:val="24"/>
          <w:szCs w:val="24"/>
        </w:rPr>
      </w:pPr>
      <w:r w:rsidRPr="002C0C73">
        <w:rPr>
          <w:rFonts w:cs="Arial"/>
          <w:sz w:val="24"/>
          <w:szCs w:val="24"/>
        </w:rPr>
        <w:t>Efectivamente, el propio INE señala que su función electoral implica el contacto directo con personas, su movilidad, congregación en centros de trabajo, realización de actividades de campo, entre otras, que implican riesgos de infección.</w:t>
      </w:r>
      <w:r w:rsidRPr="002C0C73">
        <w:rPr>
          <w:rStyle w:val="Refdenotaalpie"/>
          <w:rFonts w:cs="Arial"/>
          <w:sz w:val="24"/>
          <w:szCs w:val="24"/>
        </w:rPr>
        <w:footnoteReference w:id="72"/>
      </w:r>
    </w:p>
    <w:p w:rsidR="00D85E6A" w:rsidRPr="002C0C73" w:rsidRDefault="00D85E6A" w:rsidP="00154CF6">
      <w:pPr>
        <w:spacing w:before="240" w:after="240" w:line="360" w:lineRule="auto"/>
        <w:jc w:val="both"/>
        <w:rPr>
          <w:rFonts w:cs="Arial"/>
          <w:sz w:val="24"/>
          <w:szCs w:val="24"/>
        </w:rPr>
      </w:pPr>
      <w:r w:rsidRPr="002C0C73">
        <w:rPr>
          <w:rFonts w:cs="Arial"/>
          <w:sz w:val="24"/>
          <w:szCs w:val="24"/>
        </w:rPr>
        <w:t>Es más, el propio INE señaló en ese acuerdo lo siguiente:</w:t>
      </w:r>
    </w:p>
    <w:p w:rsidR="00D85E6A" w:rsidRPr="002C0C73" w:rsidRDefault="00D85E6A" w:rsidP="00D85E6A">
      <w:pPr>
        <w:ind w:left="567" w:right="567"/>
        <w:jc w:val="both"/>
        <w:rPr>
          <w:rFonts w:cs="Arial"/>
        </w:rPr>
      </w:pPr>
      <w:r w:rsidRPr="002C0C73">
        <w:rPr>
          <w:rFonts w:cs="Arial"/>
        </w:rPr>
        <w:t xml:space="preserve">En ese contexto, tomando en consideración que nos encontramos en un momento crucial </w:t>
      </w:r>
      <w:r w:rsidRPr="002C0C73">
        <w:rPr>
          <w:rFonts w:cs="Arial"/>
          <w:b/>
          <w:bCs/>
        </w:rPr>
        <w:t>para mitigar la propagación del coronavirus</w:t>
      </w:r>
      <w:r w:rsidRPr="002C0C73">
        <w:rPr>
          <w:rFonts w:cs="Arial"/>
        </w:rPr>
        <w:t xml:space="preserve"> COVID- 19 y privilegiando el derecho humano a la salud, este órgano máximo de dirección estima necesario, a fin de evitar el incumplimiento de plazos y términos cuyo vencimiento está próximo, y así brindar seguridad jurídica en el actuar de esta autoridad, sin dejar de cumplir con la función que se tiene constitucionalmente encomendada, pero </w:t>
      </w:r>
      <w:r w:rsidRPr="002C0C73">
        <w:rPr>
          <w:rFonts w:cs="Arial"/>
          <w:b/>
          <w:bCs/>
        </w:rPr>
        <w:t>sin poner en riesgo la salud de las personas, decretar como medida extraordinaria</w:t>
      </w:r>
      <w:r w:rsidRPr="002C0C73">
        <w:rPr>
          <w:rFonts w:cs="Arial"/>
        </w:rPr>
        <w:t xml:space="preserve"> </w:t>
      </w:r>
      <w:r w:rsidRPr="002C0C73">
        <w:rPr>
          <w:rFonts w:cs="Arial"/>
          <w:b/>
          <w:bCs/>
        </w:rPr>
        <w:t>la suspensión de plazos y términos relacionados con las actividades vinculadas a la función</w:t>
      </w:r>
      <w:r w:rsidRPr="002C0C73">
        <w:rPr>
          <w:rFonts w:cs="Arial"/>
          <w:b/>
          <w:bCs/>
        </w:rPr>
        <w:br/>
        <w:t>electoral,</w:t>
      </w:r>
      <w:r w:rsidRPr="002C0C73">
        <w:rPr>
          <w:rFonts w:cs="Arial"/>
        </w:rPr>
        <w:t xml:space="preserve"> con la realización de trámites y prestación de servicios, </w:t>
      </w:r>
      <w:r w:rsidRPr="002C0C73">
        <w:rPr>
          <w:rFonts w:cs="Arial"/>
          <w:b/>
          <w:bCs/>
        </w:rPr>
        <w:t>así como con toda aquella que requiera la interacción de personas,</w:t>
      </w:r>
      <w:r w:rsidRPr="002C0C73">
        <w:rPr>
          <w:rFonts w:cs="Arial"/>
        </w:rPr>
        <w:t xml:space="preserve"> tanto al interior como al exterior del Instituto, </w:t>
      </w:r>
      <w:r w:rsidRPr="002C0C73">
        <w:rPr>
          <w:rFonts w:cs="Arial"/>
          <w:b/>
          <w:bCs/>
        </w:rPr>
        <w:t>como las que se señalan, de manera enunciativa mas no limitativa</w:t>
      </w:r>
      <w:r w:rsidRPr="002C0C73">
        <w:rPr>
          <w:rFonts w:cs="Arial"/>
        </w:rPr>
        <w:t>, en el anexo único de este Acuerdo, hasta en tanto continúe la contingencia sanitaria derivada de la pandemia.</w:t>
      </w:r>
    </w:p>
    <w:p w:rsidR="00D85E6A" w:rsidRPr="002C0C73" w:rsidRDefault="00D85E6A" w:rsidP="00154CF6">
      <w:pPr>
        <w:spacing w:before="240" w:after="240" w:line="360" w:lineRule="auto"/>
        <w:jc w:val="both"/>
        <w:rPr>
          <w:rFonts w:cs="Arial"/>
          <w:sz w:val="24"/>
          <w:szCs w:val="24"/>
        </w:rPr>
      </w:pPr>
      <w:r w:rsidRPr="002C0C73">
        <w:rPr>
          <w:rFonts w:cs="Arial"/>
          <w:sz w:val="24"/>
          <w:szCs w:val="24"/>
        </w:rPr>
        <w:t>De la transcripción se advierte que, la finalidad del acuerdo era suspender la función electoral, porque necesariamente implica la interacción de las personas, lo cual, en caso de no suspender, podría provocar aumentar el riesgo de contagio en el personal.</w:t>
      </w:r>
    </w:p>
    <w:p w:rsidR="00D85E6A" w:rsidRPr="002C0C73" w:rsidRDefault="00D85E6A" w:rsidP="00154CF6">
      <w:pPr>
        <w:spacing w:before="240" w:after="240" w:line="360" w:lineRule="auto"/>
        <w:jc w:val="both"/>
        <w:rPr>
          <w:rFonts w:cs="Arial"/>
          <w:sz w:val="24"/>
          <w:szCs w:val="24"/>
        </w:rPr>
      </w:pPr>
      <w:r w:rsidRPr="002C0C73">
        <w:rPr>
          <w:rFonts w:cs="Arial"/>
          <w:sz w:val="24"/>
          <w:szCs w:val="24"/>
        </w:rPr>
        <w:t>Por ello, el INE señaló expresamente que se</w:t>
      </w:r>
      <w:r w:rsidR="00D23A40" w:rsidRPr="002C0C73">
        <w:rPr>
          <w:rFonts w:cs="Arial"/>
          <w:sz w:val="24"/>
          <w:szCs w:val="24"/>
        </w:rPr>
        <w:t xml:space="preserve"> habrían de</w:t>
      </w:r>
      <w:r w:rsidRPr="002C0C73">
        <w:rPr>
          <w:rFonts w:cs="Arial"/>
          <w:sz w:val="24"/>
          <w:szCs w:val="24"/>
        </w:rPr>
        <w:t xml:space="preserve"> suspender todas las actividades que requieran la interacción de las personas, para lo cual enunció </w:t>
      </w:r>
      <w:r w:rsidRPr="002C0C73">
        <w:rPr>
          <w:rFonts w:cs="Arial"/>
          <w:sz w:val="24"/>
          <w:szCs w:val="24"/>
        </w:rPr>
        <w:lastRenderedPageBreak/>
        <w:t>sólo algunas de las múltiples tareas y atribuciones constitucionales y legales que tienen encomendado.</w:t>
      </w:r>
    </w:p>
    <w:p w:rsidR="00D85E6A" w:rsidRPr="002C0C73" w:rsidRDefault="00D85E6A" w:rsidP="00154CF6">
      <w:pPr>
        <w:spacing w:before="240" w:after="240" w:line="360" w:lineRule="auto"/>
        <w:jc w:val="both"/>
        <w:rPr>
          <w:rFonts w:cs="Arial"/>
          <w:sz w:val="24"/>
          <w:szCs w:val="24"/>
        </w:rPr>
      </w:pPr>
      <w:r w:rsidRPr="002C0C73">
        <w:rPr>
          <w:rFonts w:cs="Arial"/>
          <w:sz w:val="24"/>
          <w:szCs w:val="24"/>
        </w:rPr>
        <w:t xml:space="preserve">De esta manera, </w:t>
      </w:r>
      <w:r w:rsidR="00D02CC8" w:rsidRPr="002C0C73">
        <w:rPr>
          <w:rFonts w:cs="Arial"/>
          <w:sz w:val="24"/>
          <w:szCs w:val="24"/>
        </w:rPr>
        <w:t>contrario a lo aducido, el INE en modo alguno señaló de manera limitada qué funciones se suspendían</w:t>
      </w:r>
      <w:r w:rsidR="00D23A40" w:rsidRPr="002C0C73">
        <w:rPr>
          <w:rFonts w:cs="Arial"/>
          <w:sz w:val="24"/>
          <w:szCs w:val="24"/>
        </w:rPr>
        <w:t>.</w:t>
      </w:r>
      <w:r w:rsidR="00D02CC8" w:rsidRPr="002C0C73">
        <w:rPr>
          <w:rFonts w:cs="Arial"/>
          <w:sz w:val="24"/>
          <w:szCs w:val="24"/>
        </w:rPr>
        <w:t xml:space="preserve"> Antes bien, precisó</w:t>
      </w:r>
      <w:r w:rsidR="00D23A40" w:rsidRPr="002C0C73">
        <w:rPr>
          <w:rFonts w:cs="Arial"/>
          <w:sz w:val="24"/>
          <w:szCs w:val="24"/>
        </w:rPr>
        <w:t>, en general,</w:t>
      </w:r>
      <w:r w:rsidR="00D02CC8" w:rsidRPr="002C0C73">
        <w:rPr>
          <w:rFonts w:cs="Arial"/>
          <w:sz w:val="24"/>
          <w:szCs w:val="24"/>
        </w:rPr>
        <w:t xml:space="preserve"> que todas las actividades que involucrarán la interacción de personas quedaban suspendidas, sin que la actora pruebe</w:t>
      </w:r>
      <w:r w:rsidR="004A2544" w:rsidRPr="002C0C73">
        <w:rPr>
          <w:rFonts w:cs="Arial"/>
          <w:sz w:val="24"/>
          <w:szCs w:val="24"/>
        </w:rPr>
        <w:t>,</w:t>
      </w:r>
      <w:r w:rsidR="00D02CC8" w:rsidRPr="002C0C73">
        <w:rPr>
          <w:rFonts w:cs="Arial"/>
          <w:sz w:val="24"/>
          <w:szCs w:val="24"/>
        </w:rPr>
        <w:t xml:space="preserve"> </w:t>
      </w:r>
      <w:r w:rsidR="00ED0F8F" w:rsidRPr="002C0C73">
        <w:rPr>
          <w:rFonts w:cs="Arial"/>
          <w:sz w:val="24"/>
          <w:szCs w:val="24"/>
        </w:rPr>
        <w:t>de alguna manera</w:t>
      </w:r>
      <w:r w:rsidR="004A2544" w:rsidRPr="002C0C73">
        <w:rPr>
          <w:rFonts w:cs="Arial"/>
          <w:sz w:val="24"/>
          <w:szCs w:val="24"/>
        </w:rPr>
        <w:t>,</w:t>
      </w:r>
      <w:r w:rsidR="00ED0F8F" w:rsidRPr="002C0C73">
        <w:rPr>
          <w:rFonts w:cs="Arial"/>
          <w:sz w:val="24"/>
          <w:szCs w:val="24"/>
        </w:rPr>
        <w:t xml:space="preserve"> </w:t>
      </w:r>
      <w:r w:rsidR="00D02CC8" w:rsidRPr="002C0C73">
        <w:rPr>
          <w:rFonts w:cs="Arial"/>
          <w:sz w:val="24"/>
          <w:szCs w:val="24"/>
        </w:rPr>
        <w:t xml:space="preserve">que las tareas de revisión de requisitos puedan ser realizadas sin la interacción entre el personal del INE. </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Por eso, ante lo enunciativo de cuáles fueron las actividades suspendidas, el INE estuvo en todo momento en la aptitud de poder decidir qué otras tareas también requerían de suspensión.</w:t>
      </w:r>
    </w:p>
    <w:p w:rsidR="00154CF6" w:rsidRPr="002C0C73" w:rsidRDefault="002C0121" w:rsidP="00154CF6">
      <w:pPr>
        <w:spacing w:before="240" w:after="240" w:line="360" w:lineRule="auto"/>
        <w:jc w:val="both"/>
        <w:rPr>
          <w:rFonts w:cs="Arial"/>
          <w:b/>
          <w:i/>
          <w:sz w:val="24"/>
          <w:szCs w:val="24"/>
        </w:rPr>
      </w:pPr>
      <w:r w:rsidRPr="002C0C73">
        <w:rPr>
          <w:rFonts w:cs="Arial"/>
          <w:b/>
          <w:i/>
          <w:sz w:val="24"/>
          <w:szCs w:val="24"/>
        </w:rPr>
        <w:t>No ha habido negligencia del INE</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En otro contexto, </w:t>
      </w:r>
      <w:r w:rsidR="002C0121" w:rsidRPr="002C0C73">
        <w:rPr>
          <w:rFonts w:cs="Arial"/>
          <w:sz w:val="24"/>
          <w:szCs w:val="24"/>
        </w:rPr>
        <w:t xml:space="preserve">contrario a lo aducido por LRD, el </w:t>
      </w:r>
      <w:r w:rsidRPr="002C0C73">
        <w:rPr>
          <w:rFonts w:cs="Arial"/>
          <w:sz w:val="24"/>
          <w:szCs w:val="24"/>
        </w:rPr>
        <w:t>INE</w:t>
      </w:r>
      <w:r w:rsidR="002C0121" w:rsidRPr="002C0C73">
        <w:rPr>
          <w:rFonts w:cs="Arial"/>
          <w:sz w:val="24"/>
          <w:szCs w:val="24"/>
        </w:rPr>
        <w:t xml:space="preserve"> no ha actuado negligentemente, porque en la medida de lo posible</w:t>
      </w:r>
      <w:r w:rsidR="00540868" w:rsidRPr="002C0C73">
        <w:rPr>
          <w:rFonts w:cs="Arial"/>
          <w:sz w:val="24"/>
          <w:szCs w:val="24"/>
        </w:rPr>
        <w:t>, y ante la situación de la emergencia sanitaria, ha tratado de continuar con la revisión de los requisitos</w:t>
      </w:r>
      <w:r w:rsidR="008F0D88"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Por ejemplo, en cuanto a la revisión de los documentos básicos, </w:t>
      </w:r>
      <w:r w:rsidR="00540868" w:rsidRPr="002C0C73">
        <w:rPr>
          <w:rFonts w:cs="Arial"/>
          <w:sz w:val="24"/>
          <w:szCs w:val="24"/>
        </w:rPr>
        <w:t xml:space="preserve">el propio INE señala en el acuerdo impugnado que </w:t>
      </w:r>
      <w:r w:rsidRPr="002C0C73">
        <w:rPr>
          <w:rFonts w:cs="Arial"/>
          <w:sz w:val="24"/>
          <w:szCs w:val="24"/>
        </w:rPr>
        <w:t>esa actividad está en un cincuenta por ciento de avance. A su vez, está en un setenta y cinco por ciento la revisión de las actas de las asambleas estatales y distritales.</w:t>
      </w:r>
    </w:p>
    <w:p w:rsidR="00154CF6" w:rsidRPr="002C0C73" w:rsidRDefault="00154CF6" w:rsidP="00B071F1">
      <w:pPr>
        <w:spacing w:before="240" w:after="240" w:line="360" w:lineRule="auto"/>
        <w:jc w:val="both"/>
        <w:rPr>
          <w:rFonts w:cs="Arial"/>
          <w:sz w:val="24"/>
          <w:szCs w:val="24"/>
        </w:rPr>
      </w:pPr>
      <w:r w:rsidRPr="002C0C73">
        <w:rPr>
          <w:rFonts w:cs="Arial"/>
          <w:sz w:val="24"/>
          <w:szCs w:val="24"/>
        </w:rPr>
        <w:t xml:space="preserve">De igual forma, la DEPPP ha solicitado, a fin de verificar si han participado otras organizaciones gremiales con un objeto diferente a un partido político, </w:t>
      </w:r>
      <w:r w:rsidR="008F0D88" w:rsidRPr="002C0C73">
        <w:rPr>
          <w:rFonts w:cs="Arial"/>
          <w:sz w:val="24"/>
          <w:szCs w:val="24"/>
        </w:rPr>
        <w:t xml:space="preserve">diversa información a la </w:t>
      </w:r>
      <w:r w:rsidRPr="002C0C73">
        <w:rPr>
          <w:rFonts w:cs="Arial"/>
          <w:sz w:val="24"/>
          <w:szCs w:val="24"/>
        </w:rPr>
        <w:t>Secretaría de Gobernació</w:t>
      </w:r>
      <w:r w:rsidR="00725F96" w:rsidRPr="002C0C73">
        <w:rPr>
          <w:rFonts w:cs="Arial"/>
          <w:sz w:val="24"/>
          <w:szCs w:val="24"/>
        </w:rPr>
        <w:t>n</w:t>
      </w:r>
      <w:r w:rsidR="008F0D88" w:rsidRPr="002C0C73">
        <w:rPr>
          <w:rFonts w:cs="Arial"/>
          <w:sz w:val="24"/>
          <w:szCs w:val="24"/>
        </w:rPr>
        <w:t>, a</w:t>
      </w:r>
      <w:r w:rsidR="00540868" w:rsidRPr="002C0C73">
        <w:rPr>
          <w:rFonts w:cs="Arial"/>
          <w:sz w:val="24"/>
          <w:szCs w:val="24"/>
        </w:rPr>
        <w:t xml:space="preserve"> </w:t>
      </w:r>
      <w:r w:rsidRPr="002C0C73">
        <w:rPr>
          <w:rFonts w:cs="Arial"/>
          <w:sz w:val="24"/>
          <w:szCs w:val="24"/>
        </w:rPr>
        <w:t>la Secretaria de Trabajo y Previsión Social,</w:t>
      </w:r>
      <w:r w:rsidR="008F0D88" w:rsidRPr="002C0C73">
        <w:rPr>
          <w:rFonts w:cs="Arial"/>
          <w:sz w:val="24"/>
          <w:szCs w:val="24"/>
        </w:rPr>
        <w:t xml:space="preserve"> y</w:t>
      </w:r>
      <w:r w:rsidRPr="002C0C73">
        <w:rPr>
          <w:rFonts w:cs="Arial"/>
          <w:sz w:val="24"/>
          <w:szCs w:val="24"/>
        </w:rPr>
        <w:t xml:space="preserve"> </w:t>
      </w:r>
      <w:r w:rsidR="008F0D88" w:rsidRPr="002C0C73">
        <w:rPr>
          <w:rFonts w:cs="Arial"/>
          <w:sz w:val="24"/>
          <w:szCs w:val="24"/>
        </w:rPr>
        <w:t>a</w:t>
      </w:r>
      <w:r w:rsidRPr="002C0C73">
        <w:rPr>
          <w:rFonts w:cs="Arial"/>
          <w:sz w:val="24"/>
          <w:szCs w:val="24"/>
        </w:rPr>
        <w:t>l Sindicato Nacional de Trabajadores de la Educación</w:t>
      </w:r>
      <w:r w:rsidR="008F0D88"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Por otra parte, la UTCE ha realizado diversas diligencias relacionadas con la sustanciación de los procedimientos sancionadores. Y, además, la UTF determinó realizar primero la fiscalización de las siete agrupaciones que presentaron su solicitud de registro como partido político, a fin de favorecerlas de manera prioritaria respecto a la procedencia o no de su registro.</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Como se observa, contrario a lo manifestado por LRD, el INE en modo alguno ha incurrido en una conducta negligente respecto a la continuación de los procedimientos de constitución de partidos políticos.</w:t>
      </w:r>
    </w:p>
    <w:p w:rsidR="00540868" w:rsidRPr="002C0C73" w:rsidRDefault="00540868" w:rsidP="00154CF6">
      <w:pPr>
        <w:spacing w:before="240" w:after="240" w:line="360" w:lineRule="auto"/>
        <w:jc w:val="both"/>
        <w:rPr>
          <w:rFonts w:cs="Arial"/>
          <w:sz w:val="24"/>
          <w:szCs w:val="24"/>
        </w:rPr>
      </w:pPr>
      <w:r w:rsidRPr="002C0C73">
        <w:rPr>
          <w:rFonts w:cs="Arial"/>
          <w:sz w:val="24"/>
          <w:szCs w:val="24"/>
        </w:rPr>
        <w:lastRenderedPageBreak/>
        <w:t>Sin embargo, a pesar del esfuerzo del INE, lo cierto es que aún están pendientes muchas actividades en la revisión de los requisitos, como son continuar con el examen de los documentos básicos, concluir la revisión de las actas de asambleas, verificar las afiliaciones y las duplicidades, resolver el tema de la fiscalización y los procedimientos sancionadores.</w:t>
      </w:r>
    </w:p>
    <w:p w:rsidR="00540868" w:rsidRPr="002C0C73" w:rsidRDefault="00540868" w:rsidP="00154CF6">
      <w:pPr>
        <w:spacing w:before="240" w:after="240" w:line="360" w:lineRule="auto"/>
        <w:jc w:val="both"/>
        <w:rPr>
          <w:rFonts w:cs="Arial"/>
          <w:sz w:val="24"/>
          <w:szCs w:val="24"/>
        </w:rPr>
      </w:pPr>
      <w:r w:rsidRPr="002C0C73">
        <w:rPr>
          <w:rFonts w:cs="Arial"/>
          <w:sz w:val="24"/>
          <w:szCs w:val="24"/>
        </w:rPr>
        <w:t>Requisitos que requieren de una función plena del INE, pero que, ante el actual contexto de la emergencia sanitaria, aún es necesario mitigar el menor número de contagios, de ahí que se explique la necesidad de resolver hasta antes del treinta y uno de agosto.</w:t>
      </w:r>
    </w:p>
    <w:p w:rsidR="00154CF6" w:rsidRPr="002C0C73" w:rsidRDefault="00154CF6" w:rsidP="00154CF6">
      <w:pPr>
        <w:spacing w:before="240" w:after="240" w:line="360" w:lineRule="auto"/>
        <w:jc w:val="both"/>
        <w:rPr>
          <w:rFonts w:cs="Arial"/>
          <w:b/>
          <w:i/>
          <w:sz w:val="24"/>
          <w:szCs w:val="24"/>
        </w:rPr>
      </w:pPr>
      <w:r w:rsidRPr="002C0C73">
        <w:rPr>
          <w:rFonts w:cs="Arial"/>
          <w:b/>
          <w:i/>
          <w:sz w:val="24"/>
          <w:szCs w:val="24"/>
        </w:rPr>
        <w:t>Con la nueva fecha no se vulnera la organización de las asociaciones que solicitaron su registro</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En otro contexto, </w:t>
      </w:r>
      <w:r w:rsidRPr="002C0C73">
        <w:rPr>
          <w:rFonts w:cs="Arial"/>
          <w:b/>
          <w:sz w:val="24"/>
          <w:szCs w:val="24"/>
        </w:rPr>
        <w:t xml:space="preserve">es </w:t>
      </w:r>
      <w:r w:rsidR="00540868" w:rsidRPr="002C0C73">
        <w:rPr>
          <w:rFonts w:cs="Arial"/>
          <w:b/>
          <w:sz w:val="24"/>
          <w:szCs w:val="24"/>
        </w:rPr>
        <w:t xml:space="preserve">inoperante </w:t>
      </w:r>
      <w:r w:rsidRPr="002C0C73">
        <w:rPr>
          <w:rFonts w:cs="Arial"/>
          <w:sz w:val="24"/>
          <w:szCs w:val="24"/>
        </w:rPr>
        <w:t xml:space="preserve">que al establecer una nueva fecha se pueda vulnerar la organización interna de las asociaciones que solicitaron su registro como </w:t>
      </w:r>
      <w:r w:rsidR="00725F96" w:rsidRPr="002C0C73">
        <w:rPr>
          <w:rFonts w:cs="Arial"/>
          <w:sz w:val="24"/>
          <w:szCs w:val="24"/>
        </w:rPr>
        <w:t>PPN</w:t>
      </w:r>
      <w:r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Ello es así, porque esos actos dependen de diversas situaciones que, en este momento, no se tienen por acreditadas.</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En efecto, como se ha explicado, el registro es el acto constitutivo de la organización como </w:t>
      </w:r>
      <w:r w:rsidR="008F0D88" w:rsidRPr="002C0C73">
        <w:rPr>
          <w:rFonts w:cs="Arial"/>
          <w:sz w:val="24"/>
          <w:szCs w:val="24"/>
        </w:rPr>
        <w:t>PPN</w:t>
      </w:r>
      <w:r w:rsidRPr="002C0C73">
        <w:rPr>
          <w:rFonts w:cs="Arial"/>
          <w:sz w:val="24"/>
          <w:szCs w:val="24"/>
        </w:rPr>
        <w:t>. S</w:t>
      </w:r>
      <w:r w:rsidR="00380CFA" w:rsidRPr="002C0C73">
        <w:rPr>
          <w:rFonts w:cs="Arial"/>
          <w:sz w:val="24"/>
          <w:szCs w:val="24"/>
        </w:rPr>
        <w:t>o</w:t>
      </w:r>
      <w:r w:rsidRPr="002C0C73">
        <w:rPr>
          <w:rFonts w:cs="Arial"/>
          <w:sz w:val="24"/>
          <w:szCs w:val="24"/>
        </w:rPr>
        <w:t xml:space="preserve">lo cuando se dicta de manera favorable, se adquieren los derechos, prerrogativas y facultades </w:t>
      </w:r>
      <w:r w:rsidR="00A637A9" w:rsidRPr="002C0C73">
        <w:rPr>
          <w:rFonts w:cs="Arial"/>
          <w:sz w:val="24"/>
          <w:szCs w:val="24"/>
        </w:rPr>
        <w:t>respectivos</w:t>
      </w:r>
      <w:r w:rsidRPr="002C0C73">
        <w:rPr>
          <w:rFonts w:cs="Arial"/>
          <w:sz w:val="24"/>
          <w:szCs w:val="24"/>
        </w:rPr>
        <w:t>.</w:t>
      </w:r>
    </w:p>
    <w:p w:rsidR="00154CF6" w:rsidRPr="002C0C73" w:rsidRDefault="00154CF6">
      <w:pPr>
        <w:spacing w:before="240" w:after="240" w:line="360" w:lineRule="auto"/>
        <w:jc w:val="both"/>
        <w:rPr>
          <w:rFonts w:cs="Arial"/>
          <w:sz w:val="24"/>
          <w:szCs w:val="24"/>
        </w:rPr>
      </w:pPr>
      <w:r w:rsidRPr="002C0C73">
        <w:rPr>
          <w:rFonts w:cs="Arial"/>
          <w:sz w:val="24"/>
          <w:szCs w:val="24"/>
        </w:rPr>
        <w:t xml:space="preserve">Así, cuando el registro es favorable, entonces los </w:t>
      </w:r>
      <w:r w:rsidR="00725F96" w:rsidRPr="002C0C73">
        <w:rPr>
          <w:rFonts w:cs="Arial"/>
          <w:sz w:val="24"/>
          <w:szCs w:val="24"/>
        </w:rPr>
        <w:t xml:space="preserve">PPN </w:t>
      </w:r>
      <w:r w:rsidRPr="002C0C73">
        <w:rPr>
          <w:rFonts w:cs="Arial"/>
          <w:sz w:val="24"/>
          <w:szCs w:val="24"/>
        </w:rPr>
        <w:t>están en la posibilidad de realizar las actuaciones correspondientes a su organización interna</w:t>
      </w:r>
      <w:r w:rsidR="00A637A9" w:rsidRPr="002C0C73">
        <w:rPr>
          <w:rFonts w:cs="Arial"/>
          <w:sz w:val="24"/>
          <w:szCs w:val="24"/>
        </w:rPr>
        <w:t>. P</w:t>
      </w:r>
      <w:r w:rsidRPr="002C0C73">
        <w:rPr>
          <w:rFonts w:cs="Arial"/>
          <w:sz w:val="24"/>
          <w:szCs w:val="24"/>
        </w:rPr>
        <w:t xml:space="preserve">ero, para decidir sobre el registro, el INE debe verificar el cumplimiento de todos los requisitos establecidos en la normativa. </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En ese sentido, actualmente las organizaciones de ciudadanos, a pesar de argumentar </w:t>
      </w:r>
      <w:r w:rsidR="0039046A" w:rsidRPr="002C0C73">
        <w:rPr>
          <w:rFonts w:cs="Arial"/>
          <w:sz w:val="24"/>
          <w:szCs w:val="24"/>
        </w:rPr>
        <w:t xml:space="preserve">que </w:t>
      </w:r>
      <w:r w:rsidRPr="002C0C73">
        <w:rPr>
          <w:rFonts w:cs="Arial"/>
          <w:sz w:val="24"/>
          <w:szCs w:val="24"/>
        </w:rPr>
        <w:t>ha</w:t>
      </w:r>
      <w:r w:rsidR="0039046A" w:rsidRPr="002C0C73">
        <w:rPr>
          <w:rFonts w:cs="Arial"/>
          <w:sz w:val="24"/>
          <w:szCs w:val="24"/>
        </w:rPr>
        <w:t>n</w:t>
      </w:r>
      <w:r w:rsidRPr="002C0C73">
        <w:rPr>
          <w:rFonts w:cs="Arial"/>
          <w:sz w:val="24"/>
          <w:szCs w:val="24"/>
        </w:rPr>
        <w:t xml:space="preserve"> cumplido los requisitos para ser partidos políticos, lo cierto es que aún está pendiente esa determinación.</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Así, en este momento, esas supuestas violaciones para elegir dirigencias partidistas, designar representantes y las actividades ordinarias, aún no les son propias, porque dependen del dictado de una resolución favorable.</w:t>
      </w:r>
    </w:p>
    <w:p w:rsidR="00154CF6" w:rsidRPr="002C0C73" w:rsidRDefault="00154CF6" w:rsidP="00A637A9">
      <w:pPr>
        <w:spacing w:before="240" w:after="240" w:line="360" w:lineRule="auto"/>
        <w:jc w:val="both"/>
        <w:rPr>
          <w:rFonts w:cs="Arial"/>
          <w:sz w:val="24"/>
          <w:szCs w:val="24"/>
        </w:rPr>
      </w:pPr>
      <w:r w:rsidRPr="002C0C73">
        <w:rPr>
          <w:rFonts w:cs="Arial"/>
          <w:sz w:val="24"/>
          <w:szCs w:val="24"/>
        </w:rPr>
        <w:lastRenderedPageBreak/>
        <w:t>Y, de ser el caso, cuando obtengan el registro estarán en la aptitud de realizar esas actividades</w:t>
      </w:r>
      <w:r w:rsidR="00A637A9" w:rsidRPr="002C0C73">
        <w:rPr>
          <w:rFonts w:cs="Arial"/>
          <w:sz w:val="24"/>
          <w:szCs w:val="24"/>
        </w:rPr>
        <w:t>. S</w:t>
      </w:r>
      <w:r w:rsidRPr="002C0C73">
        <w:rPr>
          <w:rFonts w:cs="Arial"/>
          <w:sz w:val="24"/>
          <w:szCs w:val="24"/>
        </w:rPr>
        <w:t>uponer que, en este momento se afecta esos derechos, sería reconocer una situación jurídica que no les corresponde propiamente, en tanto aún no obtienen el registro respectivo.</w:t>
      </w:r>
    </w:p>
    <w:p w:rsidR="00032B14" w:rsidRPr="002C0C73" w:rsidRDefault="00032B14" w:rsidP="00A637A9">
      <w:pPr>
        <w:spacing w:before="240" w:after="240" w:line="360" w:lineRule="auto"/>
        <w:jc w:val="both"/>
        <w:rPr>
          <w:rFonts w:cs="Arial"/>
          <w:sz w:val="24"/>
          <w:szCs w:val="24"/>
        </w:rPr>
      </w:pPr>
      <w:r w:rsidRPr="002C0C73">
        <w:rPr>
          <w:rFonts w:cs="Arial"/>
          <w:sz w:val="24"/>
          <w:szCs w:val="24"/>
        </w:rPr>
        <w:t>En este sentido,</w:t>
      </w:r>
      <w:r w:rsidR="00540868" w:rsidRPr="002C0C73">
        <w:rPr>
          <w:rFonts w:cs="Arial"/>
          <w:sz w:val="24"/>
          <w:szCs w:val="24"/>
        </w:rPr>
        <w:t xml:space="preserve"> </w:t>
      </w:r>
      <w:r w:rsidR="00540868" w:rsidRPr="002C0C73">
        <w:rPr>
          <w:rFonts w:cs="Arial"/>
          <w:b/>
          <w:sz w:val="24"/>
          <w:szCs w:val="24"/>
        </w:rPr>
        <w:t>la inoperancia</w:t>
      </w:r>
      <w:r w:rsidR="00540868" w:rsidRPr="002C0C73">
        <w:rPr>
          <w:rFonts w:cs="Arial"/>
          <w:sz w:val="24"/>
          <w:szCs w:val="24"/>
        </w:rPr>
        <w:t xml:space="preserve"> se debe a que </w:t>
      </w:r>
      <w:r w:rsidRPr="002C0C73">
        <w:rPr>
          <w:rFonts w:cs="Arial"/>
          <w:sz w:val="24"/>
          <w:szCs w:val="24"/>
        </w:rPr>
        <w:t>las actoras son omisas en señalar en cuánto y cómo se pueden acelerar la revisión de los requisitos para ser PPN.</w:t>
      </w:r>
    </w:p>
    <w:p w:rsidR="00032B14" w:rsidRPr="002C0C73" w:rsidRDefault="00032B14" w:rsidP="00A637A9">
      <w:pPr>
        <w:spacing w:before="240" w:after="240" w:line="360" w:lineRule="auto"/>
        <w:jc w:val="both"/>
        <w:rPr>
          <w:rFonts w:cs="Arial"/>
          <w:sz w:val="24"/>
          <w:szCs w:val="24"/>
        </w:rPr>
      </w:pPr>
      <w:r w:rsidRPr="002C0C73">
        <w:rPr>
          <w:rFonts w:cs="Arial"/>
          <w:sz w:val="24"/>
          <w:szCs w:val="24"/>
        </w:rPr>
        <w:t xml:space="preserve">Como se mencionó, se está en presencia de una situación extraordinaria que derivó en la suspensión de actividades y, con ello, el cumplimiento ordinario de los plazos señalados en la ley. </w:t>
      </w:r>
    </w:p>
    <w:p w:rsidR="00032B14" w:rsidRPr="002C0C73" w:rsidRDefault="00032B14" w:rsidP="00A637A9">
      <w:pPr>
        <w:spacing w:before="240" w:after="240" w:line="360" w:lineRule="auto"/>
        <w:jc w:val="both"/>
        <w:rPr>
          <w:rFonts w:cs="Arial"/>
          <w:sz w:val="24"/>
          <w:szCs w:val="24"/>
        </w:rPr>
      </w:pPr>
      <w:r w:rsidRPr="002C0C73">
        <w:rPr>
          <w:rFonts w:cs="Arial"/>
          <w:sz w:val="24"/>
          <w:szCs w:val="24"/>
        </w:rPr>
        <w:t>Así, de manera ordinaria y con el funcionamiento pleno del INE, la legislación otorga un plazo a fin de resolver en sesenta días y que el registro surta efectos en el mes de julio del año previo de la elección.</w:t>
      </w:r>
    </w:p>
    <w:p w:rsidR="000E0DA3" w:rsidRPr="002C0C73" w:rsidRDefault="00032B14" w:rsidP="00A637A9">
      <w:pPr>
        <w:spacing w:before="240" w:after="240" w:line="360" w:lineRule="auto"/>
        <w:jc w:val="both"/>
        <w:rPr>
          <w:rFonts w:cs="Arial"/>
          <w:sz w:val="24"/>
          <w:szCs w:val="24"/>
        </w:rPr>
      </w:pPr>
      <w:r w:rsidRPr="002C0C73">
        <w:rPr>
          <w:rFonts w:cs="Arial"/>
          <w:sz w:val="24"/>
          <w:szCs w:val="24"/>
        </w:rPr>
        <w:t xml:space="preserve">Pero, en el caso, la situación extraordinaria ha impuesto ajustar esos plazos, porque </w:t>
      </w:r>
      <w:r w:rsidR="000E0DA3" w:rsidRPr="002C0C73">
        <w:rPr>
          <w:rFonts w:cs="Arial"/>
          <w:sz w:val="24"/>
          <w:szCs w:val="24"/>
        </w:rPr>
        <w:t xml:space="preserve">el INE aún debe verificar el cumplimiento de los requisitos. </w:t>
      </w:r>
    </w:p>
    <w:p w:rsidR="00032B14" w:rsidRPr="002C0C73" w:rsidRDefault="000E0DA3" w:rsidP="00A637A9">
      <w:pPr>
        <w:spacing w:before="240" w:after="240" w:line="360" w:lineRule="auto"/>
        <w:jc w:val="both"/>
        <w:rPr>
          <w:rFonts w:cs="Arial"/>
          <w:sz w:val="24"/>
          <w:szCs w:val="24"/>
        </w:rPr>
      </w:pPr>
      <w:r w:rsidRPr="002C0C73">
        <w:rPr>
          <w:rFonts w:cs="Arial"/>
          <w:sz w:val="24"/>
          <w:szCs w:val="24"/>
        </w:rPr>
        <w:t>En ese sentido, si la pretensión de las actoras es que su posible registro surta efectos el primero de julio, no proporciona argumentos ni prueba</w:t>
      </w:r>
      <w:r w:rsidR="00D23A40" w:rsidRPr="002C0C73">
        <w:rPr>
          <w:rFonts w:cs="Arial"/>
          <w:sz w:val="24"/>
          <w:szCs w:val="24"/>
        </w:rPr>
        <w:t xml:space="preserve"> específicamente </w:t>
      </w:r>
      <w:r w:rsidRPr="002C0C73">
        <w:rPr>
          <w:rFonts w:cs="Arial"/>
          <w:sz w:val="24"/>
          <w:szCs w:val="24"/>
        </w:rPr>
        <w:t xml:space="preserve">cómo el INE puede revisar todos los requisitos desde el quince de junio (fecha en que se reanudan las actividades) al treinta de ese mes. </w:t>
      </w:r>
    </w:p>
    <w:p w:rsidR="000E0DA3" w:rsidRPr="002C0C73" w:rsidRDefault="000E0DA3" w:rsidP="00A637A9">
      <w:pPr>
        <w:spacing w:before="240" w:after="240" w:line="360" w:lineRule="auto"/>
        <w:jc w:val="both"/>
        <w:rPr>
          <w:rFonts w:cs="Arial"/>
          <w:sz w:val="24"/>
          <w:szCs w:val="24"/>
        </w:rPr>
      </w:pPr>
      <w:r w:rsidRPr="002C0C73">
        <w:rPr>
          <w:rFonts w:cs="Arial"/>
          <w:sz w:val="24"/>
          <w:szCs w:val="24"/>
        </w:rPr>
        <w:t>Suponer que el INE puede revisar exhaustivamente los requisitos de siete organizaciones que solicitaron su registro como PPN, en un plazo de quince días, es perder el contexto de la situación extraordinaria de la emergencia sanitaria y, por supuesto, simplificar una tarea que es por demás laboriosa, por la cantidad de documentación a revisar.</w:t>
      </w:r>
    </w:p>
    <w:p w:rsidR="000E0DA3" w:rsidRPr="002C0C73" w:rsidRDefault="000E0DA3" w:rsidP="00A637A9">
      <w:pPr>
        <w:spacing w:before="240" w:after="240" w:line="360" w:lineRule="auto"/>
        <w:jc w:val="both"/>
        <w:rPr>
          <w:rFonts w:cs="Arial"/>
          <w:sz w:val="24"/>
          <w:szCs w:val="24"/>
        </w:rPr>
      </w:pPr>
      <w:r w:rsidRPr="002C0C73">
        <w:rPr>
          <w:rFonts w:cs="Arial"/>
          <w:sz w:val="24"/>
          <w:szCs w:val="24"/>
        </w:rPr>
        <w:t>Además, como ya se mencionó, las actoras son omisas en señalar y probar en cuánto tiempo se pueden realizar las tareas pendientes en el procedimiento de revisión de requisitos para ser PPN.</w:t>
      </w:r>
    </w:p>
    <w:p w:rsidR="00540868" w:rsidRPr="002C0C73" w:rsidRDefault="000E0DA3" w:rsidP="00A637A9">
      <w:pPr>
        <w:spacing w:before="240" w:after="240" w:line="360" w:lineRule="auto"/>
        <w:jc w:val="both"/>
        <w:rPr>
          <w:rFonts w:cs="Arial"/>
          <w:sz w:val="24"/>
          <w:szCs w:val="24"/>
        </w:rPr>
      </w:pPr>
      <w:r w:rsidRPr="002C0C73">
        <w:rPr>
          <w:rFonts w:cs="Arial"/>
          <w:sz w:val="24"/>
          <w:szCs w:val="24"/>
        </w:rPr>
        <w:t xml:space="preserve">De esta manera, como </w:t>
      </w:r>
      <w:r w:rsidR="00540868" w:rsidRPr="002C0C73">
        <w:rPr>
          <w:rFonts w:cs="Arial"/>
          <w:sz w:val="24"/>
          <w:szCs w:val="24"/>
        </w:rPr>
        <w:t>en modo alguno se controvierte que</w:t>
      </w:r>
      <w:r w:rsidRPr="002C0C73">
        <w:rPr>
          <w:rFonts w:cs="Arial"/>
          <w:sz w:val="24"/>
          <w:szCs w:val="24"/>
        </w:rPr>
        <w:t xml:space="preserve"> está pendiente </w:t>
      </w:r>
      <w:r w:rsidR="00540868" w:rsidRPr="002C0C73">
        <w:rPr>
          <w:rFonts w:cs="Arial"/>
          <w:sz w:val="24"/>
          <w:szCs w:val="24"/>
        </w:rPr>
        <w:t xml:space="preserve">la revisión de los requisitos, así como la cantidad de actividades que debe hacer el INE para examinarlos, </w:t>
      </w:r>
      <w:r w:rsidRPr="002C0C73">
        <w:rPr>
          <w:rFonts w:cs="Arial"/>
          <w:sz w:val="24"/>
          <w:szCs w:val="24"/>
        </w:rPr>
        <w:t>devienen inoperantes los argumentos.</w:t>
      </w:r>
    </w:p>
    <w:p w:rsidR="00540868" w:rsidRPr="002C0C73" w:rsidRDefault="00540868" w:rsidP="00A637A9">
      <w:pPr>
        <w:spacing w:before="240" w:after="240" w:line="360" w:lineRule="auto"/>
        <w:jc w:val="both"/>
        <w:rPr>
          <w:rFonts w:cs="Arial"/>
          <w:sz w:val="24"/>
          <w:szCs w:val="24"/>
        </w:rPr>
      </w:pPr>
      <w:r w:rsidRPr="002C0C73">
        <w:rPr>
          <w:rFonts w:cs="Arial"/>
          <w:sz w:val="24"/>
          <w:szCs w:val="24"/>
        </w:rPr>
        <w:lastRenderedPageBreak/>
        <w:t>E</w:t>
      </w:r>
      <w:r w:rsidR="000E0DA3" w:rsidRPr="002C0C73">
        <w:rPr>
          <w:rFonts w:cs="Arial"/>
          <w:sz w:val="24"/>
          <w:szCs w:val="24"/>
        </w:rPr>
        <w:t>sto</w:t>
      </w:r>
      <w:r w:rsidRPr="002C0C73">
        <w:rPr>
          <w:rFonts w:cs="Arial"/>
          <w:sz w:val="24"/>
          <w:szCs w:val="24"/>
        </w:rPr>
        <w:t xml:space="preserve">, </w:t>
      </w:r>
      <w:r w:rsidR="006E7F6F" w:rsidRPr="002C0C73">
        <w:rPr>
          <w:rFonts w:cs="Arial"/>
          <w:sz w:val="24"/>
          <w:szCs w:val="24"/>
        </w:rPr>
        <w:t xml:space="preserve">porque </w:t>
      </w:r>
      <w:r w:rsidRPr="002C0C73">
        <w:rPr>
          <w:rFonts w:cs="Arial"/>
          <w:sz w:val="24"/>
          <w:szCs w:val="24"/>
        </w:rPr>
        <w:t>los actores nunca señalan cómo, a pesar de que aún se está en presencia de la situación extraordinaria derivada de la emergencia sani</w:t>
      </w:r>
      <w:r w:rsidR="0040780A" w:rsidRPr="002C0C73">
        <w:rPr>
          <w:rFonts w:cs="Arial"/>
          <w:sz w:val="24"/>
          <w:szCs w:val="24"/>
        </w:rPr>
        <w:t xml:space="preserve">taria, el INE esté en aptitud de resolver en un tiempo menor, a pesar del cúmulo de tareas pendientes de revisar, las cuales se suspendieron, precisamente, para evitar la propagación del virus en </w:t>
      </w:r>
      <w:proofErr w:type="spellStart"/>
      <w:r w:rsidR="0040780A" w:rsidRPr="002C0C73">
        <w:rPr>
          <w:rFonts w:cs="Arial"/>
          <w:sz w:val="24"/>
          <w:szCs w:val="24"/>
        </w:rPr>
        <w:t>le</w:t>
      </w:r>
      <w:proofErr w:type="spellEnd"/>
      <w:r w:rsidR="0040780A" w:rsidRPr="002C0C73">
        <w:rPr>
          <w:rFonts w:cs="Arial"/>
          <w:sz w:val="24"/>
          <w:szCs w:val="24"/>
        </w:rPr>
        <w:t xml:space="preserve"> personal del INE.</w:t>
      </w:r>
    </w:p>
    <w:p w:rsidR="0040780A" w:rsidRPr="002C0C73" w:rsidRDefault="0040780A" w:rsidP="00A637A9">
      <w:pPr>
        <w:spacing w:before="240" w:after="240" w:line="360" w:lineRule="auto"/>
        <w:jc w:val="both"/>
        <w:rPr>
          <w:rFonts w:cs="Arial"/>
          <w:sz w:val="24"/>
          <w:szCs w:val="24"/>
        </w:rPr>
      </w:pPr>
      <w:r w:rsidRPr="002C0C73">
        <w:rPr>
          <w:rFonts w:cs="Arial"/>
          <w:sz w:val="24"/>
          <w:szCs w:val="24"/>
        </w:rPr>
        <w:t xml:space="preserve">Además, cabe señalar que el acuerdo impugnado señaló que la fecha límite para resolver es hasta el treinta y uno de agosto, lo cual implica que, si el INE está en condiciones, según el contexto de la emergencia sanitaria, puede </w:t>
      </w:r>
      <w:r w:rsidR="00FA787A" w:rsidRPr="002C0C73">
        <w:rPr>
          <w:rFonts w:cs="Arial"/>
          <w:sz w:val="24"/>
          <w:szCs w:val="24"/>
        </w:rPr>
        <w:t>emitir la decisión antes de esa fecha.</w:t>
      </w:r>
    </w:p>
    <w:p w:rsidR="00154CF6" w:rsidRPr="002C0C73" w:rsidRDefault="00154CF6" w:rsidP="00154CF6">
      <w:pPr>
        <w:spacing w:before="240" w:after="240" w:line="360" w:lineRule="auto"/>
        <w:jc w:val="both"/>
        <w:rPr>
          <w:rFonts w:cs="Arial"/>
          <w:b/>
          <w:i/>
          <w:sz w:val="24"/>
          <w:szCs w:val="24"/>
        </w:rPr>
      </w:pPr>
      <w:r w:rsidRPr="002C0C73">
        <w:rPr>
          <w:rFonts w:cs="Arial"/>
          <w:b/>
          <w:i/>
          <w:sz w:val="24"/>
          <w:szCs w:val="24"/>
        </w:rPr>
        <w:t>La resolución sobre la fiscalización no se puede dictar posteriormente</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Tampoco asiste razón a LRD cuando pretende que la determinación de fiscalización se dicte posteriormente y</w:t>
      </w:r>
      <w:r w:rsidR="00A637A9" w:rsidRPr="002C0C73">
        <w:rPr>
          <w:rFonts w:cs="Arial"/>
          <w:sz w:val="24"/>
          <w:szCs w:val="24"/>
        </w:rPr>
        <w:t xml:space="preserve"> </w:t>
      </w:r>
      <w:r w:rsidRPr="002C0C73">
        <w:rPr>
          <w:rFonts w:cs="Arial"/>
          <w:sz w:val="24"/>
          <w:szCs w:val="24"/>
        </w:rPr>
        <w:t>se resuelva en primer lugar sobre el registro de los partidos políticos.</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Al respecto, el acuerdo impugnado en sí mismo no les causa afectación. Ello, porque el INE determinó resolver primero los procedimientos de fiscalización de las siete organizaciones que solicitaron su registro como partidos políticos.</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Ello, a fin de tener con antelación a la nueva fecha establecida para decidir sobre el registro de partidos políticos, la determinación relativa a la fiscalización de los recursos.</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Es decir, la fiscalización se realizará de manera paralela al estudio de los demás requisitos, a fin de resolver si esa exigencia también está cumplid</w:t>
      </w:r>
      <w:r w:rsidR="00725F96" w:rsidRPr="002C0C73">
        <w:rPr>
          <w:rFonts w:cs="Arial"/>
          <w:sz w:val="24"/>
          <w:szCs w:val="24"/>
        </w:rPr>
        <w:t>a</w:t>
      </w:r>
      <w:r w:rsidRPr="002C0C73">
        <w:rPr>
          <w:rFonts w:cs="Arial"/>
          <w:sz w:val="24"/>
          <w:szCs w:val="24"/>
        </w:rPr>
        <w:t xml:space="preserve"> y, en su caso, poder determinar sobre la procedencia del registro.</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 xml:space="preserve">Y, por otra parte, tampoco es posible acoger su pretensión, porque el incumplimiento de la normativa en materia de fiscalización puede tener como consecuencia la cancelación del procedimiento de registro como </w:t>
      </w:r>
      <w:r w:rsidR="00725F96" w:rsidRPr="002C0C73">
        <w:rPr>
          <w:rFonts w:cs="Arial"/>
          <w:sz w:val="24"/>
          <w:szCs w:val="24"/>
        </w:rPr>
        <w:t>PPN</w:t>
      </w:r>
      <w:r w:rsidRPr="002C0C73">
        <w:rPr>
          <w:rFonts w:cs="Arial"/>
          <w:sz w:val="24"/>
          <w:szCs w:val="24"/>
        </w:rPr>
        <w:t>.</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En efecto, uno de los deberes de las organizaciones que pretende</w:t>
      </w:r>
      <w:r w:rsidR="00725F96" w:rsidRPr="002C0C73">
        <w:rPr>
          <w:rFonts w:cs="Arial"/>
          <w:sz w:val="24"/>
          <w:szCs w:val="24"/>
        </w:rPr>
        <w:t>n</w:t>
      </w:r>
      <w:r w:rsidRPr="002C0C73">
        <w:rPr>
          <w:rFonts w:cs="Arial"/>
          <w:sz w:val="24"/>
          <w:szCs w:val="24"/>
        </w:rPr>
        <w:t xml:space="preserve"> ser partidos políticos </w:t>
      </w:r>
      <w:r w:rsidR="00725F96" w:rsidRPr="002C0C73">
        <w:rPr>
          <w:rFonts w:cs="Arial"/>
          <w:sz w:val="24"/>
          <w:szCs w:val="24"/>
        </w:rPr>
        <w:t xml:space="preserve">es </w:t>
      </w:r>
      <w:r w:rsidRPr="002C0C73">
        <w:rPr>
          <w:rFonts w:cs="Arial"/>
          <w:sz w:val="24"/>
          <w:szCs w:val="24"/>
        </w:rPr>
        <w:t>informar mensualmente sobre el origen y destino de los recursos destinados a la obtención del registro.</w:t>
      </w:r>
      <w:r w:rsidRPr="002C0C73">
        <w:rPr>
          <w:rStyle w:val="Refdenotaalpie"/>
          <w:rFonts w:cs="Arial"/>
          <w:sz w:val="24"/>
          <w:szCs w:val="24"/>
        </w:rPr>
        <w:footnoteReference w:id="73"/>
      </w:r>
    </w:p>
    <w:p w:rsidR="00154CF6" w:rsidRPr="002C0C73" w:rsidRDefault="00154CF6" w:rsidP="00154CF6">
      <w:pPr>
        <w:spacing w:before="240" w:after="240" w:line="360" w:lineRule="auto"/>
        <w:jc w:val="both"/>
        <w:rPr>
          <w:rFonts w:cs="Arial"/>
          <w:sz w:val="24"/>
          <w:szCs w:val="24"/>
        </w:rPr>
      </w:pPr>
      <w:r w:rsidRPr="002C0C73">
        <w:rPr>
          <w:rFonts w:cs="Arial"/>
          <w:sz w:val="24"/>
          <w:szCs w:val="24"/>
        </w:rPr>
        <w:lastRenderedPageBreak/>
        <w:t xml:space="preserve">Por supuesto, si existe alguna irregularidad respecto a la falta de los informes, o bien en cuanto </w:t>
      </w:r>
      <w:r w:rsidR="00725F96" w:rsidRPr="002C0C73">
        <w:rPr>
          <w:rFonts w:cs="Arial"/>
          <w:sz w:val="24"/>
          <w:szCs w:val="24"/>
        </w:rPr>
        <w:t>a</w:t>
      </w:r>
      <w:r w:rsidRPr="002C0C73">
        <w:rPr>
          <w:rFonts w:cs="Arial"/>
          <w:sz w:val="24"/>
          <w:szCs w:val="24"/>
        </w:rPr>
        <w:t>l origen y destino de los recursos, el INE puede establecer una sanción</w:t>
      </w:r>
      <w:r w:rsidR="00A637A9" w:rsidRPr="002C0C73">
        <w:rPr>
          <w:rFonts w:cs="Arial"/>
          <w:sz w:val="24"/>
          <w:szCs w:val="24"/>
        </w:rPr>
        <w:t>. U</w:t>
      </w:r>
      <w:r w:rsidRPr="002C0C73">
        <w:rPr>
          <w:rFonts w:cs="Arial"/>
          <w:sz w:val="24"/>
          <w:szCs w:val="24"/>
        </w:rPr>
        <w:t xml:space="preserve">na de esas sanciones es, precisamente, la cancelación del procedimiento de registro como </w:t>
      </w:r>
      <w:r w:rsidR="00725F96" w:rsidRPr="002C0C73">
        <w:rPr>
          <w:rFonts w:cs="Arial"/>
          <w:sz w:val="24"/>
          <w:szCs w:val="24"/>
        </w:rPr>
        <w:t>PPN</w:t>
      </w:r>
      <w:r w:rsidRPr="002C0C73">
        <w:rPr>
          <w:rFonts w:cs="Arial"/>
          <w:sz w:val="24"/>
          <w:szCs w:val="24"/>
        </w:rPr>
        <w:t>.</w:t>
      </w:r>
      <w:r w:rsidRPr="002C0C73">
        <w:rPr>
          <w:rStyle w:val="Refdenotaalpie"/>
          <w:rFonts w:cs="Arial"/>
          <w:sz w:val="24"/>
          <w:szCs w:val="24"/>
        </w:rPr>
        <w:footnoteReference w:id="74"/>
      </w:r>
    </w:p>
    <w:p w:rsidR="00154CF6" w:rsidRPr="002C0C73" w:rsidRDefault="00154CF6" w:rsidP="00154CF6">
      <w:pPr>
        <w:spacing w:before="240" w:after="240" w:line="360" w:lineRule="auto"/>
        <w:jc w:val="both"/>
        <w:rPr>
          <w:rFonts w:cs="Arial"/>
          <w:sz w:val="24"/>
          <w:szCs w:val="24"/>
        </w:rPr>
      </w:pPr>
      <w:r w:rsidRPr="002C0C73">
        <w:rPr>
          <w:rFonts w:cs="Arial"/>
          <w:sz w:val="24"/>
          <w:szCs w:val="24"/>
        </w:rPr>
        <w:t>Es decir, la fiscalización sobre el origen y destino de los recursos de las organizaciones es un requisito indispensable para determinar sobre la procedencia del registro. S</w:t>
      </w:r>
      <w:r w:rsidR="00380CFA" w:rsidRPr="002C0C73">
        <w:rPr>
          <w:rFonts w:cs="Arial"/>
          <w:sz w:val="24"/>
          <w:szCs w:val="24"/>
        </w:rPr>
        <w:t>o</w:t>
      </w:r>
      <w:r w:rsidRPr="002C0C73">
        <w:rPr>
          <w:rFonts w:cs="Arial"/>
          <w:sz w:val="24"/>
          <w:szCs w:val="24"/>
        </w:rPr>
        <w:t>lo de esa manera se puede entender la decisión del legislador, en el sentido de imponer como sanción la cancelación del procedimiento respectivo.</w:t>
      </w:r>
    </w:p>
    <w:p w:rsidR="00154CF6" w:rsidRPr="002C0C73" w:rsidRDefault="00154CF6" w:rsidP="00154CF6">
      <w:pPr>
        <w:spacing w:before="240" w:after="240" w:line="360" w:lineRule="auto"/>
        <w:jc w:val="both"/>
        <w:rPr>
          <w:rFonts w:cs="Arial"/>
          <w:sz w:val="24"/>
          <w:szCs w:val="24"/>
        </w:rPr>
      </w:pPr>
      <w:r w:rsidRPr="002C0C73">
        <w:rPr>
          <w:rFonts w:cs="Arial"/>
          <w:sz w:val="24"/>
          <w:szCs w:val="24"/>
        </w:rPr>
        <w:t>Por ello, esperar a que posteriormente a la resolución del registro como partido político, se decida sobre el cumplimiento del origen y destino de los recursos de las organizaciones, sería hacer nugatoria la posible sanción de cancelar el procedimiento correspondiente.</w:t>
      </w:r>
    </w:p>
    <w:p w:rsidR="00F66A68" w:rsidRPr="002C0C73" w:rsidRDefault="00D51B27" w:rsidP="00D51B27">
      <w:pPr>
        <w:pStyle w:val="Ttulo1"/>
        <w:spacing w:before="100" w:beforeAutospacing="1" w:after="100" w:afterAutospacing="1" w:line="360" w:lineRule="auto"/>
        <w:rPr>
          <w:rFonts w:ascii="Arial" w:hAnsi="Arial" w:cs="Arial"/>
          <w:b/>
          <w:bCs/>
          <w:color w:val="auto"/>
          <w:sz w:val="24"/>
          <w:szCs w:val="24"/>
        </w:rPr>
      </w:pPr>
      <w:bookmarkStart w:id="30" w:name="_Toc43048093"/>
      <w:r w:rsidRPr="002C0C73">
        <w:rPr>
          <w:rFonts w:ascii="Arial" w:hAnsi="Arial" w:cs="Arial"/>
          <w:b/>
          <w:bCs/>
          <w:color w:val="auto"/>
          <w:sz w:val="24"/>
          <w:szCs w:val="24"/>
        </w:rPr>
        <w:t>Cuarto tema</w:t>
      </w:r>
      <w:r w:rsidR="00F66A68" w:rsidRPr="002C0C73">
        <w:rPr>
          <w:rFonts w:ascii="Arial" w:hAnsi="Arial" w:cs="Arial"/>
          <w:b/>
          <w:bCs/>
          <w:color w:val="auto"/>
          <w:sz w:val="24"/>
          <w:szCs w:val="24"/>
        </w:rPr>
        <w:t>. Imposibilidad de recibir financiamiento por dos meses</w:t>
      </w:r>
      <w:bookmarkEnd w:id="30"/>
      <w:r w:rsidR="0040780A" w:rsidRPr="002C0C73">
        <w:rPr>
          <w:rFonts w:ascii="Arial" w:hAnsi="Arial" w:cs="Arial"/>
          <w:b/>
          <w:bCs/>
          <w:color w:val="auto"/>
          <w:sz w:val="24"/>
          <w:szCs w:val="24"/>
        </w:rPr>
        <w:t xml:space="preserve"> y acceso a la radio y televisión</w:t>
      </w:r>
    </w:p>
    <w:p w:rsidR="00F66A68" w:rsidRPr="002C0C73" w:rsidRDefault="00F66A68" w:rsidP="00F66A68">
      <w:pPr>
        <w:pStyle w:val="NormalWeb"/>
        <w:widowControl w:val="0"/>
        <w:shd w:val="clear" w:color="auto" w:fill="FFFFFF"/>
        <w:spacing w:line="360" w:lineRule="auto"/>
        <w:jc w:val="both"/>
        <w:rPr>
          <w:rFonts w:ascii="Arial" w:hAnsi="Arial" w:cs="Arial"/>
          <w:b/>
        </w:rPr>
      </w:pPr>
      <w:r w:rsidRPr="002C0C73">
        <w:rPr>
          <w:rFonts w:ascii="Arial" w:hAnsi="Arial" w:cs="Arial"/>
          <w:b/>
        </w:rPr>
        <w:t>I. Planteamientos</w:t>
      </w:r>
    </w:p>
    <w:p w:rsidR="00F66A68" w:rsidRPr="002C0C73" w:rsidRDefault="0040780A" w:rsidP="00F66A68">
      <w:pPr>
        <w:pStyle w:val="NormalWeb"/>
        <w:widowControl w:val="0"/>
        <w:shd w:val="clear" w:color="auto" w:fill="FFFFFF"/>
        <w:spacing w:line="360" w:lineRule="auto"/>
        <w:ind w:left="68"/>
        <w:jc w:val="both"/>
        <w:rPr>
          <w:rFonts w:ascii="Arial" w:hAnsi="Arial" w:cs="Arial"/>
          <w:bCs/>
        </w:rPr>
      </w:pPr>
      <w:r w:rsidRPr="002C0C73">
        <w:rPr>
          <w:rFonts w:ascii="Arial" w:hAnsi="Arial" w:cs="Arial"/>
          <w:bCs/>
        </w:rPr>
        <w:t xml:space="preserve">LRD señala que el acuerdo </w:t>
      </w:r>
      <w:r w:rsidR="00F66A68" w:rsidRPr="002C0C73">
        <w:rPr>
          <w:rFonts w:ascii="Arial" w:hAnsi="Arial" w:cs="Arial"/>
          <w:bCs/>
        </w:rPr>
        <w:t>impugnado es indebido, porque el aplazamiento sobre la resolución de registro como nuevos PPN suprime dos meses de financiamiento y de acceso a radio y televisión.</w:t>
      </w:r>
    </w:p>
    <w:p w:rsidR="00F66A68" w:rsidRPr="002C0C73" w:rsidRDefault="00F66A68" w:rsidP="00F66A68">
      <w:pPr>
        <w:pStyle w:val="NormalWeb"/>
        <w:widowControl w:val="0"/>
        <w:shd w:val="clear" w:color="auto" w:fill="FFFFFF"/>
        <w:spacing w:line="360" w:lineRule="auto"/>
        <w:jc w:val="both"/>
        <w:rPr>
          <w:rFonts w:ascii="Arial" w:hAnsi="Arial" w:cs="Arial"/>
          <w:b/>
        </w:rPr>
      </w:pPr>
      <w:r w:rsidRPr="002C0C73">
        <w:rPr>
          <w:rFonts w:ascii="Arial" w:hAnsi="Arial" w:cs="Arial"/>
          <w:b/>
        </w:rPr>
        <w:t>II. Decisión</w:t>
      </w:r>
    </w:p>
    <w:p w:rsidR="00F66A68" w:rsidRPr="002C0C73" w:rsidRDefault="00F66A68" w:rsidP="0040780A">
      <w:pPr>
        <w:pStyle w:val="NormalWeb"/>
        <w:widowControl w:val="0"/>
        <w:shd w:val="clear" w:color="auto" w:fill="FFFFFF"/>
        <w:spacing w:line="360" w:lineRule="auto"/>
        <w:jc w:val="both"/>
        <w:rPr>
          <w:rFonts w:ascii="Arial" w:hAnsi="Arial" w:cs="Arial"/>
        </w:rPr>
      </w:pPr>
      <w:r w:rsidRPr="002C0C73">
        <w:rPr>
          <w:rFonts w:ascii="Arial" w:hAnsi="Arial" w:cs="Arial"/>
        </w:rPr>
        <w:t xml:space="preserve">Los argumentos son </w:t>
      </w:r>
      <w:r w:rsidRPr="002C0C73">
        <w:rPr>
          <w:rFonts w:ascii="Arial" w:hAnsi="Arial" w:cs="Arial"/>
          <w:b/>
          <w:bCs/>
        </w:rPr>
        <w:t>inoperantes</w:t>
      </w:r>
      <w:r w:rsidRPr="002C0C73">
        <w:rPr>
          <w:rFonts w:ascii="Arial" w:hAnsi="Arial" w:cs="Arial"/>
        </w:rPr>
        <w:t xml:space="preserve">, </w:t>
      </w:r>
      <w:r w:rsidR="0040780A" w:rsidRPr="002C0C73">
        <w:rPr>
          <w:rFonts w:ascii="Arial" w:hAnsi="Arial" w:cs="Arial"/>
        </w:rPr>
        <w:t xml:space="preserve">porque el tema del </w:t>
      </w:r>
      <w:r w:rsidRPr="002C0C73">
        <w:rPr>
          <w:rFonts w:ascii="Arial" w:hAnsi="Arial" w:cs="Arial"/>
        </w:rPr>
        <w:t>financiamiento público a los PPN de nueva creación a partir de que surta efectos el registro respectivo fue controvertido por LRD en distinto medio de impugnación.</w:t>
      </w:r>
    </w:p>
    <w:p w:rsidR="000E0DA3" w:rsidRPr="002C0C73" w:rsidRDefault="00F66A68" w:rsidP="00F66A68">
      <w:pPr>
        <w:pStyle w:val="NormalWeb"/>
        <w:widowControl w:val="0"/>
        <w:shd w:val="clear" w:color="auto" w:fill="FFFFFF"/>
        <w:spacing w:line="360" w:lineRule="auto"/>
        <w:jc w:val="both"/>
        <w:rPr>
          <w:rFonts w:ascii="Arial" w:hAnsi="Arial" w:cs="Arial"/>
        </w:rPr>
      </w:pPr>
      <w:r w:rsidRPr="002C0C73">
        <w:rPr>
          <w:rFonts w:ascii="Arial" w:hAnsi="Arial" w:cs="Arial"/>
        </w:rPr>
        <w:t xml:space="preserve">De igual forma, en cuanto al tiempo en radio y televisión </w:t>
      </w:r>
      <w:r w:rsidR="000E0DA3" w:rsidRPr="002C0C73">
        <w:rPr>
          <w:rFonts w:ascii="Arial" w:hAnsi="Arial" w:cs="Arial"/>
        </w:rPr>
        <w:t>en este momento no le genera agravio, dado que tendrá derecho a esa prerrogativa hasta el momento en que obtenga su registro como partido político nacional.</w:t>
      </w:r>
    </w:p>
    <w:p w:rsidR="00F66A68" w:rsidRPr="002C0C73" w:rsidRDefault="00F66A68" w:rsidP="00F66A68">
      <w:pPr>
        <w:pStyle w:val="NormalWeb"/>
        <w:widowControl w:val="0"/>
        <w:shd w:val="clear" w:color="auto" w:fill="FFFFFF"/>
        <w:spacing w:line="360" w:lineRule="auto"/>
        <w:jc w:val="both"/>
        <w:rPr>
          <w:rFonts w:ascii="Arial" w:hAnsi="Arial" w:cs="Arial"/>
          <w:b/>
        </w:rPr>
      </w:pPr>
      <w:r w:rsidRPr="002C0C73">
        <w:rPr>
          <w:rFonts w:ascii="Arial" w:hAnsi="Arial" w:cs="Arial"/>
          <w:b/>
        </w:rPr>
        <w:t>III. Justificación</w:t>
      </w:r>
    </w:p>
    <w:p w:rsidR="00F66A68" w:rsidRPr="002C0C73" w:rsidRDefault="00F66A68" w:rsidP="00F66A68">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Los argumentos son </w:t>
      </w:r>
      <w:r w:rsidRPr="002C0C73">
        <w:rPr>
          <w:rFonts w:ascii="Arial" w:hAnsi="Arial" w:cs="Arial"/>
          <w:b/>
        </w:rPr>
        <w:t>inoperantes</w:t>
      </w:r>
      <w:r w:rsidRPr="002C0C73">
        <w:rPr>
          <w:rFonts w:ascii="Arial" w:hAnsi="Arial" w:cs="Arial"/>
          <w:bCs/>
        </w:rPr>
        <w:t xml:space="preserve">, porque LRD promovió el diverso juicio </w:t>
      </w:r>
      <w:r w:rsidRPr="002C0C73">
        <w:rPr>
          <w:rFonts w:ascii="Arial" w:hAnsi="Arial" w:cs="Arial"/>
          <w:bCs/>
        </w:rPr>
        <w:lastRenderedPageBreak/>
        <w:t xml:space="preserve">ciudadano SUP-JDC-750/2020, </w:t>
      </w:r>
      <w:r w:rsidR="00D51B27" w:rsidRPr="002C0C73">
        <w:rPr>
          <w:rFonts w:ascii="Arial" w:hAnsi="Arial" w:cs="Arial"/>
          <w:bCs/>
        </w:rPr>
        <w:t xml:space="preserve">para controvertir </w:t>
      </w:r>
      <w:r w:rsidRPr="002C0C73">
        <w:rPr>
          <w:rFonts w:ascii="Arial" w:hAnsi="Arial" w:cs="Arial"/>
          <w:bCs/>
        </w:rPr>
        <w:t xml:space="preserve">el acuerdo INE/CG98/2020 del </w:t>
      </w:r>
      <w:r w:rsidR="00D51B27" w:rsidRPr="002C0C73">
        <w:rPr>
          <w:rFonts w:ascii="Arial" w:hAnsi="Arial" w:cs="Arial"/>
          <w:bCs/>
        </w:rPr>
        <w:t xml:space="preserve">CG </w:t>
      </w:r>
      <w:r w:rsidRPr="002C0C73">
        <w:rPr>
          <w:rFonts w:ascii="Arial" w:hAnsi="Arial" w:cs="Arial"/>
          <w:bCs/>
        </w:rPr>
        <w:t>del INE, por el cual modificó el diverso acuerdo INE/CG348/2019 relativo al financiamiento público, así como a las prerrogativas postal y telegráfica que gozarán los partidos políticos nacionales durante el año dos mil veinte.</w:t>
      </w:r>
    </w:p>
    <w:p w:rsidR="00F66A68" w:rsidRPr="002C0C73" w:rsidRDefault="00F66A68" w:rsidP="00F66A68">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ese acuerdo, </w:t>
      </w:r>
      <w:r w:rsidR="00D51B27" w:rsidRPr="002C0C73">
        <w:rPr>
          <w:rFonts w:ascii="Arial" w:hAnsi="Arial" w:cs="Arial"/>
          <w:bCs/>
        </w:rPr>
        <w:t xml:space="preserve">el CG del INE </w:t>
      </w:r>
      <w:r w:rsidRPr="002C0C73">
        <w:rPr>
          <w:rFonts w:ascii="Arial" w:hAnsi="Arial" w:cs="Arial"/>
          <w:bCs/>
        </w:rPr>
        <w:t xml:space="preserve">determinó que, para el caso de que se otorgue el registro a nuevos </w:t>
      </w:r>
      <w:r w:rsidR="00D51B27" w:rsidRPr="002C0C73">
        <w:rPr>
          <w:rFonts w:ascii="Arial" w:hAnsi="Arial" w:cs="Arial"/>
          <w:bCs/>
        </w:rPr>
        <w:t xml:space="preserve">PPN </w:t>
      </w:r>
      <w:r w:rsidRPr="002C0C73">
        <w:rPr>
          <w:rFonts w:ascii="Arial" w:hAnsi="Arial" w:cs="Arial"/>
          <w:bCs/>
        </w:rPr>
        <w:t>les será entregado el financiamiento correspond</w:t>
      </w:r>
      <w:r w:rsidR="00D51B27" w:rsidRPr="002C0C73">
        <w:rPr>
          <w:rFonts w:ascii="Arial" w:hAnsi="Arial" w:cs="Arial"/>
          <w:bCs/>
        </w:rPr>
        <w:t xml:space="preserve">iente </w:t>
      </w:r>
      <w:r w:rsidRPr="002C0C73">
        <w:rPr>
          <w:rFonts w:ascii="Arial" w:hAnsi="Arial" w:cs="Arial"/>
          <w:bCs/>
        </w:rPr>
        <w:t>a partir de que surta efectos el registro respectivo, así como lo relativo a las prerrogativas postal y telegráfica.</w:t>
      </w:r>
    </w:p>
    <w:p w:rsidR="00F66A68" w:rsidRPr="002C0C73" w:rsidRDefault="00F66A68" w:rsidP="00F66A68">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este contexto, es claro que </w:t>
      </w:r>
      <w:r w:rsidR="0040780A" w:rsidRPr="002C0C73">
        <w:rPr>
          <w:rFonts w:ascii="Arial" w:hAnsi="Arial" w:cs="Arial"/>
          <w:bCs/>
        </w:rPr>
        <w:t xml:space="preserve">LRD </w:t>
      </w:r>
      <w:r w:rsidRPr="002C0C73">
        <w:rPr>
          <w:rFonts w:ascii="Arial" w:hAnsi="Arial" w:cs="Arial"/>
          <w:bCs/>
        </w:rPr>
        <w:t>controvirtió, por vicios propios, esa determinación. Por tanto, será en ese medio de impugnación en que se emita la resolución que corresponda, porque en él se impugna el acto específico.</w:t>
      </w:r>
    </w:p>
    <w:p w:rsidR="0040780A" w:rsidRPr="002C0C73" w:rsidRDefault="00F66A68" w:rsidP="00F66A68">
      <w:pPr>
        <w:pStyle w:val="NormalWeb"/>
        <w:widowControl w:val="0"/>
        <w:shd w:val="clear" w:color="auto" w:fill="FFFFFF"/>
        <w:spacing w:line="360" w:lineRule="auto"/>
        <w:jc w:val="both"/>
        <w:rPr>
          <w:rFonts w:ascii="Arial" w:hAnsi="Arial" w:cs="Arial"/>
          <w:bCs/>
        </w:rPr>
      </w:pPr>
      <w:r w:rsidRPr="002C0C73">
        <w:rPr>
          <w:rFonts w:ascii="Arial" w:hAnsi="Arial" w:cs="Arial"/>
          <w:bCs/>
        </w:rPr>
        <w:t>Finalmente, en cuanto al planteamiento sobre el tiempo en radio y televisión que pudiera corresponderle, de igual forma es inoperante</w:t>
      </w:r>
      <w:r w:rsidR="0040780A" w:rsidRPr="002C0C73">
        <w:rPr>
          <w:rFonts w:ascii="Arial" w:hAnsi="Arial" w:cs="Arial"/>
          <w:bCs/>
        </w:rPr>
        <w:t>.</w:t>
      </w:r>
    </w:p>
    <w:p w:rsidR="000E0DA3" w:rsidRPr="002C0C73" w:rsidRDefault="000E0DA3" w:rsidP="000E0DA3">
      <w:pPr>
        <w:pStyle w:val="NormalWeb"/>
        <w:widowControl w:val="0"/>
        <w:shd w:val="clear" w:color="auto" w:fill="FFFFFF"/>
        <w:spacing w:line="360" w:lineRule="auto"/>
        <w:jc w:val="both"/>
        <w:rPr>
          <w:rFonts w:ascii="Arial" w:hAnsi="Arial" w:cs="Arial"/>
          <w:bCs/>
        </w:rPr>
      </w:pPr>
      <w:bookmarkStart w:id="31" w:name="_Toc43048094"/>
      <w:r w:rsidRPr="002C0C73">
        <w:rPr>
          <w:rFonts w:ascii="Arial" w:hAnsi="Arial" w:cs="Arial"/>
          <w:bCs/>
        </w:rPr>
        <w:t>Lo anterior, porque conforme a lo expuesto en el Tema III de esta sentencia, quienes tienen derecho a esa prerrogativa son los partidos políticos que han obtenido su registro.</w:t>
      </w:r>
    </w:p>
    <w:p w:rsidR="00E41A23" w:rsidRPr="002C0C73" w:rsidRDefault="00E41A23" w:rsidP="000E0DA3">
      <w:pPr>
        <w:pStyle w:val="NormalWeb"/>
        <w:widowControl w:val="0"/>
        <w:shd w:val="clear" w:color="auto" w:fill="FFFFFF"/>
        <w:spacing w:line="360" w:lineRule="auto"/>
        <w:jc w:val="both"/>
        <w:rPr>
          <w:rFonts w:ascii="Arial" w:hAnsi="Arial" w:cs="Arial"/>
          <w:bCs/>
        </w:rPr>
      </w:pPr>
      <w:r w:rsidRPr="002C0C73">
        <w:rPr>
          <w:rFonts w:ascii="Arial" w:hAnsi="Arial" w:cs="Arial"/>
          <w:bCs/>
        </w:rPr>
        <w:t>En efecto, de conformidad con el artículo 41, párrafo segundo, Base III, de la Constitución, los partidos políticos tendrán derecho al uso permanente de los medios de comunicación social.</w:t>
      </w:r>
    </w:p>
    <w:p w:rsidR="00E41A23" w:rsidRPr="002C0C73" w:rsidRDefault="00E41A23" w:rsidP="000E0DA3">
      <w:pPr>
        <w:pStyle w:val="NormalWeb"/>
        <w:widowControl w:val="0"/>
        <w:shd w:val="clear" w:color="auto" w:fill="FFFFFF"/>
        <w:spacing w:line="360" w:lineRule="auto"/>
        <w:jc w:val="both"/>
        <w:rPr>
          <w:rFonts w:ascii="Arial" w:hAnsi="Arial" w:cs="Arial"/>
          <w:bCs/>
        </w:rPr>
      </w:pPr>
      <w:r w:rsidRPr="002C0C73">
        <w:rPr>
          <w:rFonts w:ascii="Arial" w:hAnsi="Arial" w:cs="Arial"/>
          <w:bCs/>
        </w:rPr>
        <w:t>Para tal efecto, el INE es la única autoridad para administrar el tiempo en radio y televisión para sus propios fines como el de los partidos políticos.</w:t>
      </w:r>
    </w:p>
    <w:p w:rsidR="00E41A23" w:rsidRPr="002C0C73" w:rsidRDefault="00E41A23" w:rsidP="000E0DA3">
      <w:pPr>
        <w:pStyle w:val="NormalWeb"/>
        <w:widowControl w:val="0"/>
        <w:shd w:val="clear" w:color="auto" w:fill="FFFFFF"/>
        <w:spacing w:line="360" w:lineRule="auto"/>
        <w:jc w:val="both"/>
        <w:rPr>
          <w:rFonts w:ascii="Arial" w:hAnsi="Arial" w:cs="Arial"/>
          <w:bCs/>
        </w:rPr>
      </w:pPr>
      <w:r w:rsidRPr="002C0C73">
        <w:rPr>
          <w:rFonts w:ascii="Arial" w:hAnsi="Arial" w:cs="Arial"/>
          <w:bCs/>
        </w:rPr>
        <w:t>Es decir, la Constitución reconoce ese derecho para los partidos políticos, motivo por el cual corresponde a éstos su ejercicio desde el momento en que se les reconozca como tales y surta efectos la declaración correspondiente.</w:t>
      </w:r>
    </w:p>
    <w:p w:rsidR="00E41A23" w:rsidRPr="002C0C73" w:rsidRDefault="00E41A23" w:rsidP="000E0DA3">
      <w:pPr>
        <w:pStyle w:val="NormalWeb"/>
        <w:widowControl w:val="0"/>
        <w:shd w:val="clear" w:color="auto" w:fill="FFFFFF"/>
        <w:spacing w:line="360" w:lineRule="auto"/>
        <w:jc w:val="both"/>
        <w:rPr>
          <w:rFonts w:ascii="Arial" w:hAnsi="Arial" w:cs="Arial"/>
          <w:bCs/>
        </w:rPr>
      </w:pPr>
      <w:r w:rsidRPr="002C0C73">
        <w:rPr>
          <w:rFonts w:ascii="Arial" w:hAnsi="Arial" w:cs="Arial"/>
          <w:bCs/>
        </w:rPr>
        <w:t>En este sentido, si la actora aún no cuenta con el registro como PPN, en tanto está pendiente la resolución respectiva por parte del INE, no puede gozar de un derecho que no le corresponde, sino hasta que obtenga la calidad de PPN.</w:t>
      </w:r>
    </w:p>
    <w:p w:rsidR="00CE41B3" w:rsidRPr="002C0C73" w:rsidRDefault="00E41A23" w:rsidP="00CE41B3">
      <w:pPr>
        <w:pStyle w:val="NormalWeb"/>
        <w:widowControl w:val="0"/>
        <w:shd w:val="clear" w:color="auto" w:fill="FFFFFF"/>
        <w:spacing w:line="360" w:lineRule="auto"/>
        <w:jc w:val="both"/>
        <w:rPr>
          <w:rFonts w:ascii="Arial" w:hAnsi="Arial" w:cs="Arial"/>
          <w:bCs/>
          <w:u w:color="8EAADB" w:themeColor="accent5" w:themeTint="99"/>
        </w:rPr>
      </w:pPr>
      <w:r w:rsidRPr="002C0C73">
        <w:rPr>
          <w:rFonts w:ascii="Arial" w:hAnsi="Arial" w:cs="Arial"/>
          <w:bCs/>
        </w:rPr>
        <w:t xml:space="preserve">En todo caso, </w:t>
      </w:r>
      <w:r w:rsidR="000E0DA3" w:rsidRPr="002C0C73">
        <w:rPr>
          <w:rFonts w:ascii="Arial" w:hAnsi="Arial" w:cs="Arial"/>
          <w:bCs/>
        </w:rPr>
        <w:t xml:space="preserve">en la hipótesis de que la actora obtenga su registro como partido </w:t>
      </w:r>
      <w:r w:rsidR="000E0DA3" w:rsidRPr="002C0C73">
        <w:rPr>
          <w:rFonts w:ascii="Arial" w:hAnsi="Arial" w:cs="Arial"/>
          <w:bCs/>
        </w:rPr>
        <w:lastRenderedPageBreak/>
        <w:t xml:space="preserve">político nacional </w:t>
      </w:r>
      <w:r w:rsidRPr="002C0C73">
        <w:rPr>
          <w:rFonts w:ascii="Arial" w:hAnsi="Arial" w:cs="Arial"/>
          <w:bCs/>
        </w:rPr>
        <w:t xml:space="preserve">podrá, de así considerarlo conforme a la normativa electoral, </w:t>
      </w:r>
      <w:r w:rsidR="000E0DA3" w:rsidRPr="002C0C73">
        <w:rPr>
          <w:rFonts w:ascii="Arial" w:hAnsi="Arial" w:cs="Arial"/>
          <w:bCs/>
        </w:rPr>
        <w:t xml:space="preserve">solicitar </w:t>
      </w:r>
      <w:r w:rsidR="00CE41B3" w:rsidRPr="002C0C73">
        <w:rPr>
          <w:rFonts w:ascii="Arial" w:hAnsi="Arial" w:cs="Arial"/>
          <w:bCs/>
          <w:u w:color="8EAADB" w:themeColor="accent5" w:themeTint="99"/>
        </w:rPr>
        <w:t xml:space="preserve">al INE </w:t>
      </w:r>
      <w:r w:rsidR="00543EC0">
        <w:rPr>
          <w:rFonts w:ascii="Arial" w:hAnsi="Arial" w:cs="Arial"/>
          <w:bCs/>
          <w:u w:color="8EAADB" w:themeColor="accent5" w:themeTint="99"/>
        </w:rPr>
        <w:t>que se pronuncie al respecto.</w:t>
      </w:r>
    </w:p>
    <w:p w:rsidR="000E0DA3" w:rsidRPr="002C0C73" w:rsidRDefault="000E0DA3" w:rsidP="000E0DA3">
      <w:pPr>
        <w:pStyle w:val="NormalWeb"/>
        <w:widowControl w:val="0"/>
        <w:shd w:val="clear" w:color="auto" w:fill="FFFFFF"/>
        <w:spacing w:line="360" w:lineRule="auto"/>
        <w:jc w:val="both"/>
        <w:rPr>
          <w:rFonts w:ascii="Arial" w:hAnsi="Arial" w:cs="Arial"/>
          <w:bCs/>
        </w:rPr>
      </w:pPr>
      <w:r w:rsidRPr="002C0C73">
        <w:rPr>
          <w:rFonts w:ascii="Arial" w:hAnsi="Arial" w:cs="Arial"/>
          <w:bCs/>
        </w:rPr>
        <w:t>Por tanto, en este momento, el acuerdo impugnado no le genera agravio alguno, en cuanto a este tema.</w:t>
      </w:r>
    </w:p>
    <w:p w:rsidR="00F5461C" w:rsidRPr="002C0C73" w:rsidRDefault="00D51B27" w:rsidP="00427BCC">
      <w:pPr>
        <w:pStyle w:val="NormalWeb"/>
        <w:widowControl w:val="0"/>
        <w:shd w:val="clear" w:color="auto" w:fill="FFFFFF"/>
        <w:spacing w:line="360" w:lineRule="auto"/>
        <w:jc w:val="both"/>
        <w:outlineLvl w:val="0"/>
        <w:rPr>
          <w:rFonts w:ascii="Arial" w:hAnsi="Arial" w:cs="Arial"/>
          <w:b/>
        </w:rPr>
      </w:pPr>
      <w:r w:rsidRPr="002C0C73">
        <w:rPr>
          <w:rFonts w:ascii="Arial" w:hAnsi="Arial" w:cs="Arial"/>
          <w:b/>
        </w:rPr>
        <w:t>Quinto tema</w:t>
      </w:r>
      <w:r w:rsidR="00870BC0" w:rsidRPr="002C0C73">
        <w:rPr>
          <w:rFonts w:ascii="Arial" w:hAnsi="Arial" w:cs="Arial"/>
          <w:b/>
        </w:rPr>
        <w:t xml:space="preserve">. </w:t>
      </w:r>
      <w:r w:rsidR="00427BCC" w:rsidRPr="002C0C73">
        <w:rPr>
          <w:rFonts w:ascii="Arial" w:hAnsi="Arial" w:cs="Arial"/>
          <w:b/>
        </w:rPr>
        <w:t>Procedimiento sumario de resolución (</w:t>
      </w:r>
      <w:r w:rsidR="00FE5DD0" w:rsidRPr="002C0C73">
        <w:rPr>
          <w:rFonts w:ascii="Arial" w:hAnsi="Arial" w:cs="Arial"/>
          <w:b/>
        </w:rPr>
        <w:t>JDC-747</w:t>
      </w:r>
      <w:r w:rsidR="00427BCC" w:rsidRPr="002C0C73">
        <w:rPr>
          <w:rFonts w:ascii="Arial" w:hAnsi="Arial" w:cs="Arial"/>
          <w:b/>
        </w:rPr>
        <w:t xml:space="preserve"> de OES y </w:t>
      </w:r>
      <w:r w:rsidR="00F5461C" w:rsidRPr="002C0C73">
        <w:rPr>
          <w:rFonts w:ascii="Arial" w:hAnsi="Arial" w:cs="Arial"/>
          <w:b/>
        </w:rPr>
        <w:t>JDC-749</w:t>
      </w:r>
      <w:r w:rsidR="00427BCC" w:rsidRPr="002C0C73">
        <w:rPr>
          <w:rFonts w:ascii="Arial" w:hAnsi="Arial" w:cs="Arial"/>
          <w:b/>
        </w:rPr>
        <w:t xml:space="preserve"> de LRD</w:t>
      </w:r>
      <w:r w:rsidR="00F5461C" w:rsidRPr="002C0C73">
        <w:rPr>
          <w:rFonts w:ascii="Arial" w:hAnsi="Arial" w:cs="Arial"/>
          <w:b/>
        </w:rPr>
        <w:t>)</w:t>
      </w:r>
      <w:bookmarkEnd w:id="31"/>
    </w:p>
    <w:p w:rsidR="00F14C5B" w:rsidRPr="002C0C73" w:rsidRDefault="00427BCC"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t>I.</w:t>
      </w:r>
      <w:r w:rsidR="00F14C5B" w:rsidRPr="002C0C73">
        <w:rPr>
          <w:rFonts w:ascii="Arial" w:hAnsi="Arial" w:cs="Arial"/>
          <w:b/>
        </w:rPr>
        <w:t xml:space="preserve"> Planteamiento</w:t>
      </w:r>
      <w:r w:rsidRPr="002C0C73">
        <w:rPr>
          <w:rFonts w:ascii="Arial" w:hAnsi="Arial" w:cs="Arial"/>
          <w:b/>
        </w:rPr>
        <w:t>s</w:t>
      </w:r>
      <w:r w:rsidR="00F14C5B" w:rsidRPr="002C0C73">
        <w:rPr>
          <w:rFonts w:ascii="Arial" w:hAnsi="Arial" w:cs="Arial"/>
          <w:b/>
        </w:rPr>
        <w:t xml:space="preserve"> </w:t>
      </w:r>
    </w:p>
    <w:p w:rsidR="00F14C5B" w:rsidRPr="002C0C73" w:rsidRDefault="00427BC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A</w:t>
      </w:r>
      <w:r w:rsidR="00F14C5B" w:rsidRPr="002C0C73">
        <w:rPr>
          <w:rFonts w:ascii="Arial" w:hAnsi="Arial" w:cs="Arial"/>
          <w:bCs/>
        </w:rPr>
        <w:t>rgumenta</w:t>
      </w:r>
      <w:r w:rsidRPr="002C0C73">
        <w:rPr>
          <w:rFonts w:ascii="Arial" w:hAnsi="Arial" w:cs="Arial"/>
          <w:bCs/>
        </w:rPr>
        <w:t>n</w:t>
      </w:r>
      <w:r w:rsidR="00F14C5B" w:rsidRPr="002C0C73">
        <w:rPr>
          <w:rFonts w:ascii="Arial" w:hAnsi="Arial" w:cs="Arial"/>
          <w:bCs/>
        </w:rPr>
        <w:t xml:space="preserve"> que </w:t>
      </w:r>
      <w:r w:rsidRPr="002C0C73">
        <w:rPr>
          <w:rFonts w:ascii="Arial" w:hAnsi="Arial" w:cs="Arial"/>
          <w:bCs/>
        </w:rPr>
        <w:t xml:space="preserve">el CG del INE </w:t>
      </w:r>
      <w:r w:rsidR="00F14C5B" w:rsidRPr="002C0C73">
        <w:rPr>
          <w:rFonts w:ascii="Arial" w:hAnsi="Arial" w:cs="Arial"/>
          <w:bCs/>
        </w:rPr>
        <w:t>aprobó la creación de un procedimiento sumario para el conocimiento y</w:t>
      </w:r>
      <w:r w:rsidRPr="002C0C73">
        <w:rPr>
          <w:rFonts w:ascii="Arial" w:hAnsi="Arial" w:cs="Arial"/>
          <w:bCs/>
        </w:rPr>
        <w:t xml:space="preserve"> </w:t>
      </w:r>
      <w:r w:rsidR="00F14C5B" w:rsidRPr="002C0C73">
        <w:rPr>
          <w:rFonts w:ascii="Arial" w:hAnsi="Arial" w:cs="Arial"/>
          <w:bCs/>
        </w:rPr>
        <w:t xml:space="preserve">sanción de infracciones relacionadas con </w:t>
      </w:r>
      <w:r w:rsidR="00BA286A" w:rsidRPr="002C0C73">
        <w:rPr>
          <w:rFonts w:ascii="Arial" w:hAnsi="Arial" w:cs="Arial"/>
          <w:bCs/>
        </w:rPr>
        <w:t xml:space="preserve">la </w:t>
      </w:r>
      <w:r w:rsidR="00F14C5B" w:rsidRPr="002C0C73">
        <w:rPr>
          <w:rFonts w:ascii="Arial" w:hAnsi="Arial" w:cs="Arial"/>
          <w:bCs/>
        </w:rPr>
        <w:t xml:space="preserve">constitución de </w:t>
      </w:r>
      <w:r w:rsidR="00BA286A" w:rsidRPr="002C0C73">
        <w:rPr>
          <w:rFonts w:ascii="Arial" w:hAnsi="Arial" w:cs="Arial"/>
          <w:bCs/>
        </w:rPr>
        <w:t>PPN</w:t>
      </w:r>
      <w:r w:rsidR="00F14C5B" w:rsidRPr="002C0C73">
        <w:rPr>
          <w:rFonts w:ascii="Arial" w:hAnsi="Arial" w:cs="Arial"/>
          <w:bCs/>
        </w:rPr>
        <w:t>.</w:t>
      </w:r>
    </w:p>
    <w:p w:rsidR="00F14C5B" w:rsidRPr="002C0C73" w:rsidRDefault="00BA286A"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su concepto, el CG del INE </w:t>
      </w:r>
      <w:r w:rsidR="00F14C5B" w:rsidRPr="002C0C73">
        <w:rPr>
          <w:rFonts w:ascii="Arial" w:hAnsi="Arial" w:cs="Arial"/>
          <w:bCs/>
        </w:rPr>
        <w:t xml:space="preserve">pretende crear un procedimiento “ad-hoc” para resolver el conjunto de quejas, </w:t>
      </w:r>
      <w:bookmarkStart w:id="32" w:name="_Hlk42897654"/>
      <w:r w:rsidR="00F14C5B" w:rsidRPr="002C0C73">
        <w:rPr>
          <w:rFonts w:ascii="Arial" w:hAnsi="Arial" w:cs="Arial"/>
          <w:bCs/>
        </w:rPr>
        <w:t>sin pasar por todas las etapas que exige el procedimiento ordinario sancionador</w:t>
      </w:r>
      <w:bookmarkEnd w:id="32"/>
      <w:r w:rsidRPr="002C0C73">
        <w:rPr>
          <w:rFonts w:ascii="Arial" w:hAnsi="Arial" w:cs="Arial"/>
          <w:bCs/>
        </w:rPr>
        <w:t xml:space="preserve"> y</w:t>
      </w:r>
      <w:r w:rsidR="00F14C5B" w:rsidRPr="002C0C73">
        <w:rPr>
          <w:rFonts w:ascii="Arial" w:hAnsi="Arial" w:cs="Arial"/>
          <w:bCs/>
        </w:rPr>
        <w:t xml:space="preserve"> limita el derecho de audiencia.</w:t>
      </w:r>
    </w:p>
    <w:p w:rsidR="00F14C5B" w:rsidRPr="002C0C73" w:rsidRDefault="00BA286A"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t xml:space="preserve">II. </w:t>
      </w:r>
      <w:r w:rsidR="00F14C5B" w:rsidRPr="002C0C73">
        <w:rPr>
          <w:rFonts w:ascii="Arial" w:hAnsi="Arial" w:cs="Arial"/>
          <w:b/>
        </w:rPr>
        <w:t>Decisión</w:t>
      </w:r>
    </w:p>
    <w:p w:rsidR="00F14C5B" w:rsidRPr="002C0C73" w:rsidRDefault="00BA286A"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Los planteamientos</w:t>
      </w:r>
      <w:r w:rsidR="00F14C5B" w:rsidRPr="002C0C73">
        <w:rPr>
          <w:rFonts w:ascii="Arial" w:hAnsi="Arial" w:cs="Arial"/>
          <w:bCs/>
        </w:rPr>
        <w:t>, en suplencia de l</w:t>
      </w:r>
      <w:r w:rsidRPr="002C0C73">
        <w:rPr>
          <w:rFonts w:ascii="Arial" w:hAnsi="Arial" w:cs="Arial"/>
          <w:bCs/>
        </w:rPr>
        <w:t>os argumentos</w:t>
      </w:r>
      <w:r w:rsidR="00F14C5B" w:rsidRPr="002C0C73">
        <w:rPr>
          <w:rFonts w:ascii="Arial" w:hAnsi="Arial" w:cs="Arial"/>
          <w:bCs/>
        </w:rPr>
        <w:t>,</w:t>
      </w:r>
      <w:r w:rsidR="00F14C5B" w:rsidRPr="002C0C73">
        <w:rPr>
          <w:rStyle w:val="Refdenotaalpie"/>
          <w:rFonts w:ascii="Arial" w:hAnsi="Arial" w:cs="Arial"/>
          <w:bCs/>
        </w:rPr>
        <w:footnoteReference w:id="75"/>
      </w:r>
      <w:r w:rsidR="00F14C5B" w:rsidRPr="002C0C73">
        <w:rPr>
          <w:rFonts w:ascii="Arial" w:hAnsi="Arial" w:cs="Arial"/>
          <w:bCs/>
        </w:rPr>
        <w:t xml:space="preserve"> es </w:t>
      </w:r>
      <w:r w:rsidR="00F14C5B" w:rsidRPr="002C0C73">
        <w:rPr>
          <w:rFonts w:ascii="Arial" w:hAnsi="Arial" w:cs="Arial"/>
          <w:b/>
        </w:rPr>
        <w:t>parcialmente fundado</w:t>
      </w:r>
      <w:r w:rsidR="00F14C5B" w:rsidRPr="002C0C73">
        <w:rPr>
          <w:rFonts w:ascii="Arial" w:hAnsi="Arial" w:cs="Arial"/>
          <w:bCs/>
        </w:rPr>
        <w:t>, porque los plazos otorgados en beneficio de las partes no pueden ser reducidos o limitados por la autoridad.</w:t>
      </w:r>
    </w:p>
    <w:p w:rsidR="00F14C5B" w:rsidRPr="002C0C73" w:rsidRDefault="00BA286A"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t>III.</w:t>
      </w:r>
      <w:r w:rsidR="00F14C5B" w:rsidRPr="002C0C73">
        <w:rPr>
          <w:rFonts w:ascii="Arial" w:hAnsi="Arial" w:cs="Arial"/>
          <w:b/>
        </w:rPr>
        <w:t xml:space="preserve"> Justificación</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La Constitución</w:t>
      </w:r>
      <w:r w:rsidRPr="002C0C73">
        <w:rPr>
          <w:rStyle w:val="Refdenotaalpie"/>
          <w:rFonts w:ascii="Arial" w:hAnsi="Arial" w:cs="Arial"/>
          <w:bCs/>
        </w:rPr>
        <w:footnoteReference w:id="76"/>
      </w:r>
      <w:r w:rsidRPr="002C0C73">
        <w:rPr>
          <w:rFonts w:ascii="Arial" w:hAnsi="Arial" w:cs="Arial"/>
          <w:bCs/>
        </w:rPr>
        <w:t xml:space="preserve"> establece, como un derecho fundamental, el de audiencia, el cual consiste en otorgar al gobernado la oportunidad de defensa previamente al acto privativo de</w:t>
      </w:r>
      <w:r w:rsidR="00BA286A" w:rsidRPr="002C0C73">
        <w:rPr>
          <w:rFonts w:ascii="Arial" w:hAnsi="Arial" w:cs="Arial"/>
          <w:bCs/>
        </w:rPr>
        <w:t>l derecho</w:t>
      </w:r>
      <w:r w:rsidRPr="002C0C73">
        <w:rPr>
          <w:rFonts w:ascii="Arial" w:hAnsi="Arial" w:cs="Arial"/>
          <w:bCs/>
        </w:rPr>
        <w:t>.</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Así, </w:t>
      </w:r>
      <w:r w:rsidRPr="002C0C73">
        <w:rPr>
          <w:rFonts w:ascii="Arial" w:hAnsi="Arial" w:cs="Arial"/>
          <w:b/>
          <w:bCs/>
        </w:rPr>
        <w:t>su debido respeto impone a las autoridades</w:t>
      </w:r>
      <w:r w:rsidRPr="002C0C73">
        <w:rPr>
          <w:rFonts w:ascii="Arial" w:hAnsi="Arial" w:cs="Arial"/>
          <w:bCs/>
        </w:rPr>
        <w:t>, entre otr</w:t>
      </w:r>
      <w:r w:rsidR="00BA286A" w:rsidRPr="002C0C73">
        <w:rPr>
          <w:rFonts w:ascii="Arial" w:hAnsi="Arial" w:cs="Arial"/>
          <w:bCs/>
        </w:rPr>
        <w:t>os deberes</w:t>
      </w:r>
      <w:r w:rsidRPr="002C0C73">
        <w:rPr>
          <w:rFonts w:ascii="Arial" w:hAnsi="Arial" w:cs="Arial"/>
          <w:bCs/>
        </w:rPr>
        <w:t>, a que en el juicio "</w:t>
      </w:r>
      <w:r w:rsidRPr="002C0C73">
        <w:rPr>
          <w:rFonts w:ascii="Arial" w:hAnsi="Arial" w:cs="Arial"/>
          <w:bCs/>
          <w:i/>
        </w:rPr>
        <w:t>se cumplan las formalidades esenciales del procedimiento</w:t>
      </w:r>
      <w:r w:rsidRPr="002C0C73">
        <w:rPr>
          <w:rFonts w:ascii="Arial" w:hAnsi="Arial" w:cs="Arial"/>
          <w:bCs/>
        </w:rPr>
        <w:t>".</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De lo anterior, se concluye que es obligación de </w:t>
      </w:r>
      <w:r w:rsidRPr="002C0C73">
        <w:rPr>
          <w:rFonts w:ascii="Arial" w:hAnsi="Arial" w:cs="Arial"/>
          <w:b/>
          <w:bCs/>
        </w:rPr>
        <w:t>todas las autoridades</w:t>
      </w:r>
      <w:r w:rsidRPr="002C0C73">
        <w:rPr>
          <w:rFonts w:ascii="Arial" w:hAnsi="Arial" w:cs="Arial"/>
          <w:bCs/>
        </w:rPr>
        <w:t xml:space="preserve"> vigilar </w:t>
      </w:r>
      <w:r w:rsidR="00BA286A" w:rsidRPr="002C0C73">
        <w:rPr>
          <w:rFonts w:ascii="Arial" w:hAnsi="Arial" w:cs="Arial"/>
          <w:bCs/>
        </w:rPr>
        <w:t xml:space="preserve">el cumplimiento de </w:t>
      </w:r>
      <w:r w:rsidRPr="002C0C73">
        <w:rPr>
          <w:rFonts w:ascii="Arial" w:hAnsi="Arial" w:cs="Arial"/>
          <w:bCs/>
        </w:rPr>
        <w:t xml:space="preserve">las formalidades esenciales del procedimiento, cuando </w:t>
      </w:r>
      <w:r w:rsidRPr="002C0C73">
        <w:rPr>
          <w:rFonts w:ascii="Arial" w:hAnsi="Arial" w:cs="Arial"/>
          <w:bCs/>
        </w:rPr>
        <w:lastRenderedPageBreak/>
        <w:t>éstas puedan emitir actos privativos de derechos.</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lang w:val="es-ES"/>
        </w:rPr>
        <w:t xml:space="preserve">En el caso, </w:t>
      </w:r>
      <w:r w:rsidR="00BA286A" w:rsidRPr="002C0C73">
        <w:rPr>
          <w:rFonts w:ascii="Arial" w:hAnsi="Arial" w:cs="Arial"/>
          <w:bCs/>
          <w:lang w:val="es-ES"/>
        </w:rPr>
        <w:t xml:space="preserve">se </w:t>
      </w:r>
      <w:r w:rsidRPr="002C0C73">
        <w:rPr>
          <w:rFonts w:ascii="Arial" w:hAnsi="Arial" w:cs="Arial"/>
          <w:bCs/>
          <w:lang w:val="es-ES"/>
        </w:rPr>
        <w:t xml:space="preserve">argumenta que </w:t>
      </w:r>
      <w:r w:rsidR="00BA286A" w:rsidRPr="002C0C73">
        <w:rPr>
          <w:rFonts w:ascii="Arial" w:hAnsi="Arial" w:cs="Arial"/>
          <w:bCs/>
          <w:lang w:val="es-ES"/>
        </w:rPr>
        <w:t xml:space="preserve">el CG del INE </w:t>
      </w:r>
      <w:r w:rsidRPr="002C0C73">
        <w:rPr>
          <w:rFonts w:ascii="Arial" w:hAnsi="Arial" w:cs="Arial"/>
          <w:bCs/>
          <w:lang w:val="es-ES"/>
        </w:rPr>
        <w:t xml:space="preserve">al crear el aludido procedimiento sumario </w:t>
      </w:r>
      <w:r w:rsidR="00BA286A" w:rsidRPr="002C0C73">
        <w:rPr>
          <w:rFonts w:ascii="Arial" w:hAnsi="Arial" w:cs="Arial"/>
          <w:bCs/>
          <w:lang w:val="es-ES"/>
        </w:rPr>
        <w:t xml:space="preserve">omite pasar </w:t>
      </w:r>
      <w:r w:rsidRPr="002C0C73">
        <w:rPr>
          <w:rFonts w:ascii="Arial" w:hAnsi="Arial" w:cs="Arial"/>
          <w:bCs/>
          <w:lang w:val="es-ES"/>
        </w:rPr>
        <w:t xml:space="preserve">por </w:t>
      </w:r>
      <w:r w:rsidRPr="002C0C73">
        <w:rPr>
          <w:rFonts w:ascii="Arial" w:hAnsi="Arial" w:cs="Arial"/>
          <w:bCs/>
        </w:rPr>
        <w:t xml:space="preserve">todas las etapas que exige el procedimiento ordinario sancionador. Sin embargo, </w:t>
      </w:r>
      <w:r w:rsidRPr="002C0C73">
        <w:rPr>
          <w:rFonts w:ascii="Arial" w:hAnsi="Arial" w:cs="Arial"/>
          <w:b/>
        </w:rPr>
        <w:t>no le asiste razón</w:t>
      </w:r>
      <w:r w:rsidRPr="002C0C73">
        <w:rPr>
          <w:rFonts w:ascii="Arial" w:hAnsi="Arial" w:cs="Arial"/>
          <w:bCs/>
        </w:rPr>
        <w:t xml:space="preserve"> conforme a lo siguiente:</w:t>
      </w:r>
    </w:p>
    <w:tbl>
      <w:tblPr>
        <w:tblStyle w:val="Tablaconcuadrcula"/>
        <w:tblW w:w="0" w:type="auto"/>
        <w:tblLook w:val="04A0" w:firstRow="1" w:lastRow="0" w:firstColumn="1" w:lastColumn="0" w:noHBand="0" w:noVBand="1"/>
      </w:tblPr>
      <w:tblGrid>
        <w:gridCol w:w="662"/>
        <w:gridCol w:w="2877"/>
        <w:gridCol w:w="2624"/>
        <w:gridCol w:w="2097"/>
      </w:tblGrid>
      <w:tr w:rsidR="00F14C5B" w:rsidRPr="002C0C73" w:rsidTr="00BA286A">
        <w:trPr>
          <w:tblHeader/>
        </w:trPr>
        <w:tc>
          <w:tcPr>
            <w:tcW w:w="662" w:type="dxa"/>
            <w:shd w:val="clear" w:color="auto" w:fill="C9C9C9" w:themeFill="accent3" w:themeFillTint="99"/>
            <w:vAlign w:val="center"/>
          </w:tcPr>
          <w:p w:rsidR="00F14C5B" w:rsidRPr="002C0C73" w:rsidRDefault="00F14C5B" w:rsidP="00BA286A">
            <w:pPr>
              <w:pStyle w:val="NormalWeb"/>
              <w:widowControl w:val="0"/>
              <w:spacing w:before="0" w:beforeAutospacing="0" w:after="0" w:afterAutospacing="0"/>
              <w:jc w:val="center"/>
              <w:rPr>
                <w:rFonts w:ascii="Arial" w:hAnsi="Arial" w:cs="Arial"/>
                <w:b/>
                <w:bCs/>
                <w:sz w:val="18"/>
                <w:szCs w:val="18"/>
              </w:rPr>
            </w:pPr>
            <w:r w:rsidRPr="002C0C73">
              <w:rPr>
                <w:rFonts w:ascii="Arial" w:hAnsi="Arial" w:cs="Arial"/>
                <w:b/>
                <w:bCs/>
                <w:sz w:val="18"/>
                <w:szCs w:val="18"/>
              </w:rPr>
              <w:t>N°</w:t>
            </w:r>
          </w:p>
        </w:tc>
        <w:tc>
          <w:tcPr>
            <w:tcW w:w="2877" w:type="dxa"/>
            <w:shd w:val="clear" w:color="auto" w:fill="C9C9C9" w:themeFill="accent3" w:themeFillTint="99"/>
            <w:vAlign w:val="center"/>
          </w:tcPr>
          <w:p w:rsidR="00F14C5B" w:rsidRPr="002C0C73" w:rsidRDefault="00F14C5B" w:rsidP="00BA286A">
            <w:pPr>
              <w:pStyle w:val="NormalWeb"/>
              <w:widowControl w:val="0"/>
              <w:spacing w:before="0" w:beforeAutospacing="0" w:after="0" w:afterAutospacing="0"/>
              <w:jc w:val="center"/>
              <w:rPr>
                <w:rFonts w:ascii="Arial" w:hAnsi="Arial" w:cs="Arial"/>
                <w:b/>
                <w:bCs/>
                <w:sz w:val="18"/>
                <w:szCs w:val="18"/>
              </w:rPr>
            </w:pPr>
            <w:r w:rsidRPr="002C0C73">
              <w:rPr>
                <w:rFonts w:ascii="Arial" w:hAnsi="Arial" w:cs="Arial"/>
                <w:b/>
                <w:bCs/>
                <w:sz w:val="18"/>
                <w:szCs w:val="18"/>
              </w:rPr>
              <w:t>Etapa o diligencia</w:t>
            </w:r>
          </w:p>
        </w:tc>
        <w:tc>
          <w:tcPr>
            <w:tcW w:w="2624" w:type="dxa"/>
            <w:shd w:val="clear" w:color="auto" w:fill="C9C9C9" w:themeFill="accent3" w:themeFillTint="99"/>
            <w:vAlign w:val="center"/>
          </w:tcPr>
          <w:p w:rsidR="00F14C5B" w:rsidRPr="002C0C73" w:rsidRDefault="00F14C5B" w:rsidP="00BA286A">
            <w:pPr>
              <w:pStyle w:val="NormalWeb"/>
              <w:widowControl w:val="0"/>
              <w:spacing w:before="0" w:beforeAutospacing="0" w:after="0" w:afterAutospacing="0"/>
              <w:jc w:val="center"/>
              <w:rPr>
                <w:rFonts w:ascii="Arial" w:hAnsi="Arial" w:cs="Arial"/>
                <w:b/>
                <w:bCs/>
                <w:sz w:val="18"/>
                <w:szCs w:val="18"/>
              </w:rPr>
            </w:pPr>
            <w:r w:rsidRPr="002C0C73">
              <w:rPr>
                <w:rFonts w:ascii="Arial" w:hAnsi="Arial" w:cs="Arial"/>
                <w:b/>
                <w:bCs/>
                <w:sz w:val="18"/>
                <w:szCs w:val="18"/>
              </w:rPr>
              <w:t>Procedimiento ordinario</w:t>
            </w:r>
            <w:r w:rsidR="00BA286A" w:rsidRPr="002C0C73">
              <w:rPr>
                <w:rFonts w:ascii="Arial" w:hAnsi="Arial" w:cs="Arial"/>
                <w:b/>
                <w:bCs/>
                <w:sz w:val="18"/>
                <w:szCs w:val="18"/>
              </w:rPr>
              <w:t xml:space="preserve"> </w:t>
            </w:r>
          </w:p>
        </w:tc>
        <w:tc>
          <w:tcPr>
            <w:tcW w:w="2097" w:type="dxa"/>
            <w:shd w:val="clear" w:color="auto" w:fill="C9C9C9" w:themeFill="accent3" w:themeFillTint="99"/>
            <w:vAlign w:val="center"/>
          </w:tcPr>
          <w:p w:rsidR="00F14C5B" w:rsidRPr="002C0C73" w:rsidRDefault="00F14C5B" w:rsidP="00BA286A">
            <w:pPr>
              <w:pStyle w:val="NormalWeb"/>
              <w:widowControl w:val="0"/>
              <w:spacing w:before="0" w:beforeAutospacing="0" w:after="0" w:afterAutospacing="0"/>
              <w:jc w:val="center"/>
              <w:rPr>
                <w:rFonts w:ascii="Arial" w:hAnsi="Arial" w:cs="Arial"/>
                <w:b/>
                <w:bCs/>
                <w:sz w:val="18"/>
                <w:szCs w:val="18"/>
              </w:rPr>
            </w:pPr>
            <w:r w:rsidRPr="002C0C73">
              <w:rPr>
                <w:rFonts w:ascii="Arial" w:hAnsi="Arial" w:cs="Arial"/>
                <w:b/>
                <w:bCs/>
                <w:sz w:val="18"/>
                <w:szCs w:val="18"/>
              </w:rPr>
              <w:t>Procedimiento sumario</w:t>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Recepción.</w:t>
            </w:r>
            <w:r w:rsidRPr="002C0C73">
              <w:rPr>
                <w:rFonts w:ascii="Arial" w:hAnsi="Arial" w:cs="Arial"/>
                <w:sz w:val="18"/>
                <w:szCs w:val="18"/>
              </w:rPr>
              <w:t xml:space="preserve"> Plazo para que, cualquier autoridad que reciba la queja, la remita a la UTCE</w:t>
            </w:r>
          </w:p>
        </w:tc>
        <w:tc>
          <w:tcPr>
            <w:tcW w:w="2624"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48 horas</w:t>
            </w:r>
            <w:r w:rsidRPr="002C0C73">
              <w:rPr>
                <w:rStyle w:val="Refdenotaalpie"/>
                <w:rFonts w:ascii="Arial" w:hAnsi="Arial" w:cs="Arial"/>
                <w:sz w:val="18"/>
                <w:szCs w:val="18"/>
              </w:rPr>
              <w:footnoteReference w:id="77"/>
            </w:r>
          </w:p>
        </w:tc>
        <w:tc>
          <w:tcPr>
            <w:tcW w:w="2097"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De inmediato</w:t>
            </w:r>
            <w:r w:rsidRPr="002C0C73">
              <w:rPr>
                <w:rStyle w:val="Refdenotaalpie"/>
                <w:rFonts w:ascii="Arial" w:hAnsi="Arial" w:cs="Arial"/>
                <w:sz w:val="18"/>
                <w:szCs w:val="18"/>
              </w:rPr>
              <w:footnoteReference w:id="78"/>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Prevención.</w:t>
            </w:r>
            <w:r w:rsidRPr="002C0C73">
              <w:rPr>
                <w:rFonts w:ascii="Arial" w:hAnsi="Arial" w:cs="Arial"/>
                <w:sz w:val="18"/>
                <w:szCs w:val="18"/>
              </w:rPr>
              <w:t xml:space="preserve"> Plazo para aclarar la queja o denuncia o subsanar algún requisito</w:t>
            </w:r>
          </w:p>
        </w:tc>
        <w:tc>
          <w:tcPr>
            <w:tcW w:w="2624"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3 días</w:t>
            </w:r>
            <w:r w:rsidRPr="002C0C73">
              <w:rPr>
                <w:rStyle w:val="Refdenotaalpie"/>
                <w:rFonts w:ascii="Arial" w:hAnsi="Arial" w:cs="Arial"/>
                <w:sz w:val="18"/>
                <w:szCs w:val="18"/>
              </w:rPr>
              <w:footnoteReference w:id="79"/>
            </w:r>
          </w:p>
        </w:tc>
        <w:tc>
          <w:tcPr>
            <w:tcW w:w="209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1 día</w:t>
            </w:r>
            <w:r w:rsidRPr="002C0C73">
              <w:rPr>
                <w:rStyle w:val="Refdenotaalpie"/>
                <w:rFonts w:ascii="Arial" w:hAnsi="Arial" w:cs="Arial"/>
                <w:sz w:val="18"/>
                <w:szCs w:val="18"/>
              </w:rPr>
              <w:footnoteReference w:id="80"/>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 xml:space="preserve">Desechamiento o admisión y emplazamiento. </w:t>
            </w:r>
            <w:r w:rsidRPr="002C0C73">
              <w:rPr>
                <w:rFonts w:ascii="Arial" w:hAnsi="Arial" w:cs="Arial"/>
                <w:sz w:val="18"/>
                <w:szCs w:val="18"/>
              </w:rPr>
              <w:t>Plazo para iniciar o no el procedimiento</w:t>
            </w:r>
          </w:p>
        </w:tc>
        <w:tc>
          <w:tcPr>
            <w:tcW w:w="2624"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5 días</w:t>
            </w:r>
            <w:r w:rsidRPr="002C0C73">
              <w:rPr>
                <w:rStyle w:val="Refdenotaalpie"/>
                <w:rFonts w:ascii="Arial" w:hAnsi="Arial" w:cs="Arial"/>
                <w:sz w:val="18"/>
                <w:szCs w:val="18"/>
              </w:rPr>
              <w:footnoteReference w:id="81"/>
            </w:r>
          </w:p>
        </w:tc>
        <w:tc>
          <w:tcPr>
            <w:tcW w:w="2097"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3 días</w:t>
            </w:r>
            <w:r w:rsidRPr="002C0C73">
              <w:rPr>
                <w:rStyle w:val="Refdenotaalpie"/>
                <w:rFonts w:ascii="Arial" w:hAnsi="Arial" w:cs="Arial"/>
                <w:sz w:val="18"/>
                <w:szCs w:val="18"/>
              </w:rPr>
              <w:footnoteReference w:id="82"/>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Tramitación o sustanciación.</w:t>
            </w:r>
            <w:r w:rsidRPr="002C0C73">
              <w:rPr>
                <w:rFonts w:ascii="Arial" w:hAnsi="Arial" w:cs="Arial"/>
                <w:sz w:val="18"/>
                <w:szCs w:val="18"/>
              </w:rPr>
              <w:t xml:space="preserve"> Plazo para llevar a cabo diligencias de investigación</w:t>
            </w:r>
          </w:p>
        </w:tc>
        <w:tc>
          <w:tcPr>
            <w:tcW w:w="2624"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40 días</w:t>
            </w:r>
            <w:r w:rsidRPr="002C0C73">
              <w:rPr>
                <w:rStyle w:val="Refdenotaalpie"/>
                <w:rFonts w:ascii="Arial" w:hAnsi="Arial" w:cs="Arial"/>
                <w:sz w:val="18"/>
                <w:szCs w:val="18"/>
              </w:rPr>
              <w:footnoteReference w:id="83"/>
            </w:r>
          </w:p>
        </w:tc>
        <w:tc>
          <w:tcPr>
            <w:tcW w:w="2097"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10 días</w:t>
            </w:r>
            <w:r w:rsidRPr="002C0C73">
              <w:rPr>
                <w:rStyle w:val="Refdenotaalpie"/>
                <w:rFonts w:ascii="Arial" w:hAnsi="Arial" w:cs="Arial"/>
                <w:sz w:val="18"/>
                <w:szCs w:val="18"/>
              </w:rPr>
              <w:footnoteReference w:id="84"/>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Defensa.</w:t>
            </w:r>
            <w:r w:rsidRPr="002C0C73">
              <w:rPr>
                <w:rFonts w:ascii="Arial" w:hAnsi="Arial" w:cs="Arial"/>
                <w:sz w:val="18"/>
                <w:szCs w:val="18"/>
              </w:rPr>
              <w:t xml:space="preserve"> Plazo para desahogar el emplazamiento</w:t>
            </w:r>
          </w:p>
        </w:tc>
        <w:tc>
          <w:tcPr>
            <w:tcW w:w="2624"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5 días</w:t>
            </w:r>
            <w:r w:rsidRPr="002C0C73">
              <w:rPr>
                <w:rStyle w:val="Refdenotaalpie"/>
                <w:rFonts w:ascii="Arial" w:hAnsi="Arial" w:cs="Arial"/>
                <w:sz w:val="18"/>
                <w:szCs w:val="18"/>
              </w:rPr>
              <w:footnoteReference w:id="85"/>
            </w:r>
          </w:p>
        </w:tc>
        <w:tc>
          <w:tcPr>
            <w:tcW w:w="209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3 días</w:t>
            </w:r>
            <w:r w:rsidRPr="002C0C73">
              <w:rPr>
                <w:rStyle w:val="Refdenotaalpie"/>
                <w:rFonts w:ascii="Arial" w:hAnsi="Arial" w:cs="Arial"/>
                <w:sz w:val="18"/>
                <w:szCs w:val="18"/>
              </w:rPr>
              <w:footnoteReference w:id="86"/>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Alegatos.</w:t>
            </w:r>
            <w:r w:rsidRPr="002C0C73">
              <w:rPr>
                <w:rFonts w:ascii="Arial" w:hAnsi="Arial" w:cs="Arial"/>
                <w:sz w:val="18"/>
                <w:szCs w:val="18"/>
              </w:rPr>
              <w:t xml:space="preserve"> Plazo para expresar alegatos</w:t>
            </w:r>
          </w:p>
        </w:tc>
        <w:tc>
          <w:tcPr>
            <w:tcW w:w="2624"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5 días</w:t>
            </w:r>
            <w:r w:rsidRPr="002C0C73">
              <w:rPr>
                <w:rStyle w:val="Refdenotaalpie"/>
                <w:rFonts w:ascii="Arial" w:hAnsi="Arial" w:cs="Arial"/>
                <w:sz w:val="18"/>
                <w:szCs w:val="18"/>
              </w:rPr>
              <w:footnoteReference w:id="87"/>
            </w:r>
          </w:p>
        </w:tc>
        <w:tc>
          <w:tcPr>
            <w:tcW w:w="209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3 días</w:t>
            </w:r>
            <w:r w:rsidRPr="002C0C73">
              <w:rPr>
                <w:rStyle w:val="Refdenotaalpie"/>
                <w:rFonts w:ascii="Arial" w:hAnsi="Arial" w:cs="Arial"/>
                <w:sz w:val="18"/>
                <w:szCs w:val="18"/>
              </w:rPr>
              <w:footnoteReference w:id="88"/>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Prueba superveniente.</w:t>
            </w:r>
            <w:r w:rsidRPr="002C0C73">
              <w:rPr>
                <w:rFonts w:ascii="Arial" w:hAnsi="Arial" w:cs="Arial"/>
                <w:sz w:val="18"/>
                <w:szCs w:val="18"/>
              </w:rPr>
              <w:t xml:space="preserve"> Plazo para desahogar la vista sobre una prueba superveniente</w:t>
            </w:r>
          </w:p>
        </w:tc>
        <w:tc>
          <w:tcPr>
            <w:tcW w:w="2624"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5 días</w:t>
            </w:r>
            <w:r w:rsidRPr="002C0C73">
              <w:rPr>
                <w:rStyle w:val="Refdenotaalpie"/>
                <w:rFonts w:ascii="Arial" w:hAnsi="Arial" w:cs="Arial"/>
                <w:sz w:val="18"/>
                <w:szCs w:val="18"/>
              </w:rPr>
              <w:footnoteReference w:id="89"/>
            </w:r>
          </w:p>
        </w:tc>
        <w:tc>
          <w:tcPr>
            <w:tcW w:w="2097" w:type="dxa"/>
            <w:shd w:val="clear" w:color="auto" w:fill="E2EFD9" w:themeFill="accent6" w:themeFillTint="33"/>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2 días</w:t>
            </w:r>
            <w:r w:rsidRPr="002C0C73">
              <w:rPr>
                <w:rStyle w:val="Refdenotaalpie"/>
                <w:rFonts w:ascii="Arial" w:hAnsi="Arial" w:cs="Arial"/>
                <w:sz w:val="18"/>
                <w:szCs w:val="18"/>
              </w:rPr>
              <w:footnoteReference w:id="90"/>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Proyecto.</w:t>
            </w:r>
            <w:r w:rsidRPr="002C0C73">
              <w:rPr>
                <w:rFonts w:ascii="Arial" w:hAnsi="Arial" w:cs="Arial"/>
                <w:sz w:val="18"/>
                <w:szCs w:val="18"/>
              </w:rPr>
              <w:t xml:space="preserve"> Plazo para elaborar el proyecto de resolución</w:t>
            </w:r>
          </w:p>
        </w:tc>
        <w:tc>
          <w:tcPr>
            <w:tcW w:w="2624"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10 días</w:t>
            </w:r>
            <w:r w:rsidRPr="002C0C73">
              <w:rPr>
                <w:rStyle w:val="Refdenotaalpie"/>
                <w:rFonts w:ascii="Arial" w:hAnsi="Arial" w:cs="Arial"/>
                <w:sz w:val="18"/>
                <w:szCs w:val="18"/>
              </w:rPr>
              <w:footnoteReference w:id="91"/>
            </w:r>
          </w:p>
        </w:tc>
        <w:tc>
          <w:tcPr>
            <w:tcW w:w="2097"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5 días</w:t>
            </w:r>
            <w:r w:rsidRPr="002C0C73">
              <w:rPr>
                <w:rStyle w:val="Refdenotaalpie"/>
                <w:rFonts w:ascii="Arial" w:hAnsi="Arial" w:cs="Arial"/>
                <w:sz w:val="18"/>
                <w:szCs w:val="18"/>
              </w:rPr>
              <w:footnoteReference w:id="92"/>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Determinación de la Comisión de Quejas.</w:t>
            </w:r>
            <w:r w:rsidRPr="002C0C73">
              <w:rPr>
                <w:rFonts w:ascii="Arial" w:hAnsi="Arial" w:cs="Arial"/>
                <w:sz w:val="18"/>
                <w:szCs w:val="18"/>
              </w:rPr>
              <w:t xml:space="preserve"> Plazo para que resuelva la Comisión de Quejas</w:t>
            </w:r>
          </w:p>
        </w:tc>
        <w:tc>
          <w:tcPr>
            <w:tcW w:w="2624"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15 días</w:t>
            </w:r>
            <w:r w:rsidRPr="002C0C73">
              <w:rPr>
                <w:rStyle w:val="Refdenotaalpie"/>
                <w:rFonts w:ascii="Arial" w:hAnsi="Arial" w:cs="Arial"/>
                <w:sz w:val="18"/>
                <w:szCs w:val="18"/>
              </w:rPr>
              <w:footnoteReference w:id="93"/>
            </w:r>
          </w:p>
        </w:tc>
        <w:tc>
          <w:tcPr>
            <w:tcW w:w="2097"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3 días</w:t>
            </w:r>
            <w:r w:rsidRPr="002C0C73">
              <w:rPr>
                <w:rStyle w:val="Refdenotaalpie"/>
                <w:rFonts w:ascii="Arial" w:hAnsi="Arial" w:cs="Arial"/>
                <w:sz w:val="18"/>
                <w:szCs w:val="18"/>
              </w:rPr>
              <w:footnoteReference w:id="94"/>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Devolución.</w:t>
            </w:r>
            <w:r w:rsidRPr="002C0C73">
              <w:rPr>
                <w:rFonts w:ascii="Arial" w:hAnsi="Arial" w:cs="Arial"/>
                <w:sz w:val="18"/>
                <w:szCs w:val="18"/>
              </w:rPr>
              <w:t xml:space="preserve"> Plazo para diligencias adicionales por la UTCE</w:t>
            </w:r>
          </w:p>
        </w:tc>
        <w:tc>
          <w:tcPr>
            <w:tcW w:w="2624" w:type="dxa"/>
            <w:vAlign w:val="center"/>
          </w:tcPr>
          <w:p w:rsidR="00F14C5B" w:rsidRPr="002C0C73" w:rsidRDefault="00F14C5B" w:rsidP="00BA286A">
            <w:pPr>
              <w:pStyle w:val="NormalWeb"/>
              <w:widowControl w:val="0"/>
              <w:spacing w:before="0" w:beforeAutospacing="0" w:after="0" w:afterAutospacing="0"/>
              <w:jc w:val="center"/>
              <w:rPr>
                <w:rFonts w:ascii="Arial" w:hAnsi="Arial" w:cs="Arial"/>
                <w:bCs/>
                <w:sz w:val="18"/>
                <w:szCs w:val="18"/>
              </w:rPr>
            </w:pPr>
            <w:r w:rsidRPr="002C0C73">
              <w:rPr>
                <w:rFonts w:ascii="Arial" w:hAnsi="Arial" w:cs="Arial"/>
                <w:sz w:val="18"/>
                <w:szCs w:val="18"/>
              </w:rPr>
              <w:t>15 días</w:t>
            </w:r>
            <w:r w:rsidRPr="002C0C73">
              <w:rPr>
                <w:rStyle w:val="Refdenotaalpie"/>
                <w:rFonts w:ascii="Arial" w:hAnsi="Arial" w:cs="Arial"/>
                <w:sz w:val="18"/>
                <w:szCs w:val="18"/>
              </w:rPr>
              <w:footnoteReference w:id="95"/>
            </w:r>
          </w:p>
        </w:tc>
        <w:tc>
          <w:tcPr>
            <w:tcW w:w="209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sz w:val="18"/>
                <w:szCs w:val="18"/>
              </w:rPr>
              <w:t>De inmediato o el que fije la Comisión de Quejas</w:t>
            </w:r>
            <w:r w:rsidRPr="002C0C73">
              <w:rPr>
                <w:rStyle w:val="Refdenotaalpie"/>
                <w:rFonts w:ascii="Arial" w:hAnsi="Arial" w:cs="Arial"/>
                <w:sz w:val="18"/>
                <w:szCs w:val="18"/>
              </w:rPr>
              <w:footnoteReference w:id="96"/>
            </w:r>
          </w:p>
        </w:tc>
      </w:tr>
      <w:tr w:rsidR="00F14C5B" w:rsidRPr="002C0C73" w:rsidTr="00BA286A">
        <w:tc>
          <w:tcPr>
            <w:tcW w:w="662" w:type="dxa"/>
            <w:vAlign w:val="center"/>
          </w:tcPr>
          <w:p w:rsidR="00F14C5B" w:rsidRPr="002C0C73" w:rsidRDefault="00F14C5B" w:rsidP="00BA286A">
            <w:pPr>
              <w:pStyle w:val="NormalWeb"/>
              <w:widowControl w:val="0"/>
              <w:numPr>
                <w:ilvl w:val="0"/>
                <w:numId w:val="14"/>
              </w:numPr>
              <w:spacing w:before="0" w:beforeAutospacing="0" w:after="0" w:afterAutospacing="0"/>
              <w:ind w:left="0" w:firstLine="0"/>
              <w:jc w:val="both"/>
              <w:rPr>
                <w:rFonts w:ascii="Arial" w:hAnsi="Arial" w:cs="Arial"/>
                <w:b/>
                <w:bCs/>
                <w:sz w:val="18"/>
                <w:szCs w:val="18"/>
              </w:rPr>
            </w:pPr>
          </w:p>
        </w:tc>
        <w:tc>
          <w:tcPr>
            <w:tcW w:w="287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b/>
                <w:bCs/>
                <w:sz w:val="18"/>
                <w:szCs w:val="18"/>
              </w:rPr>
              <w:t>Resolución final.</w:t>
            </w:r>
            <w:r w:rsidRPr="002C0C73">
              <w:rPr>
                <w:rFonts w:ascii="Arial" w:hAnsi="Arial" w:cs="Arial"/>
                <w:sz w:val="18"/>
                <w:szCs w:val="18"/>
              </w:rPr>
              <w:t xml:space="preserve"> Plazo para que </w:t>
            </w:r>
            <w:r w:rsidRPr="002C0C73">
              <w:rPr>
                <w:rFonts w:ascii="Arial" w:hAnsi="Arial" w:cs="Arial"/>
                <w:sz w:val="18"/>
                <w:szCs w:val="18"/>
              </w:rPr>
              <w:lastRenderedPageBreak/>
              <w:t>resuelva el Consejo General</w:t>
            </w:r>
          </w:p>
        </w:tc>
        <w:tc>
          <w:tcPr>
            <w:tcW w:w="2624"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6"/>
                <w:szCs w:val="16"/>
              </w:rPr>
            </w:pPr>
            <w:r w:rsidRPr="002C0C73">
              <w:rPr>
                <w:rFonts w:ascii="Arial" w:hAnsi="Arial" w:cs="Arial"/>
                <w:sz w:val="16"/>
                <w:szCs w:val="16"/>
              </w:rPr>
              <w:lastRenderedPageBreak/>
              <w:t xml:space="preserve">El presidente del Consejo General convocará a sesión, una vez que </w:t>
            </w:r>
            <w:r w:rsidRPr="002C0C73">
              <w:rPr>
                <w:rFonts w:ascii="Arial" w:hAnsi="Arial" w:cs="Arial"/>
                <w:sz w:val="16"/>
                <w:szCs w:val="16"/>
              </w:rPr>
              <w:lastRenderedPageBreak/>
              <w:t xml:space="preserve">reciba el proyecto correspondiente, remitiendo copias </w:t>
            </w:r>
            <w:proofErr w:type="gramStart"/>
            <w:r w:rsidRPr="002C0C73">
              <w:rPr>
                <w:rFonts w:ascii="Arial" w:hAnsi="Arial" w:cs="Arial"/>
                <w:sz w:val="16"/>
                <w:szCs w:val="16"/>
              </w:rPr>
              <w:t>del mismo</w:t>
            </w:r>
            <w:proofErr w:type="gramEnd"/>
            <w:r w:rsidRPr="002C0C73">
              <w:rPr>
                <w:rFonts w:ascii="Arial" w:hAnsi="Arial" w:cs="Arial"/>
                <w:sz w:val="16"/>
                <w:szCs w:val="16"/>
              </w:rPr>
              <w:t xml:space="preserve"> a los integrantes de ese órgano por lo menos tres días antes de la fecha de la sesión.</w:t>
            </w:r>
            <w:r w:rsidRPr="002C0C73">
              <w:rPr>
                <w:rStyle w:val="Refdenotaalpie"/>
                <w:rFonts w:ascii="Arial" w:hAnsi="Arial" w:cs="Arial"/>
                <w:sz w:val="16"/>
                <w:szCs w:val="16"/>
              </w:rPr>
              <w:t xml:space="preserve"> </w:t>
            </w:r>
            <w:r w:rsidRPr="002C0C73">
              <w:rPr>
                <w:rStyle w:val="Refdenotaalpie"/>
                <w:rFonts w:ascii="Arial" w:hAnsi="Arial" w:cs="Arial"/>
                <w:sz w:val="16"/>
                <w:szCs w:val="16"/>
              </w:rPr>
              <w:footnoteReference w:id="97"/>
            </w:r>
          </w:p>
        </w:tc>
        <w:tc>
          <w:tcPr>
            <w:tcW w:w="2097" w:type="dxa"/>
            <w:vAlign w:val="center"/>
          </w:tcPr>
          <w:p w:rsidR="00F14C5B" w:rsidRPr="002C0C73" w:rsidRDefault="00F14C5B" w:rsidP="00BA286A">
            <w:pPr>
              <w:pStyle w:val="NormalWeb"/>
              <w:widowControl w:val="0"/>
              <w:spacing w:before="0" w:beforeAutospacing="0" w:after="0" w:afterAutospacing="0"/>
              <w:jc w:val="both"/>
              <w:rPr>
                <w:rFonts w:ascii="Arial" w:hAnsi="Arial" w:cs="Arial"/>
                <w:bCs/>
                <w:sz w:val="18"/>
                <w:szCs w:val="18"/>
              </w:rPr>
            </w:pPr>
            <w:r w:rsidRPr="002C0C73">
              <w:rPr>
                <w:rFonts w:ascii="Arial" w:hAnsi="Arial" w:cs="Arial"/>
                <w:sz w:val="18"/>
                <w:szCs w:val="18"/>
              </w:rPr>
              <w:lastRenderedPageBreak/>
              <w:t xml:space="preserve">En la siguiente sesión a </w:t>
            </w:r>
            <w:r w:rsidRPr="002C0C73">
              <w:rPr>
                <w:rFonts w:ascii="Arial" w:hAnsi="Arial" w:cs="Arial"/>
                <w:sz w:val="18"/>
                <w:szCs w:val="18"/>
              </w:rPr>
              <w:lastRenderedPageBreak/>
              <w:t>la aprobación por la Comisión de Quejas</w:t>
            </w:r>
            <w:r w:rsidRPr="002C0C73">
              <w:rPr>
                <w:rStyle w:val="Refdenotaalpie"/>
                <w:rFonts w:ascii="Arial" w:hAnsi="Arial" w:cs="Arial"/>
                <w:sz w:val="18"/>
                <w:szCs w:val="18"/>
              </w:rPr>
              <w:footnoteReference w:id="98"/>
            </w:r>
          </w:p>
        </w:tc>
      </w:tr>
    </w:tbl>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lastRenderedPageBreak/>
        <w:t xml:space="preserve">Del cuadro comparativo que antecede, es claro que las etapas del procedimiento ordinario sancionador y del procedimiento sumario son coincidentes, sin que </w:t>
      </w:r>
      <w:r w:rsidR="00A637A9" w:rsidRPr="002C0C73">
        <w:rPr>
          <w:rFonts w:ascii="Arial" w:hAnsi="Arial" w:cs="Arial"/>
          <w:bCs/>
        </w:rPr>
        <w:t xml:space="preserve">el CG del INE </w:t>
      </w:r>
      <w:r w:rsidRPr="002C0C73">
        <w:rPr>
          <w:rFonts w:ascii="Arial" w:hAnsi="Arial" w:cs="Arial"/>
          <w:bCs/>
        </w:rPr>
        <w:t>haya omitido alguna de ellas.</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No obstante, </w:t>
      </w:r>
      <w:r w:rsidRPr="002C0C73">
        <w:rPr>
          <w:rFonts w:ascii="Arial" w:hAnsi="Arial" w:cs="Arial"/>
          <w:b/>
        </w:rPr>
        <w:t>lo fundado</w:t>
      </w:r>
      <w:r w:rsidRPr="002C0C73">
        <w:rPr>
          <w:rFonts w:ascii="Arial" w:hAnsi="Arial" w:cs="Arial"/>
          <w:bCs/>
        </w:rPr>
        <w:t xml:space="preserve"> radica en </w:t>
      </w:r>
      <w:r w:rsidR="00A637A9" w:rsidRPr="002C0C73">
        <w:rPr>
          <w:rFonts w:ascii="Arial" w:hAnsi="Arial" w:cs="Arial"/>
          <w:bCs/>
        </w:rPr>
        <w:t xml:space="preserve">que </w:t>
      </w:r>
      <w:r w:rsidRPr="002C0C73">
        <w:rPr>
          <w:rFonts w:ascii="Arial" w:hAnsi="Arial" w:cs="Arial"/>
          <w:bCs/>
        </w:rPr>
        <w:t>la responsable redujo, de manera indebida, los plazos a las partes, ya sea a la quejosa o a la denunciada.</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efecto, esta Sala Superior ha sustentado el criterio respecto a que </w:t>
      </w:r>
      <w:r w:rsidRPr="002C0C73">
        <w:rPr>
          <w:rFonts w:ascii="Arial" w:hAnsi="Arial" w:cs="Arial"/>
          <w:b/>
        </w:rPr>
        <w:t>los plazos procesales otorgados en beneficio de las partes</w:t>
      </w:r>
      <w:r w:rsidRPr="002C0C73">
        <w:rPr>
          <w:rFonts w:ascii="Arial" w:hAnsi="Arial" w:cs="Arial"/>
          <w:bCs/>
        </w:rPr>
        <w:t xml:space="preserve"> como son los relativos a contestar el emplazamiento, cumplir un requerimiento, la cita para audiencia, entre otros, </w:t>
      </w:r>
      <w:r w:rsidRPr="002C0C73">
        <w:rPr>
          <w:rFonts w:ascii="Arial" w:hAnsi="Arial" w:cs="Arial"/>
          <w:b/>
        </w:rPr>
        <w:t>no pueden ser reducidos o limitados por la autoridad</w:t>
      </w:r>
      <w:r w:rsidRPr="002C0C73">
        <w:rPr>
          <w:rFonts w:ascii="Arial" w:hAnsi="Arial" w:cs="Arial"/>
          <w:bCs/>
        </w:rPr>
        <w:t xml:space="preserve"> competente de sustanciar el procedimiento, </w:t>
      </w:r>
      <w:r w:rsidRPr="002C0C73">
        <w:rPr>
          <w:rFonts w:ascii="Arial" w:hAnsi="Arial" w:cs="Arial"/>
          <w:b/>
        </w:rPr>
        <w:t>porque tales plazos constituyen un derecho de las partes</w:t>
      </w:r>
      <w:r w:rsidRPr="002C0C73">
        <w:rPr>
          <w:rFonts w:ascii="Arial" w:hAnsi="Arial" w:cs="Arial"/>
          <w:bCs/>
        </w:rPr>
        <w:t>.</w:t>
      </w:r>
    </w:p>
    <w:p w:rsidR="000A3B1E" w:rsidRPr="002C0C73" w:rsidRDefault="000A3B1E" w:rsidP="000A3B1E">
      <w:pPr>
        <w:pStyle w:val="NormalWeb"/>
        <w:widowControl w:val="0"/>
        <w:shd w:val="clear" w:color="auto" w:fill="FFFFFF"/>
        <w:spacing w:line="360" w:lineRule="auto"/>
        <w:jc w:val="both"/>
        <w:rPr>
          <w:rFonts w:ascii="Arial" w:hAnsi="Arial" w:cs="Arial"/>
          <w:bCs/>
          <w:u w:color="8EAADB" w:themeColor="accent5" w:themeTint="99"/>
        </w:rPr>
      </w:pPr>
      <w:r w:rsidRPr="002C0C73">
        <w:rPr>
          <w:rFonts w:ascii="Arial" w:hAnsi="Arial" w:cs="Arial"/>
          <w:bCs/>
          <w:u w:color="8EAADB" w:themeColor="accent5" w:themeTint="99"/>
        </w:rPr>
        <w:t>Al respecto, resulta orientador lo sostenido en la sentencia del recurso SUP-RAP-490/2015, en el sentido de que los plazos procesales otorgados en beneficio de las partes como son los relativos a contestar el emplazamiento, cumplir un requerimiento, la cita para audiencia, entre otros, no pueden ser reducidos o limitados por la autoridad competente de sustanciar el procedimiento, porque tales plazos constituyen un derecho de las partes.</w:t>
      </w:r>
    </w:p>
    <w:p w:rsidR="000A3B1E" w:rsidRPr="002C0C73" w:rsidRDefault="000A3B1E" w:rsidP="000A3B1E">
      <w:pPr>
        <w:pStyle w:val="NormalWeb"/>
        <w:widowControl w:val="0"/>
        <w:shd w:val="clear" w:color="auto" w:fill="FFFFFF"/>
        <w:spacing w:line="360" w:lineRule="auto"/>
        <w:jc w:val="both"/>
        <w:rPr>
          <w:rFonts w:ascii="Arial" w:hAnsi="Arial" w:cs="Arial"/>
          <w:bCs/>
          <w:u w:color="8EAADB" w:themeColor="accent5" w:themeTint="99"/>
        </w:rPr>
      </w:pPr>
      <w:r w:rsidRPr="002C0C73">
        <w:rPr>
          <w:rFonts w:ascii="Arial" w:hAnsi="Arial" w:cs="Arial"/>
          <w:bCs/>
          <w:u w:color="8EAADB" w:themeColor="accent5" w:themeTint="99"/>
        </w:rPr>
        <w:t>Si bien en ese precedente la decisión versó respecto de la reducción del plazo que la autoridad realizó durante la sustanciación del procedimiento, el criterio relevante consiste en que no debe causar afectación a las partes en el procedimiento a través de la indebida reducción de los plazos previstos en la ley.</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En ese sentido,</w:t>
      </w:r>
      <w:r w:rsidR="00312432" w:rsidRPr="002C0C73">
        <w:rPr>
          <w:rFonts w:ascii="Arial" w:hAnsi="Arial" w:cs="Arial"/>
          <w:bCs/>
        </w:rPr>
        <w:t xml:space="preserve"> la propia autoridad </w:t>
      </w:r>
      <w:r w:rsidR="00CE41B3" w:rsidRPr="002C0C73">
        <w:rPr>
          <w:rFonts w:ascii="Arial" w:hAnsi="Arial" w:cs="Arial"/>
          <w:bCs/>
        </w:rPr>
        <w:t xml:space="preserve">puede limitar sus plazos, pero los únicos </w:t>
      </w:r>
      <w:r w:rsidRPr="002C0C73">
        <w:rPr>
          <w:rFonts w:ascii="Arial" w:hAnsi="Arial" w:cs="Arial"/>
          <w:b/>
        </w:rPr>
        <w:t>que puede alterar o modificar son aquellos que corresponden a sus propias actuaciones y diligencias</w:t>
      </w:r>
      <w:r w:rsidRPr="002C0C73">
        <w:rPr>
          <w:rFonts w:ascii="Arial" w:hAnsi="Arial" w:cs="Arial"/>
          <w:bCs/>
        </w:rPr>
        <w:t>.</w:t>
      </w:r>
    </w:p>
    <w:p w:rsidR="006E7F6F" w:rsidRPr="002C0C73" w:rsidRDefault="006E7F6F" w:rsidP="006E7F6F">
      <w:pPr>
        <w:pStyle w:val="NormalWeb"/>
        <w:widowControl w:val="0"/>
        <w:shd w:val="clear" w:color="auto" w:fill="FFFFFF"/>
        <w:spacing w:line="360" w:lineRule="auto"/>
        <w:jc w:val="both"/>
        <w:rPr>
          <w:rFonts w:ascii="Arial" w:hAnsi="Arial" w:cs="Arial"/>
          <w:bCs/>
          <w:u w:color="538135" w:themeColor="accent6" w:themeShade="BF"/>
        </w:rPr>
      </w:pPr>
      <w:r w:rsidRPr="002C0C73">
        <w:rPr>
          <w:rFonts w:ascii="Arial" w:hAnsi="Arial" w:cs="Arial"/>
          <w:bCs/>
          <w:u w:color="538135" w:themeColor="accent6" w:themeShade="BF"/>
        </w:rPr>
        <w:lastRenderedPageBreak/>
        <w:t xml:space="preserve">En el caso, se observa que las medidas de reducción de plazos buscan hacer frente a una situación extraordinaria. Pero esas medidas no pueden incidir en el derecho de las organizaciones al debido proceso. </w:t>
      </w:r>
    </w:p>
    <w:p w:rsidR="006E7F6F" w:rsidRPr="002C0C73" w:rsidRDefault="006E7F6F" w:rsidP="006E7F6F">
      <w:pPr>
        <w:pStyle w:val="NormalWeb"/>
        <w:widowControl w:val="0"/>
        <w:shd w:val="clear" w:color="auto" w:fill="FFFFFF"/>
        <w:spacing w:line="360" w:lineRule="auto"/>
        <w:jc w:val="both"/>
        <w:rPr>
          <w:rFonts w:ascii="Arial" w:hAnsi="Arial" w:cs="Arial"/>
          <w:bCs/>
          <w:u w:color="538135" w:themeColor="accent6" w:themeShade="BF"/>
        </w:rPr>
      </w:pPr>
      <w:r w:rsidRPr="002C0C73">
        <w:rPr>
          <w:rFonts w:ascii="Arial" w:hAnsi="Arial" w:cs="Arial"/>
          <w:bCs/>
          <w:u w:color="538135" w:themeColor="accent6" w:themeShade="BF"/>
        </w:rPr>
        <w:t>De ahí que, si bien se reconoce la posibilidad de que el INE instaure un procedimiento sumario, ello no puede incidir sobre los plazos dirigidos a las partes.</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w:t>
      </w:r>
      <w:r w:rsidR="006E7F6F" w:rsidRPr="002C0C73">
        <w:rPr>
          <w:rFonts w:ascii="Arial" w:hAnsi="Arial" w:cs="Arial"/>
          <w:bCs/>
          <w:u w:color="538135" w:themeColor="accent6" w:themeShade="BF"/>
        </w:rPr>
        <w:t>la especie</w:t>
      </w:r>
      <w:r w:rsidRPr="002C0C73">
        <w:rPr>
          <w:rFonts w:ascii="Arial" w:hAnsi="Arial" w:cs="Arial"/>
          <w:bCs/>
        </w:rPr>
        <w:t>, la responsable redujo plazos que benefician a las partes, lo cual es indebido.</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Esto, porque el plazo para que los quejosos aclaren la queja o subsanen algún requisito es de tres días conforme a las reglas del procedimiento ordinario sancionador, en tanto que, en el procedimiento sumario se reduce a un día.</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Asimismo, en el procedimiento ordinario se prevé que el plazo para desahogar el emplazamiento y rendir alegatos es de cinco días, pero en el procedimiento sumario se redujo a tres días.</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Finalmente, en caso de que se ofrezca y aporte una prueba superveniente, el plazo para desahogar la vista respectiva en el procedimiento ordinario es de cinco días, siendo que, en el procedimiento sumario es de dos días.</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Conforme a lo expuesto, es inconcuso para este órgano colegiado que, la reducción en los plazos que benefician a la parte quejosa o a la denunciada es indebida, pues con ello se vulnera el </w:t>
      </w:r>
      <w:r w:rsidR="00F66A68" w:rsidRPr="002C0C73">
        <w:rPr>
          <w:rFonts w:ascii="Arial" w:hAnsi="Arial" w:cs="Arial"/>
          <w:bCs/>
        </w:rPr>
        <w:t>debido proceso</w:t>
      </w:r>
      <w:r w:rsidRPr="002C0C73">
        <w:rPr>
          <w:rFonts w:ascii="Arial" w:hAnsi="Arial" w:cs="Arial"/>
          <w:bCs/>
        </w:rPr>
        <w:t>.</w:t>
      </w:r>
    </w:p>
    <w:p w:rsidR="00C767FC" w:rsidRPr="002C0C73" w:rsidRDefault="006B58BE"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Cabe reiterar que</w:t>
      </w:r>
      <w:r w:rsidR="00C767FC" w:rsidRPr="002C0C73">
        <w:rPr>
          <w:rFonts w:ascii="Arial" w:hAnsi="Arial" w:cs="Arial"/>
          <w:bCs/>
        </w:rPr>
        <w:t xml:space="preserve"> </w:t>
      </w:r>
      <w:r w:rsidRPr="002C0C73">
        <w:rPr>
          <w:rFonts w:ascii="Arial" w:hAnsi="Arial" w:cs="Arial"/>
          <w:bCs/>
        </w:rPr>
        <w:t>el principio de legalidad impone que nadie puede ser molestado en su persona, familia, domicilio, papeles o posesiones, sino en virtud de mandamiento escrito de la autoridad competente, que funde y motivo la causal legal del procedimiento</w:t>
      </w:r>
      <w:r w:rsidR="00C767FC" w:rsidRPr="002C0C73">
        <w:rPr>
          <w:rFonts w:ascii="Arial" w:hAnsi="Arial" w:cs="Arial"/>
          <w:bCs/>
        </w:rPr>
        <w:t>; además, que toda persona tiene derecho a una justicia conforme a los plazos y términos fijados en las leyes</w:t>
      </w:r>
      <w:r w:rsidR="00C767FC" w:rsidRPr="002C0C73">
        <w:rPr>
          <w:rStyle w:val="Refdenotaalpie"/>
          <w:rFonts w:ascii="Arial" w:hAnsi="Arial" w:cs="Arial"/>
          <w:bCs/>
        </w:rPr>
        <w:footnoteReference w:id="99"/>
      </w:r>
      <w:r w:rsidR="00C767FC" w:rsidRPr="002C0C73">
        <w:rPr>
          <w:rFonts w:ascii="Arial" w:hAnsi="Arial" w:cs="Arial"/>
          <w:bCs/>
        </w:rPr>
        <w:t>.</w:t>
      </w:r>
    </w:p>
    <w:p w:rsidR="00C767FC" w:rsidRPr="002C0C73" w:rsidRDefault="00C767F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En ese sentido, la determinación que ahora se emite favorece y cumple esos mandatos constitucionales, en tanto permite que las partes involucradas en los procedimientos sancionadores relacionados con la constitución de nuevos partidos políticos gocen de los plazos establecidos por el legislador para su </w:t>
      </w:r>
      <w:r w:rsidRPr="002C0C73">
        <w:rPr>
          <w:rFonts w:ascii="Arial" w:hAnsi="Arial" w:cs="Arial"/>
          <w:bCs/>
        </w:rPr>
        <w:lastRenderedPageBreak/>
        <w:t>adecuada defensa.</w:t>
      </w:r>
    </w:p>
    <w:p w:rsidR="00C767FC" w:rsidRPr="002C0C73" w:rsidRDefault="00C767F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Ello, porque es la Constitución la que faculta al legislador a establecer los plazos mediante los cuales las partes en un proceso o procedimiento deben ejercer sus derechos. </w:t>
      </w:r>
    </w:p>
    <w:p w:rsidR="006B58BE" w:rsidRPr="002C0C73" w:rsidRDefault="00C767FC"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De esta manera, permitir que el INE establezca un procedimiento sumario en el cual no se garanticen los plazos otorgados por el legislador a las partes, implicaría una vulneración al principio de legalidad.</w:t>
      </w:r>
    </w:p>
    <w:p w:rsidR="00F14C5B" w:rsidRPr="002C0C73" w:rsidRDefault="00F66A68" w:rsidP="00F14C5B">
      <w:pPr>
        <w:pStyle w:val="NormalWeb"/>
        <w:widowControl w:val="0"/>
        <w:shd w:val="clear" w:color="auto" w:fill="FFFFFF"/>
        <w:spacing w:line="360" w:lineRule="auto"/>
        <w:jc w:val="both"/>
        <w:rPr>
          <w:rFonts w:ascii="Arial" w:hAnsi="Arial" w:cs="Arial"/>
          <w:b/>
        </w:rPr>
      </w:pPr>
      <w:r w:rsidRPr="002C0C73">
        <w:rPr>
          <w:rFonts w:ascii="Arial" w:hAnsi="Arial" w:cs="Arial"/>
          <w:b/>
        </w:rPr>
        <w:t>IV.</w:t>
      </w:r>
      <w:r w:rsidR="00F14C5B" w:rsidRPr="002C0C73">
        <w:rPr>
          <w:rFonts w:ascii="Arial" w:hAnsi="Arial" w:cs="Arial"/>
          <w:b/>
        </w:rPr>
        <w:t xml:space="preserve"> Conclusión</w:t>
      </w:r>
    </w:p>
    <w:p w:rsidR="00F14C5B" w:rsidRPr="002C0C73" w:rsidRDefault="00F14C5B"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Dado lo fundado del concepto de agravio, </w:t>
      </w:r>
      <w:bookmarkStart w:id="33" w:name="_Hlk42986234"/>
      <w:r w:rsidRPr="002C0C73">
        <w:rPr>
          <w:rFonts w:ascii="Arial" w:hAnsi="Arial" w:cs="Arial"/>
          <w:bCs/>
        </w:rPr>
        <w:t xml:space="preserve">lo procedente es modificar el acuerdo impugnado, en lo que fue materia de controversia, para el efecto de que la autoridad responsable observe los plazos que rigen en el procedimiento ordinario sancionador </w:t>
      </w:r>
      <w:bookmarkEnd w:id="33"/>
      <w:r w:rsidR="00F66A68" w:rsidRPr="002C0C73">
        <w:rPr>
          <w:rFonts w:ascii="Arial" w:hAnsi="Arial" w:cs="Arial"/>
          <w:bCs/>
        </w:rPr>
        <w:t>respecto a los derechos de las partes.</w:t>
      </w:r>
    </w:p>
    <w:p w:rsidR="006B58BE" w:rsidRPr="002C0C73" w:rsidRDefault="006B58BE" w:rsidP="00F14C5B">
      <w:pPr>
        <w:pStyle w:val="NormalWeb"/>
        <w:widowControl w:val="0"/>
        <w:shd w:val="clear" w:color="auto" w:fill="FFFFFF"/>
        <w:spacing w:line="360" w:lineRule="auto"/>
        <w:jc w:val="both"/>
        <w:rPr>
          <w:rFonts w:ascii="Arial" w:hAnsi="Arial" w:cs="Arial"/>
          <w:bCs/>
        </w:rPr>
      </w:pPr>
      <w:r w:rsidRPr="002C0C73">
        <w:rPr>
          <w:rFonts w:ascii="Arial" w:hAnsi="Arial" w:cs="Arial"/>
          <w:bCs/>
        </w:rPr>
        <w:t xml:space="preserve">Ello, en el entendido que el INE deberá resolver los procedimientos sancionadores </w:t>
      </w:r>
      <w:r w:rsidR="00CE41B3" w:rsidRPr="002C0C73">
        <w:rPr>
          <w:rFonts w:ascii="Arial" w:hAnsi="Arial" w:cs="Arial"/>
          <w:bCs/>
        </w:rPr>
        <w:t xml:space="preserve">a más tardar </w:t>
      </w:r>
      <w:r w:rsidRPr="002C0C73">
        <w:rPr>
          <w:rFonts w:ascii="Arial" w:hAnsi="Arial" w:cs="Arial"/>
          <w:bCs/>
        </w:rPr>
        <w:t>el treinta y uno de agosto</w:t>
      </w:r>
      <w:r w:rsidR="00C767FC" w:rsidRPr="002C0C73">
        <w:rPr>
          <w:rFonts w:ascii="Arial" w:hAnsi="Arial" w:cs="Arial"/>
          <w:bCs/>
        </w:rPr>
        <w:t>,</w:t>
      </w:r>
      <w:r w:rsidR="006E7F6F" w:rsidRPr="002C0C73">
        <w:rPr>
          <w:rFonts w:ascii="Arial" w:hAnsi="Arial" w:cs="Arial"/>
          <w:bCs/>
        </w:rPr>
        <w:t xml:space="preserve"> </w:t>
      </w:r>
      <w:r w:rsidR="006E7F6F" w:rsidRPr="002C0C73">
        <w:rPr>
          <w:rFonts w:ascii="Arial" w:hAnsi="Arial" w:cs="Arial"/>
          <w:bCs/>
          <w:u w:color="538135" w:themeColor="accent6" w:themeShade="BF"/>
        </w:rPr>
        <w:t xml:space="preserve">sin posibilidad de </w:t>
      </w:r>
      <w:r w:rsidR="007C6CB4" w:rsidRPr="002C0C73">
        <w:rPr>
          <w:rFonts w:ascii="Arial" w:hAnsi="Arial" w:cs="Arial"/>
          <w:bCs/>
          <w:u w:color="538135" w:themeColor="accent6" w:themeShade="BF"/>
        </w:rPr>
        <w:t>prórroga</w:t>
      </w:r>
      <w:r w:rsidR="006E7F6F" w:rsidRPr="002C0C73">
        <w:rPr>
          <w:rFonts w:ascii="Arial" w:hAnsi="Arial" w:cs="Arial"/>
          <w:bCs/>
          <w:u w:color="538135" w:themeColor="accent6" w:themeShade="BF"/>
        </w:rPr>
        <w:t>,</w:t>
      </w:r>
      <w:r w:rsidR="00C767FC" w:rsidRPr="002C0C73">
        <w:rPr>
          <w:rFonts w:ascii="Arial" w:hAnsi="Arial" w:cs="Arial"/>
          <w:bCs/>
        </w:rPr>
        <w:t xml:space="preserve"> a fin de generar certeza de cuáles organizaciones cumplieron cabalmente los requisitos para obtener su registro como partido político nacional, o bien cuáles incurrieron en una infracción que impida su registro.</w:t>
      </w:r>
    </w:p>
    <w:p w:rsidR="00155F24" w:rsidRPr="002C0C73" w:rsidRDefault="00155F24" w:rsidP="00D51B27">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34" w:name="_Toc43048095"/>
      <w:r w:rsidRPr="002C0C73">
        <w:rPr>
          <w:rFonts w:ascii="Arial" w:eastAsia="Times New Roman" w:hAnsi="Arial" w:cs="Arial"/>
          <w:b/>
          <w:color w:val="auto"/>
          <w:sz w:val="24"/>
          <w:szCs w:val="24"/>
          <w:lang w:eastAsia="es-MX"/>
        </w:rPr>
        <w:t>EFECTOS</w:t>
      </w:r>
      <w:bookmarkEnd w:id="34"/>
    </w:p>
    <w:p w:rsidR="009221F7" w:rsidRPr="002C0C73" w:rsidRDefault="00155F24" w:rsidP="003D6032">
      <w:pPr>
        <w:shd w:val="clear" w:color="auto" w:fill="FFFFFF"/>
        <w:spacing w:before="100" w:beforeAutospacing="1" w:after="100" w:afterAutospacing="1" w:line="360" w:lineRule="auto"/>
        <w:jc w:val="both"/>
        <w:rPr>
          <w:rFonts w:eastAsia="Times New Roman" w:cs="Arial"/>
          <w:bCs/>
          <w:sz w:val="24"/>
          <w:szCs w:val="24"/>
          <w:lang w:eastAsia="es-MX"/>
        </w:rPr>
      </w:pPr>
      <w:r w:rsidRPr="002C0C73">
        <w:rPr>
          <w:rFonts w:eastAsia="Times New Roman" w:cs="Arial"/>
          <w:sz w:val="24"/>
          <w:szCs w:val="24"/>
          <w:lang w:eastAsia="es-MX"/>
        </w:rPr>
        <w:t xml:space="preserve">En razón de que se declaró parcialmente fundado </w:t>
      </w:r>
      <w:r w:rsidR="00D51B27" w:rsidRPr="002C0C73">
        <w:rPr>
          <w:rFonts w:eastAsia="Times New Roman" w:cs="Arial"/>
          <w:sz w:val="24"/>
          <w:szCs w:val="24"/>
          <w:lang w:eastAsia="es-MX"/>
        </w:rPr>
        <w:t xml:space="preserve">que </w:t>
      </w:r>
      <w:r w:rsidRPr="002C0C73">
        <w:rPr>
          <w:rFonts w:eastAsia="Times New Roman" w:cs="Arial"/>
          <w:sz w:val="24"/>
          <w:szCs w:val="24"/>
          <w:lang w:eastAsia="es-MX"/>
        </w:rPr>
        <w:t>indebida</w:t>
      </w:r>
      <w:r w:rsidR="00D51B27" w:rsidRPr="002C0C73">
        <w:rPr>
          <w:rFonts w:eastAsia="Times New Roman" w:cs="Arial"/>
          <w:sz w:val="24"/>
          <w:szCs w:val="24"/>
          <w:lang w:eastAsia="es-MX"/>
        </w:rPr>
        <w:t xml:space="preserve">mente se redujeron los </w:t>
      </w:r>
      <w:r w:rsidRPr="002C0C73">
        <w:rPr>
          <w:rFonts w:eastAsia="Times New Roman" w:cs="Arial"/>
          <w:sz w:val="24"/>
          <w:szCs w:val="24"/>
          <w:lang w:eastAsia="es-MX"/>
        </w:rPr>
        <w:t xml:space="preserve">plazos en el procedimiento sumario, </w:t>
      </w:r>
      <w:r w:rsidR="009221F7" w:rsidRPr="002C0C73">
        <w:rPr>
          <w:rFonts w:eastAsia="Times New Roman" w:cs="Arial"/>
          <w:bCs/>
          <w:sz w:val="24"/>
          <w:szCs w:val="24"/>
          <w:lang w:eastAsia="es-MX"/>
        </w:rPr>
        <w:t xml:space="preserve">lo procedente </w:t>
      </w:r>
      <w:r w:rsidR="009221F7" w:rsidRPr="002C0C73">
        <w:rPr>
          <w:rFonts w:eastAsia="Times New Roman" w:cs="Arial"/>
          <w:b/>
          <w:sz w:val="24"/>
          <w:szCs w:val="24"/>
          <w:lang w:eastAsia="es-MX"/>
        </w:rPr>
        <w:t>es modificar el acuerdo impugnado</w:t>
      </w:r>
      <w:r w:rsidR="009221F7" w:rsidRPr="002C0C73">
        <w:rPr>
          <w:rFonts w:eastAsia="Times New Roman" w:cs="Arial"/>
          <w:bCs/>
          <w:sz w:val="24"/>
          <w:szCs w:val="24"/>
          <w:lang w:eastAsia="es-MX"/>
        </w:rPr>
        <w:t>, en lo que fue materia de controversia.</w:t>
      </w:r>
    </w:p>
    <w:p w:rsidR="009221F7" w:rsidRPr="002C0C73" w:rsidRDefault="009221F7" w:rsidP="003D6032">
      <w:pPr>
        <w:shd w:val="clear" w:color="auto" w:fill="FFFFFF"/>
        <w:spacing w:before="100" w:beforeAutospacing="1" w:after="100" w:afterAutospacing="1" w:line="360" w:lineRule="auto"/>
        <w:jc w:val="both"/>
        <w:rPr>
          <w:rFonts w:eastAsia="Times New Roman" w:cs="Arial"/>
          <w:sz w:val="24"/>
          <w:szCs w:val="24"/>
          <w:lang w:eastAsia="es-MX"/>
        </w:rPr>
      </w:pPr>
      <w:r w:rsidRPr="002C0C73">
        <w:rPr>
          <w:rFonts w:eastAsia="Times New Roman" w:cs="Arial"/>
          <w:bCs/>
          <w:sz w:val="24"/>
          <w:szCs w:val="24"/>
          <w:lang w:eastAsia="es-MX"/>
        </w:rPr>
        <w:t>Lo anterior, para el efecto de que</w:t>
      </w:r>
      <w:r w:rsidR="00D51B27" w:rsidRPr="002C0C73">
        <w:rPr>
          <w:rFonts w:eastAsia="Times New Roman" w:cs="Arial"/>
          <w:bCs/>
          <w:sz w:val="24"/>
          <w:szCs w:val="24"/>
          <w:lang w:eastAsia="es-MX"/>
        </w:rPr>
        <w:t xml:space="preserve"> el CG del INE </w:t>
      </w:r>
      <w:r w:rsidRPr="002C0C73">
        <w:rPr>
          <w:rFonts w:eastAsia="Times New Roman" w:cs="Arial"/>
          <w:bCs/>
          <w:sz w:val="24"/>
          <w:szCs w:val="24"/>
          <w:lang w:eastAsia="es-MX"/>
        </w:rPr>
        <w:t>observe los plazos que rigen en el procedimiento ordinario sancionador en las etapas relativas a la prevención al quejoso, desahogo del emplazamiento, expresión de alegatos y desahogo de la vista sobre una prueba superveniente.</w:t>
      </w:r>
    </w:p>
    <w:p w:rsidR="005F7529" w:rsidRPr="002C0C73" w:rsidRDefault="005F7529" w:rsidP="003D6032">
      <w:pPr>
        <w:shd w:val="clear" w:color="auto" w:fill="FFFFFF"/>
        <w:spacing w:before="100" w:beforeAutospacing="1" w:after="100" w:afterAutospacing="1" w:line="360" w:lineRule="auto"/>
        <w:jc w:val="both"/>
        <w:rPr>
          <w:rFonts w:eastAsia="Times New Roman" w:cs="Arial"/>
          <w:sz w:val="24"/>
          <w:szCs w:val="24"/>
          <w:lang w:eastAsia="es-MX"/>
        </w:rPr>
      </w:pPr>
      <w:r w:rsidRPr="002C0C73">
        <w:rPr>
          <w:rFonts w:eastAsia="Times New Roman" w:cs="Arial"/>
          <w:sz w:val="24"/>
          <w:szCs w:val="24"/>
          <w:lang w:eastAsia="es-MX"/>
        </w:rPr>
        <w:t>Por</w:t>
      </w:r>
      <w:r w:rsidR="00974ED7" w:rsidRPr="002C0C73">
        <w:rPr>
          <w:rFonts w:eastAsia="Times New Roman" w:cs="Arial"/>
          <w:sz w:val="24"/>
          <w:szCs w:val="24"/>
          <w:lang w:eastAsia="es-MX"/>
        </w:rPr>
        <w:t xml:space="preserve"> </w:t>
      </w:r>
      <w:r w:rsidRPr="002C0C73">
        <w:rPr>
          <w:rFonts w:eastAsia="Times New Roman" w:cs="Arial"/>
          <w:sz w:val="24"/>
          <w:szCs w:val="24"/>
          <w:lang w:eastAsia="es-MX"/>
        </w:rPr>
        <w:t>lo</w:t>
      </w:r>
      <w:r w:rsidR="00974ED7" w:rsidRPr="002C0C73">
        <w:rPr>
          <w:rFonts w:eastAsia="Times New Roman" w:cs="Arial"/>
          <w:sz w:val="24"/>
          <w:szCs w:val="24"/>
          <w:lang w:eastAsia="es-MX"/>
        </w:rPr>
        <w:t xml:space="preserve"> </w:t>
      </w:r>
      <w:r w:rsidRPr="002C0C73">
        <w:rPr>
          <w:rFonts w:eastAsia="Times New Roman" w:cs="Arial"/>
          <w:sz w:val="24"/>
          <w:szCs w:val="24"/>
          <w:lang w:eastAsia="es-MX"/>
        </w:rPr>
        <w:t>expuesto</w:t>
      </w:r>
      <w:r w:rsidR="00974ED7" w:rsidRPr="002C0C73">
        <w:rPr>
          <w:rFonts w:eastAsia="Times New Roman" w:cs="Arial"/>
          <w:sz w:val="24"/>
          <w:szCs w:val="24"/>
          <w:lang w:eastAsia="es-MX"/>
        </w:rPr>
        <w:t xml:space="preserve"> </w:t>
      </w:r>
      <w:r w:rsidRPr="002C0C73">
        <w:rPr>
          <w:rFonts w:eastAsia="Times New Roman" w:cs="Arial"/>
          <w:sz w:val="24"/>
          <w:szCs w:val="24"/>
          <w:lang w:eastAsia="es-MX"/>
        </w:rPr>
        <w:t>y</w:t>
      </w:r>
      <w:r w:rsidR="00974ED7" w:rsidRPr="002C0C73">
        <w:rPr>
          <w:rFonts w:eastAsia="Times New Roman" w:cs="Arial"/>
          <w:sz w:val="24"/>
          <w:szCs w:val="24"/>
          <w:lang w:eastAsia="es-MX"/>
        </w:rPr>
        <w:t xml:space="preserve"> </w:t>
      </w:r>
      <w:r w:rsidRPr="002C0C73">
        <w:rPr>
          <w:rFonts w:eastAsia="Times New Roman" w:cs="Arial"/>
          <w:sz w:val="24"/>
          <w:szCs w:val="24"/>
          <w:lang w:eastAsia="es-MX"/>
        </w:rPr>
        <w:t>fundado,</w:t>
      </w:r>
      <w:r w:rsidR="00974ED7" w:rsidRPr="002C0C73">
        <w:rPr>
          <w:rFonts w:eastAsia="Times New Roman" w:cs="Arial"/>
          <w:sz w:val="24"/>
          <w:szCs w:val="24"/>
          <w:lang w:eastAsia="es-MX"/>
        </w:rPr>
        <w:t xml:space="preserve"> </w:t>
      </w:r>
      <w:r w:rsidRPr="002C0C73">
        <w:rPr>
          <w:rFonts w:eastAsia="Times New Roman" w:cs="Arial"/>
          <w:sz w:val="24"/>
          <w:szCs w:val="24"/>
          <w:lang w:eastAsia="es-MX"/>
        </w:rPr>
        <w:t>se</w:t>
      </w:r>
    </w:p>
    <w:p w:rsidR="00CA03AC" w:rsidRPr="002C0C73" w:rsidRDefault="00AD5A0C" w:rsidP="003D6032">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35" w:name="_Toc43048096"/>
      <w:r w:rsidRPr="002C0C73">
        <w:rPr>
          <w:rFonts w:ascii="Arial" w:eastAsia="Times New Roman" w:hAnsi="Arial" w:cs="Arial"/>
          <w:b/>
          <w:color w:val="auto"/>
          <w:sz w:val="24"/>
          <w:szCs w:val="24"/>
          <w:lang w:eastAsia="es-MX"/>
        </w:rPr>
        <w:lastRenderedPageBreak/>
        <w:t>RESUELVE</w:t>
      </w:r>
      <w:bookmarkEnd w:id="35"/>
    </w:p>
    <w:p w:rsidR="00322627" w:rsidRPr="002C0C73" w:rsidRDefault="00B54F1C" w:rsidP="003D6032">
      <w:pPr>
        <w:spacing w:before="100" w:beforeAutospacing="1" w:after="100" w:afterAutospacing="1" w:line="360" w:lineRule="auto"/>
        <w:jc w:val="both"/>
        <w:rPr>
          <w:rFonts w:cs="Arial"/>
          <w:bCs/>
          <w:sz w:val="24"/>
          <w:szCs w:val="24"/>
          <w:lang w:eastAsia="es-MX"/>
        </w:rPr>
      </w:pPr>
      <w:r w:rsidRPr="002C0C73">
        <w:rPr>
          <w:rFonts w:cs="Arial"/>
          <w:b/>
          <w:sz w:val="24"/>
          <w:szCs w:val="24"/>
          <w:lang w:eastAsia="es-MX"/>
        </w:rPr>
        <w:t>PRIMERO</w:t>
      </w:r>
      <w:r w:rsidR="00CA03AC" w:rsidRPr="002C0C73">
        <w:rPr>
          <w:rFonts w:cs="Arial"/>
          <w:b/>
          <w:sz w:val="24"/>
          <w:szCs w:val="24"/>
          <w:lang w:eastAsia="es-MX"/>
        </w:rPr>
        <w:t>.</w:t>
      </w:r>
      <w:r w:rsidR="00D612E5" w:rsidRPr="002C0C73">
        <w:rPr>
          <w:rFonts w:cs="Arial"/>
          <w:bCs/>
          <w:sz w:val="24"/>
          <w:szCs w:val="24"/>
          <w:lang w:eastAsia="es-MX"/>
        </w:rPr>
        <w:t xml:space="preserve"> </w:t>
      </w:r>
      <w:r w:rsidRPr="002C0C73">
        <w:rPr>
          <w:rFonts w:cs="Arial"/>
          <w:bCs/>
          <w:sz w:val="24"/>
          <w:szCs w:val="24"/>
          <w:lang w:val="es-ES" w:eastAsia="es-ES"/>
        </w:rPr>
        <w:t>Se</w:t>
      </w:r>
      <w:r w:rsidRPr="002C0C73">
        <w:rPr>
          <w:rFonts w:cs="Arial"/>
          <w:b/>
          <w:bCs/>
          <w:sz w:val="24"/>
          <w:szCs w:val="24"/>
          <w:lang w:val="es-ES" w:eastAsia="es-ES"/>
        </w:rPr>
        <w:t xml:space="preserve"> acumulan </w:t>
      </w:r>
      <w:r w:rsidRPr="002C0C73">
        <w:rPr>
          <w:rFonts w:cs="Arial"/>
          <w:bCs/>
          <w:sz w:val="24"/>
          <w:szCs w:val="24"/>
          <w:lang w:val="es-ES" w:eastAsia="es-ES"/>
        </w:rPr>
        <w:t xml:space="preserve">los juicios ciudadanos, </w:t>
      </w:r>
      <w:r w:rsidRPr="002C0C73">
        <w:rPr>
          <w:rFonts w:cs="Arial"/>
          <w:bCs/>
          <w:sz w:val="24"/>
          <w:szCs w:val="24"/>
          <w:lang w:eastAsia="es-ES"/>
        </w:rPr>
        <w:t>en los términos de esta sentencia.</w:t>
      </w:r>
    </w:p>
    <w:p w:rsidR="00B54F1C" w:rsidRPr="002C0C73" w:rsidRDefault="00B54F1C" w:rsidP="003D6032">
      <w:pPr>
        <w:spacing w:before="100" w:beforeAutospacing="1" w:after="100" w:afterAutospacing="1" w:line="360" w:lineRule="auto"/>
        <w:jc w:val="both"/>
        <w:rPr>
          <w:rFonts w:cs="Arial"/>
          <w:sz w:val="24"/>
          <w:szCs w:val="24"/>
          <w:lang w:eastAsia="es-MX"/>
        </w:rPr>
      </w:pPr>
      <w:r w:rsidRPr="002C0C73">
        <w:rPr>
          <w:rFonts w:cs="Arial"/>
          <w:b/>
          <w:sz w:val="24"/>
          <w:szCs w:val="24"/>
          <w:lang w:eastAsia="es-MX"/>
        </w:rPr>
        <w:t>SEGUNDO.</w:t>
      </w:r>
      <w:r w:rsidRPr="002C0C73">
        <w:rPr>
          <w:rFonts w:cs="Arial"/>
          <w:bCs/>
          <w:sz w:val="24"/>
          <w:szCs w:val="24"/>
          <w:lang w:eastAsia="es-MX"/>
        </w:rPr>
        <w:t xml:space="preserve"> Se </w:t>
      </w:r>
      <w:r w:rsidR="009221F7" w:rsidRPr="002C0C73">
        <w:rPr>
          <w:rFonts w:cs="Arial"/>
          <w:b/>
          <w:sz w:val="24"/>
          <w:szCs w:val="24"/>
          <w:lang w:eastAsia="es-MX"/>
        </w:rPr>
        <w:t>modifica</w:t>
      </w:r>
      <w:r w:rsidRPr="002C0C73">
        <w:rPr>
          <w:rFonts w:cs="Arial"/>
          <w:bCs/>
          <w:sz w:val="24"/>
          <w:szCs w:val="24"/>
          <w:lang w:eastAsia="es-MX"/>
        </w:rPr>
        <w:t xml:space="preserve"> </w:t>
      </w:r>
      <w:r w:rsidR="009221F7" w:rsidRPr="002C0C73">
        <w:rPr>
          <w:rFonts w:cs="Arial"/>
          <w:bCs/>
          <w:sz w:val="24"/>
          <w:szCs w:val="24"/>
          <w:lang w:eastAsia="es-MX"/>
        </w:rPr>
        <w:t>e</w:t>
      </w:r>
      <w:r w:rsidRPr="002C0C73">
        <w:rPr>
          <w:rFonts w:cs="Arial"/>
          <w:bCs/>
          <w:sz w:val="24"/>
          <w:szCs w:val="24"/>
          <w:lang w:eastAsia="es-MX"/>
        </w:rPr>
        <w:t>l acto impugnado</w:t>
      </w:r>
      <w:r w:rsidR="009221F7" w:rsidRPr="002C0C73">
        <w:rPr>
          <w:rFonts w:cs="Arial"/>
          <w:bCs/>
          <w:sz w:val="24"/>
          <w:szCs w:val="24"/>
          <w:lang w:eastAsia="es-MX"/>
        </w:rPr>
        <w:t xml:space="preserve"> en los términos precisados en el considerando de EFECTOS de esta sentencia</w:t>
      </w:r>
      <w:r w:rsidRPr="002C0C73">
        <w:rPr>
          <w:rFonts w:cs="Arial"/>
          <w:bCs/>
          <w:sz w:val="24"/>
          <w:szCs w:val="24"/>
          <w:lang w:eastAsia="es-MX"/>
        </w:rPr>
        <w:t>.</w:t>
      </w:r>
    </w:p>
    <w:p w:rsidR="001E0628" w:rsidRPr="002C0C73" w:rsidRDefault="001E0628" w:rsidP="003D6032">
      <w:pPr>
        <w:spacing w:before="100" w:beforeAutospacing="1" w:after="100" w:afterAutospacing="1" w:line="360" w:lineRule="auto"/>
        <w:jc w:val="both"/>
        <w:rPr>
          <w:rFonts w:eastAsia="Times New Roman" w:cs="Arial"/>
          <w:b/>
          <w:sz w:val="24"/>
          <w:szCs w:val="24"/>
          <w:lang w:eastAsia="es-MX"/>
        </w:rPr>
      </w:pPr>
      <w:r w:rsidRPr="002C0C73">
        <w:rPr>
          <w:rFonts w:eastAsia="Times New Roman" w:cs="Arial"/>
          <w:b/>
          <w:sz w:val="24"/>
          <w:szCs w:val="24"/>
          <w:lang w:eastAsia="es-MX"/>
        </w:rPr>
        <w:t>Notifíquese</w:t>
      </w:r>
      <w:r w:rsidR="00331787" w:rsidRPr="002C0C73">
        <w:rPr>
          <w:rFonts w:eastAsia="Times New Roman" w:cs="Arial"/>
          <w:sz w:val="24"/>
          <w:szCs w:val="24"/>
          <w:lang w:eastAsia="es-MX"/>
        </w:rPr>
        <w:t xml:space="preserve"> </w:t>
      </w:r>
      <w:r w:rsidR="00331787" w:rsidRPr="002C0C73">
        <w:rPr>
          <w:rFonts w:eastAsia="Times New Roman" w:cs="Arial"/>
          <w:b/>
          <w:sz w:val="24"/>
          <w:szCs w:val="24"/>
          <w:lang w:eastAsia="es-MX"/>
        </w:rPr>
        <w:t xml:space="preserve">vía electrónica la presente determinación. </w:t>
      </w:r>
    </w:p>
    <w:p w:rsidR="00B11438" w:rsidRPr="002C0C73" w:rsidRDefault="001E0628" w:rsidP="003D6032">
      <w:pPr>
        <w:spacing w:before="100" w:beforeAutospacing="1" w:after="100" w:afterAutospacing="1" w:line="360" w:lineRule="auto"/>
        <w:jc w:val="both"/>
        <w:rPr>
          <w:rFonts w:eastAsia="Times New Roman" w:cs="Arial"/>
          <w:sz w:val="24"/>
          <w:szCs w:val="24"/>
          <w:lang w:eastAsia="es-MX"/>
        </w:rPr>
      </w:pPr>
      <w:r w:rsidRPr="002C0C73">
        <w:rPr>
          <w:rFonts w:eastAsia="Times New Roman" w:cs="Arial"/>
          <w:sz w:val="24"/>
          <w:szCs w:val="24"/>
          <w:lang w:eastAsia="es-MX"/>
        </w:rPr>
        <w:t>En su oportunidad, archíve</w:t>
      </w:r>
      <w:r w:rsidR="0054386D" w:rsidRPr="002C0C73">
        <w:rPr>
          <w:rFonts w:eastAsia="Times New Roman" w:cs="Arial"/>
          <w:sz w:val="24"/>
          <w:szCs w:val="24"/>
          <w:lang w:eastAsia="es-MX"/>
        </w:rPr>
        <w:t>nse los presentes expedientes</w:t>
      </w:r>
      <w:r w:rsidRPr="002C0C73">
        <w:rPr>
          <w:rFonts w:eastAsia="Times New Roman" w:cs="Arial"/>
          <w:sz w:val="24"/>
          <w:szCs w:val="24"/>
          <w:lang w:eastAsia="es-MX"/>
        </w:rPr>
        <w:t xml:space="preserve"> como asunto</w:t>
      </w:r>
      <w:r w:rsidR="0054386D" w:rsidRPr="002C0C73">
        <w:rPr>
          <w:rFonts w:eastAsia="Times New Roman" w:cs="Arial"/>
          <w:sz w:val="24"/>
          <w:szCs w:val="24"/>
          <w:lang w:eastAsia="es-MX"/>
        </w:rPr>
        <w:t>s</w:t>
      </w:r>
      <w:r w:rsidRPr="002C0C73">
        <w:rPr>
          <w:rFonts w:eastAsia="Times New Roman" w:cs="Arial"/>
          <w:sz w:val="24"/>
          <w:szCs w:val="24"/>
          <w:lang w:eastAsia="es-MX"/>
        </w:rPr>
        <w:t xml:space="preserve"> concluido</w:t>
      </w:r>
      <w:r w:rsidR="0054386D" w:rsidRPr="002C0C73">
        <w:rPr>
          <w:rFonts w:eastAsia="Times New Roman" w:cs="Arial"/>
          <w:sz w:val="24"/>
          <w:szCs w:val="24"/>
          <w:lang w:eastAsia="es-MX"/>
        </w:rPr>
        <w:t>s</w:t>
      </w:r>
      <w:r w:rsidRPr="002C0C73">
        <w:rPr>
          <w:rFonts w:eastAsia="Times New Roman" w:cs="Arial"/>
          <w:sz w:val="24"/>
          <w:szCs w:val="24"/>
          <w:lang w:eastAsia="es-MX"/>
        </w:rPr>
        <w:t xml:space="preserve"> y, en su caso, hágase la devolución de la documentación exhibida.</w:t>
      </w:r>
    </w:p>
    <w:p w:rsidR="009602EB" w:rsidRPr="002C0C73" w:rsidRDefault="001A533A" w:rsidP="001A533A">
      <w:pPr>
        <w:widowControl w:val="0"/>
        <w:autoSpaceDE w:val="0"/>
        <w:autoSpaceDN w:val="0"/>
        <w:spacing w:before="100" w:beforeAutospacing="1" w:after="100" w:afterAutospacing="1" w:line="360" w:lineRule="auto"/>
        <w:jc w:val="both"/>
        <w:rPr>
          <w:rFonts w:cs="Arial"/>
          <w:bCs/>
          <w:sz w:val="24"/>
          <w:szCs w:val="24"/>
        </w:rPr>
      </w:pPr>
      <w:bookmarkStart w:id="36" w:name="_Hlk37955393"/>
      <w:r w:rsidRPr="002C0C73">
        <w:rPr>
          <w:rFonts w:cs="Arial"/>
          <w:bCs/>
          <w:iCs/>
          <w:sz w:val="24"/>
          <w:szCs w:val="24"/>
        </w:rPr>
        <w:t xml:space="preserve">Así, por </w:t>
      </w:r>
      <w:r w:rsidR="000A3B1E" w:rsidRPr="002C0C73">
        <w:rPr>
          <w:rFonts w:cs="Arial"/>
          <w:b/>
          <w:bCs/>
          <w:iCs/>
          <w:sz w:val="24"/>
          <w:szCs w:val="24"/>
        </w:rPr>
        <w:t xml:space="preserve">unanimidad </w:t>
      </w:r>
      <w:r w:rsidRPr="002C0C73">
        <w:rPr>
          <w:rFonts w:cs="Arial"/>
          <w:bCs/>
          <w:iCs/>
          <w:sz w:val="24"/>
          <w:szCs w:val="24"/>
        </w:rPr>
        <w:t>de votos, lo resolvieron las Magistradas y los Magistrados que integran la Sala Superior del Tribunal Electoral del Poder Judicial de la Federación</w:t>
      </w:r>
      <w:r w:rsidR="00D645FF">
        <w:rPr>
          <w:rFonts w:cs="Arial"/>
          <w:bCs/>
          <w:iCs/>
          <w:sz w:val="24"/>
          <w:szCs w:val="24"/>
        </w:rPr>
        <w:t>. El Magistrado Reyes Rodríguez Mondragón emitió un voto concurrente</w:t>
      </w:r>
      <w:r w:rsidR="00244252">
        <w:rPr>
          <w:rFonts w:cs="Arial"/>
          <w:bCs/>
          <w:iCs/>
          <w:sz w:val="24"/>
          <w:szCs w:val="24"/>
        </w:rPr>
        <w:t xml:space="preserve">. </w:t>
      </w:r>
      <w:r w:rsidR="00D645FF">
        <w:rPr>
          <w:rFonts w:cs="Arial"/>
          <w:bCs/>
          <w:iCs/>
          <w:sz w:val="24"/>
          <w:szCs w:val="24"/>
        </w:rPr>
        <w:t>E</w:t>
      </w:r>
      <w:r w:rsidRPr="002C0C73">
        <w:rPr>
          <w:rFonts w:cs="Arial"/>
          <w:bCs/>
          <w:iCs/>
          <w:sz w:val="24"/>
          <w:szCs w:val="24"/>
        </w:rPr>
        <w:t xml:space="preserve">l secretario </w:t>
      </w:r>
      <w:r w:rsidR="002C4F10">
        <w:rPr>
          <w:rFonts w:cs="Arial"/>
          <w:bCs/>
          <w:iCs/>
          <w:sz w:val="24"/>
          <w:szCs w:val="24"/>
        </w:rPr>
        <w:t>g</w:t>
      </w:r>
      <w:r w:rsidR="00D645FF" w:rsidRPr="002C0C73">
        <w:rPr>
          <w:rFonts w:cs="Arial"/>
          <w:bCs/>
          <w:iCs/>
          <w:sz w:val="24"/>
          <w:szCs w:val="24"/>
        </w:rPr>
        <w:t xml:space="preserve">eneral </w:t>
      </w:r>
      <w:r w:rsidRPr="002C0C73">
        <w:rPr>
          <w:rFonts w:cs="Arial"/>
          <w:bCs/>
          <w:iCs/>
          <w:sz w:val="24"/>
          <w:szCs w:val="24"/>
        </w:rPr>
        <w:t xml:space="preserve">de </w:t>
      </w:r>
      <w:r w:rsidR="002C4F10">
        <w:rPr>
          <w:rFonts w:cs="Arial"/>
          <w:bCs/>
          <w:iCs/>
          <w:sz w:val="24"/>
          <w:szCs w:val="24"/>
        </w:rPr>
        <w:t>a</w:t>
      </w:r>
      <w:r w:rsidRPr="002C0C73">
        <w:rPr>
          <w:rFonts w:cs="Arial"/>
          <w:bCs/>
          <w:iCs/>
          <w:sz w:val="24"/>
          <w:szCs w:val="24"/>
        </w:rPr>
        <w:t>cuerdos autoriza y da fe</w:t>
      </w:r>
      <w:r w:rsidR="00D645FF">
        <w:rPr>
          <w:rFonts w:cs="Arial"/>
          <w:bCs/>
          <w:iCs/>
          <w:sz w:val="24"/>
          <w:szCs w:val="24"/>
        </w:rPr>
        <w:t xml:space="preserve">. Cabe precisar que esta </w:t>
      </w:r>
      <w:r w:rsidRPr="002C0C73">
        <w:rPr>
          <w:rFonts w:cs="Arial"/>
          <w:bCs/>
          <w:iCs/>
          <w:sz w:val="24"/>
          <w:szCs w:val="24"/>
        </w:rPr>
        <w:t>sentencia se firma de manera electrónica.</w:t>
      </w:r>
    </w:p>
    <w:bookmarkEnd w:id="36"/>
    <w:p w:rsidR="009602EB" w:rsidRDefault="00586CDC" w:rsidP="003D6032">
      <w:pPr>
        <w:widowControl w:val="0"/>
        <w:autoSpaceDE w:val="0"/>
        <w:autoSpaceDN w:val="0"/>
        <w:spacing w:before="100" w:beforeAutospacing="1" w:after="100" w:afterAutospacing="1" w:line="360" w:lineRule="auto"/>
        <w:jc w:val="both"/>
        <w:rPr>
          <w:rFonts w:cs="Arial"/>
          <w:bCs/>
          <w:sz w:val="24"/>
          <w:szCs w:val="24"/>
        </w:rPr>
      </w:pPr>
      <w:r w:rsidRPr="002C0C73">
        <w:rPr>
          <w:rFonts w:cs="Arial"/>
          <w:bCs/>
          <w:sz w:val="24"/>
          <w:szCs w:val="24"/>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rsidR="007B2FCF" w:rsidRPr="007B2FCF" w:rsidRDefault="007B2FCF" w:rsidP="007B2FCF">
      <w:pPr>
        <w:keepNext/>
        <w:spacing w:before="100" w:beforeAutospacing="1" w:after="100" w:afterAutospacing="1" w:line="360" w:lineRule="auto"/>
        <w:jc w:val="both"/>
        <w:outlineLvl w:val="0"/>
        <w:rPr>
          <w:rFonts w:ascii="Arial Negrita" w:eastAsia="Times New Roman" w:hAnsi="Arial Negrita" w:cs="Times New Roman"/>
          <w:b/>
          <w:bCs/>
          <w:kern w:val="32"/>
          <w:sz w:val="24"/>
          <w:szCs w:val="32"/>
        </w:rPr>
      </w:pPr>
      <w:r w:rsidRPr="007B2FCF">
        <w:rPr>
          <w:rFonts w:ascii="Arial Negrita" w:eastAsia="Times New Roman" w:hAnsi="Arial Negrita" w:cs="Times New Roman"/>
          <w:b/>
          <w:bCs/>
          <w:kern w:val="32"/>
          <w:sz w:val="24"/>
          <w:szCs w:val="32"/>
        </w:rPr>
        <w:t xml:space="preserve">VOTO CONCURRENTE DEL MAGISTRADO REYES RODRÍGUEZ MONDRAGÓN EN EL JUICIO CIUDADANO SUP-JDC-742/2020 Y SUS ACUMULADOS (APLAZAMIENTO DE LA FECHA PARA RESOLVER SOBRE LA SOLICITUD DE REGISTRO DE LAS ORGANIZACIONES </w:t>
      </w:r>
      <w:r w:rsidRPr="007B2FCF">
        <w:rPr>
          <w:rFonts w:ascii="Arial Negrita" w:eastAsia="Times New Roman" w:hAnsi="Arial Negrita" w:cs="Times New Roman"/>
          <w:b/>
          <w:bCs/>
          <w:kern w:val="32"/>
          <w:sz w:val="24"/>
          <w:szCs w:val="32"/>
        </w:rPr>
        <w:lastRenderedPageBreak/>
        <w:t>CIUDADANAS QUE BUSCAN CONSTITUIRSE EN PARTIDOS POLÍTICOS NACIONALES)</w:t>
      </w:r>
      <w:r w:rsidRPr="007B2FCF">
        <w:rPr>
          <w:rFonts w:ascii="Arial Negrita" w:eastAsia="Times New Roman" w:hAnsi="Arial Negrita" w:cs="Times New Roman"/>
          <w:b/>
          <w:bCs/>
          <w:kern w:val="32"/>
          <w:sz w:val="24"/>
          <w:szCs w:val="32"/>
          <w:vertAlign w:val="superscript"/>
        </w:rPr>
        <w:footnoteReference w:id="100"/>
      </w:r>
    </w:p>
    <w:p w:rsidR="007B2FCF" w:rsidRPr="007B2FCF" w:rsidRDefault="007B2FCF" w:rsidP="007B2FCF">
      <w:pPr>
        <w:spacing w:before="100" w:beforeAutospacing="1"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Si bien coincido con el sentido de la sentencia, no comparto la argumentación utilizada en relación con los tres temas siguientes:</w:t>
      </w:r>
    </w:p>
    <w:p w:rsidR="007B2FCF" w:rsidRPr="007B2FCF" w:rsidRDefault="007B2FCF" w:rsidP="007B2FCF">
      <w:pPr>
        <w:numPr>
          <w:ilvl w:val="0"/>
          <w:numId w:val="19"/>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Que existe eficacia refleja de la cosa juzgada respecto de los agravios de la organización ciudadana “Frente por la Cuarta Transformación”</w:t>
      </w:r>
      <w:r w:rsidRPr="007B2FCF">
        <w:rPr>
          <w:rFonts w:eastAsia="Times New Roman" w:cs="Arial"/>
          <w:sz w:val="24"/>
          <w:szCs w:val="24"/>
          <w:vertAlign w:val="superscript"/>
          <w:lang w:val="es-ES" w:eastAsia="es-ES"/>
        </w:rPr>
        <w:footnoteReference w:id="101"/>
      </w:r>
      <w:r w:rsidRPr="007B2FCF">
        <w:rPr>
          <w:rFonts w:eastAsia="Times New Roman" w:cs="Arial"/>
          <w:sz w:val="24"/>
          <w:szCs w:val="24"/>
          <w:lang w:val="es-ES" w:eastAsia="es-ES"/>
        </w:rPr>
        <w:t>.</w:t>
      </w:r>
    </w:p>
    <w:p w:rsidR="007B2FCF" w:rsidRPr="007B2FCF" w:rsidRDefault="007B2FCF" w:rsidP="007B2FCF">
      <w:pPr>
        <w:numPr>
          <w:ilvl w:val="0"/>
          <w:numId w:val="19"/>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Que es ineficaz el planteamiento que señala que aplazar la fecha de resolución de una solicitud de registro de un nuevo partido político lo priva de diversas prerrogativas, porque como la organización de ciudadanos actora aún no alcanza la calidad de partido, no tiene derecho a reclamar, en este momento, esas prerrogativas</w:t>
      </w:r>
      <w:r w:rsidRPr="007B2FCF">
        <w:rPr>
          <w:rFonts w:eastAsia="Times New Roman" w:cs="Arial"/>
          <w:sz w:val="24"/>
          <w:szCs w:val="24"/>
          <w:vertAlign w:val="superscript"/>
          <w:lang w:val="es-ES" w:eastAsia="es-ES"/>
        </w:rPr>
        <w:footnoteReference w:id="102"/>
      </w:r>
      <w:r w:rsidRPr="007B2FCF">
        <w:rPr>
          <w:rFonts w:eastAsia="Times New Roman" w:cs="Arial"/>
          <w:sz w:val="24"/>
          <w:szCs w:val="24"/>
          <w:lang w:val="es-ES" w:eastAsia="es-ES"/>
        </w:rPr>
        <w:t>.</w:t>
      </w:r>
    </w:p>
    <w:p w:rsidR="007B2FCF" w:rsidRPr="007B2FCF" w:rsidRDefault="007B2FCF" w:rsidP="007B2FCF">
      <w:pPr>
        <w:numPr>
          <w:ilvl w:val="0"/>
          <w:numId w:val="19"/>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Que es ineficaz el planteamiento que establece que la modificación de la fecha de resolución de la solicitud de registro afecta negativamente el derecho al financiamiento de los partidos de nueva creación, porque esa cuestión sería atendida en el juicio ciudadano SUP-JDC-750/2020</w:t>
      </w:r>
      <w:r w:rsidRPr="007B2FCF">
        <w:rPr>
          <w:rFonts w:eastAsia="Times New Roman" w:cs="Arial"/>
          <w:sz w:val="24"/>
          <w:szCs w:val="24"/>
          <w:vertAlign w:val="superscript"/>
          <w:lang w:val="es-ES" w:eastAsia="es-ES"/>
        </w:rPr>
        <w:footnoteReference w:id="103"/>
      </w:r>
      <w:r w:rsidRPr="007B2FCF">
        <w:rPr>
          <w:rFonts w:eastAsia="Times New Roman" w:cs="Arial"/>
          <w:sz w:val="24"/>
          <w:szCs w:val="24"/>
          <w:lang w:val="es-ES" w:eastAsia="es-ES"/>
        </w:rPr>
        <w:t>.</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Las razones por las que me aparto de tales afirmaciones son las que se exponen enseguida.</w:t>
      </w:r>
    </w:p>
    <w:p w:rsidR="007B2FCF" w:rsidRPr="007B2FCF" w:rsidRDefault="007B2FCF" w:rsidP="007B2FCF">
      <w:pPr>
        <w:keepNext/>
        <w:spacing w:before="100" w:beforeAutospacing="1" w:after="100" w:afterAutospacing="1" w:line="360" w:lineRule="auto"/>
        <w:jc w:val="both"/>
        <w:outlineLvl w:val="0"/>
        <w:rPr>
          <w:rFonts w:ascii="Arial Negrita" w:eastAsia="Times New Roman" w:hAnsi="Arial Negrita" w:cs="Times New Roman"/>
          <w:b/>
          <w:bCs/>
          <w:kern w:val="32"/>
          <w:sz w:val="24"/>
          <w:szCs w:val="32"/>
        </w:rPr>
      </w:pPr>
      <w:r w:rsidRPr="007B2FCF">
        <w:rPr>
          <w:rFonts w:ascii="Arial Negrita" w:eastAsia="Times New Roman" w:hAnsi="Arial Negrita" w:cs="Times New Roman"/>
          <w:b/>
          <w:bCs/>
          <w:kern w:val="32"/>
          <w:sz w:val="24"/>
          <w:szCs w:val="32"/>
        </w:rPr>
        <w:t>1. No existe eficacia refleja de la cosa juzgada respecto del juicio SUP-JDC-216/2020</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La organización ciudadana Frente por la Cuarta Transformación planteó los temas siguientes:</w:t>
      </w:r>
    </w:p>
    <w:p w:rsidR="007B2FCF" w:rsidRPr="007B2FCF" w:rsidRDefault="007B2FCF" w:rsidP="007B2FCF">
      <w:pPr>
        <w:numPr>
          <w:ilvl w:val="0"/>
          <w:numId w:val="20"/>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 xml:space="preserve">La inconstitucionalidad de los numerales 27, 30, 47, 98, 110, 113 y 115 del “Instructivo que deberán observar las organizaciones interesadas en constituir un partido político nacional, así como diversas disposiciones </w:t>
      </w:r>
      <w:r w:rsidRPr="007B2FCF">
        <w:rPr>
          <w:rFonts w:eastAsia="Times New Roman" w:cs="Arial"/>
          <w:sz w:val="24"/>
          <w:szCs w:val="24"/>
          <w:lang w:val="es-ES" w:eastAsia="es-ES"/>
        </w:rPr>
        <w:lastRenderedPageBreak/>
        <w:t>relativas a la revisión de los requisitos que se deben cumplir para dicho fin”.</w:t>
      </w:r>
    </w:p>
    <w:p w:rsidR="007B2FCF" w:rsidRPr="007B2FCF" w:rsidRDefault="007B2FCF" w:rsidP="007B2FCF">
      <w:pPr>
        <w:numPr>
          <w:ilvl w:val="0"/>
          <w:numId w:val="20"/>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La inaplicación de los artículos 10, párrafo 2, inciso b); 12, párrafo 1, inciso a); 14, párrafo 2, y 15 de la Ley General de Partidos Políticos (Ley de Partidos).</w:t>
      </w:r>
    </w:p>
    <w:p w:rsidR="007B2FCF" w:rsidRPr="007B2FCF" w:rsidRDefault="007B2FCF" w:rsidP="007B2FCF">
      <w:pPr>
        <w:numPr>
          <w:ilvl w:val="0"/>
          <w:numId w:val="20"/>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La inaplicación de diversos preceptos debido a la existencia de actos de violencia.</w:t>
      </w:r>
    </w:p>
    <w:p w:rsidR="007B2FCF" w:rsidRPr="007B2FCF" w:rsidRDefault="007B2FCF" w:rsidP="007B2FCF">
      <w:pPr>
        <w:numPr>
          <w:ilvl w:val="0"/>
          <w:numId w:val="20"/>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La falta de confiabilidad y fallas de la aplicación informática para recabar apoyos.</w:t>
      </w:r>
    </w:p>
    <w:p w:rsidR="007B2FCF" w:rsidRPr="007B2FCF" w:rsidRDefault="007B2FCF" w:rsidP="007B2FCF">
      <w:pPr>
        <w:numPr>
          <w:ilvl w:val="0"/>
          <w:numId w:val="20"/>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La afectación a las personas integrantes de los pueblos y comunidades indígenas.</w:t>
      </w:r>
    </w:p>
    <w:p w:rsidR="007B2FCF" w:rsidRPr="007B2FCF" w:rsidRDefault="007B2FCF" w:rsidP="007B2FCF">
      <w:pPr>
        <w:numPr>
          <w:ilvl w:val="0"/>
          <w:numId w:val="20"/>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El INE omitió implementar un mecanismo para garantizar el derecho de audiencia; entre otras cuestiones.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la sentencia se establece que respecto de tales planteamientos se actualiza la eficacia refleja de la cosa juzgada, en relación con el juicio ciudadano SUP-JDC-216/2020, en el cual ya se atendieron esas cuestiones, y fueron desestimadas.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No comparto lo anterior, pues estimo que en este caso la cosa juzgada no es refleja, </w:t>
      </w:r>
      <w:r w:rsidRPr="007B2FCF">
        <w:rPr>
          <w:rFonts w:eastAsia="Times New Roman" w:cs="Arial"/>
          <w:b/>
          <w:sz w:val="24"/>
          <w:szCs w:val="24"/>
          <w:lang w:val="es-ES" w:eastAsia="es-ES"/>
        </w:rPr>
        <w:t>sino directa</w:t>
      </w:r>
      <w:r w:rsidRPr="007B2FCF">
        <w:rPr>
          <w:rFonts w:eastAsia="Times New Roman" w:cs="Arial"/>
          <w:sz w:val="24"/>
          <w:szCs w:val="24"/>
          <w:lang w:val="es-ES" w:eastAsia="es-ES"/>
        </w:rPr>
        <w:t xml:space="preserve">, pues en ambos juicios: </w:t>
      </w:r>
      <w:r w:rsidRPr="007B2FCF">
        <w:rPr>
          <w:rFonts w:eastAsia="Times New Roman" w:cs="Arial"/>
          <w:b/>
          <w:i/>
          <w:sz w:val="24"/>
          <w:szCs w:val="24"/>
          <w:lang w:val="es-ES" w:eastAsia="es-ES"/>
        </w:rPr>
        <w:t>i)</w:t>
      </w:r>
      <w:r w:rsidRPr="007B2FCF">
        <w:rPr>
          <w:rFonts w:eastAsia="Times New Roman" w:cs="Arial"/>
          <w:sz w:val="24"/>
          <w:szCs w:val="24"/>
          <w:lang w:val="es-ES" w:eastAsia="es-ES"/>
        </w:rPr>
        <w:t xml:space="preserve"> la parte actora; es la misma </w:t>
      </w:r>
      <w:r w:rsidRPr="007B2FCF">
        <w:rPr>
          <w:rFonts w:eastAsia="Times New Roman" w:cs="Arial"/>
          <w:b/>
          <w:sz w:val="24"/>
          <w:szCs w:val="24"/>
          <w:lang w:val="es-ES" w:eastAsia="es-ES"/>
        </w:rPr>
        <w:t xml:space="preserve"> </w:t>
      </w:r>
      <w:proofErr w:type="spellStart"/>
      <w:r w:rsidRPr="007B2FCF">
        <w:rPr>
          <w:rFonts w:eastAsia="Times New Roman" w:cs="Arial"/>
          <w:b/>
          <w:i/>
          <w:sz w:val="24"/>
          <w:szCs w:val="24"/>
          <w:lang w:val="es-ES" w:eastAsia="es-ES"/>
        </w:rPr>
        <w:t>ii</w:t>
      </w:r>
      <w:proofErr w:type="spellEnd"/>
      <w:r w:rsidRPr="007B2FCF">
        <w:rPr>
          <w:rFonts w:eastAsia="Times New Roman" w:cs="Arial"/>
          <w:b/>
          <w:i/>
          <w:sz w:val="24"/>
          <w:szCs w:val="24"/>
          <w:lang w:val="es-ES" w:eastAsia="es-ES"/>
        </w:rPr>
        <w:t>)</w:t>
      </w:r>
      <w:r w:rsidRPr="007B2FCF">
        <w:rPr>
          <w:rFonts w:eastAsia="Times New Roman" w:cs="Arial"/>
          <w:b/>
          <w:sz w:val="24"/>
          <w:szCs w:val="24"/>
          <w:lang w:val="es-ES" w:eastAsia="es-ES"/>
        </w:rPr>
        <w:t xml:space="preserve"> </w:t>
      </w:r>
      <w:r w:rsidRPr="007B2FCF">
        <w:rPr>
          <w:rFonts w:eastAsia="Times New Roman" w:cs="Arial"/>
          <w:sz w:val="24"/>
          <w:szCs w:val="24"/>
          <w:lang w:val="es-ES" w:eastAsia="es-ES"/>
        </w:rPr>
        <w:t xml:space="preserve">los planteamientos son iguales; y </w:t>
      </w:r>
      <w:proofErr w:type="spellStart"/>
      <w:r w:rsidRPr="007B2FCF">
        <w:rPr>
          <w:rFonts w:eastAsia="Times New Roman" w:cs="Arial"/>
          <w:b/>
          <w:i/>
          <w:sz w:val="24"/>
          <w:szCs w:val="24"/>
          <w:lang w:val="es-ES" w:eastAsia="es-ES"/>
        </w:rPr>
        <w:t>iii</w:t>
      </w:r>
      <w:proofErr w:type="spellEnd"/>
      <w:r w:rsidRPr="007B2FCF">
        <w:rPr>
          <w:rFonts w:eastAsia="Times New Roman" w:cs="Arial"/>
          <w:b/>
          <w:i/>
          <w:sz w:val="24"/>
          <w:szCs w:val="24"/>
          <w:lang w:val="es-ES" w:eastAsia="es-ES"/>
        </w:rPr>
        <w:t>)</w:t>
      </w:r>
      <w:r w:rsidRPr="007B2FCF">
        <w:rPr>
          <w:rFonts w:eastAsia="Times New Roman" w:cs="Arial"/>
          <w:sz w:val="24"/>
          <w:szCs w:val="24"/>
          <w:lang w:val="es-ES" w:eastAsia="es-ES"/>
        </w:rPr>
        <w:t xml:space="preserve"> se alude a que la fuente de la afectación son el informe relacionado con el proceso de constitución de nuevos partidos políticos nacionales 2019-2020 y el diverso informe del secretario ejecutivo del Instituto Nacional Electoral (INE) sobre las organizaciones que presentaron solicitud de registro para constituirse como partidos políticos nacionales 2019-2020</w:t>
      </w:r>
      <w:r w:rsidRPr="007B2FCF">
        <w:rPr>
          <w:rFonts w:eastAsia="Times New Roman" w:cs="Arial"/>
          <w:sz w:val="24"/>
          <w:szCs w:val="24"/>
          <w:vertAlign w:val="superscript"/>
          <w:lang w:val="es-ES" w:eastAsia="es-ES"/>
        </w:rPr>
        <w:footnoteReference w:id="104"/>
      </w:r>
      <w:r w:rsidRPr="007B2FCF">
        <w:rPr>
          <w:rFonts w:eastAsia="Times New Roman" w:cs="Arial"/>
          <w:sz w:val="24"/>
          <w:szCs w:val="24"/>
          <w:lang w:val="es-ES" w:eastAsia="es-ES"/>
        </w:rPr>
        <w:t>; si bien, en el segundo juicio se intenta señalar que las cuestiones que se combaten derivan del acuerdo del Consejo General del INE INE/CG97/2020.</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lastRenderedPageBreak/>
        <w:t>Sin embargo, a pesar de que no se actualiza la eficacia refleja de la cosa juzgada, como la organización actora, con sus agravios, no descalifica, el acuerdo hoy reclamado (INE/CG97/2020), sus planteamientos son inoperantes, tal como se explica en el apartado de la sentencia identificado como “2. Los argumentos no controvierten el acto impugnado”</w:t>
      </w:r>
      <w:r w:rsidRPr="007B2FCF">
        <w:rPr>
          <w:rFonts w:eastAsia="Times New Roman" w:cs="Arial"/>
          <w:sz w:val="24"/>
          <w:szCs w:val="24"/>
          <w:vertAlign w:val="superscript"/>
          <w:lang w:val="es-ES" w:eastAsia="es-ES"/>
        </w:rPr>
        <w:footnoteReference w:id="105"/>
      </w:r>
      <w:r w:rsidRPr="007B2FCF">
        <w:rPr>
          <w:rFonts w:eastAsia="Times New Roman" w:cs="Arial"/>
          <w:sz w:val="24"/>
          <w:szCs w:val="24"/>
          <w:lang w:val="es-ES" w:eastAsia="es-ES"/>
        </w:rPr>
        <w:t xml:space="preserve">. </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consecuencia, comparto el sentido de la decisión, pero no el hecho de que se argumente que la inoperancia deriva de una eficacia refleja de la cosa juzgada.</w:t>
      </w:r>
    </w:p>
    <w:p w:rsidR="007B2FCF" w:rsidRPr="007B2FCF" w:rsidRDefault="007B2FCF" w:rsidP="007B2FCF">
      <w:pPr>
        <w:keepNext/>
        <w:spacing w:before="100" w:beforeAutospacing="1" w:after="100" w:afterAutospacing="1" w:line="360" w:lineRule="auto"/>
        <w:jc w:val="both"/>
        <w:outlineLvl w:val="0"/>
        <w:rPr>
          <w:rFonts w:ascii="Arial Negrita" w:eastAsia="Times New Roman" w:hAnsi="Arial Negrita" w:cs="Times New Roman"/>
          <w:b/>
          <w:bCs/>
          <w:kern w:val="32"/>
          <w:sz w:val="24"/>
          <w:szCs w:val="32"/>
        </w:rPr>
      </w:pPr>
      <w:r w:rsidRPr="007B2FCF">
        <w:rPr>
          <w:rFonts w:ascii="Arial Negrita" w:eastAsia="Times New Roman" w:hAnsi="Arial Negrita" w:cs="Times New Roman"/>
          <w:b/>
          <w:bCs/>
          <w:kern w:val="32"/>
          <w:sz w:val="24"/>
          <w:szCs w:val="32"/>
        </w:rPr>
        <w:t>2. Debió analizarse el fondo del planteamiento que señala que el aplazamiento de la resolución de las peticiones de registro de nuevos partidos políticos puede llegar a afectar las actividades de los partidos de nueva creación</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Las organizaciones “Libertad y Responsabilidad Democrática” y “Encuentro Solidario” plantean que aplazar la resolución de sus solicitudes de registro como partidos políticos es injustificado, pues ello implica reducir dos meses completos de tiempo para que los partidos de nueva creación realicen distintas actividades propias de su función constitucional.</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La sentencia atiende esa cuestión señalando que el agravio es ineficaz, porque debido a que las organizaciones actoras aún no obtienen su registro como partidos, la reducción de tiempo y limitación de prerrogativas que el acuerdo impugnado supone, no les causa ninguna afectación.</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Tampoco comparto este argumento.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El acto impugnado en el caso concreto es el acuerdo INE/CG97/2020 que determinó ampliar el plazo para resolver sobre las solicitudes de registro de nuevos partidos políticos. </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Tal como se reconoce en la propia sentencia, las organizaciones actoras tienen interés jurídico para cuestionar ese aplazamiento, pues incide de forma directa y actual en su derecho a obtener una respuesta a las solicitudes de registro como partidos.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lastRenderedPageBreak/>
        <w:t>Salvada la cuestión del interés jurídico como requisito de procedencia del juicio, para evaluar los efectos que la ampliación del plazo tiene sobre el sistema jurídico es innecesario evidenciar la afectación que dicho acto le genera a los actores.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En efecto, para evaluar la regularidad de un acto, se suelen estudiar, entre otras cuestiones, </w:t>
      </w:r>
      <w:r w:rsidRPr="007B2FCF">
        <w:rPr>
          <w:rFonts w:eastAsia="Times New Roman" w:cs="Arial"/>
          <w:b/>
          <w:sz w:val="24"/>
          <w:szCs w:val="24"/>
          <w:lang w:val="es-ES" w:eastAsia="es-ES"/>
        </w:rPr>
        <w:t>los efectos que este genera</w:t>
      </w:r>
      <w:r w:rsidRPr="007B2FCF">
        <w:rPr>
          <w:rFonts w:eastAsia="Times New Roman" w:cs="Arial"/>
          <w:sz w:val="24"/>
          <w:szCs w:val="24"/>
          <w:lang w:val="es-ES" w:eastAsia="es-ES"/>
        </w:rPr>
        <w:t xml:space="preserve"> no solo para las partes, sino también para el ordenamiento jurídico.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el caso, los actores le solicitaron a la Sala Superior que evaluara si el aplazamiento impugnado generaba un desbalance, en términos de equidad, en la distribución de prerrogativas electorales que tiene lugar a partir de los meses de julio y agosto.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Es decir, los actores le preguntaron al tribunal si el acto cuestionado era regular, a pesar de las consecuencias negativas que generaba en distintos ámbitos.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Estimo que para evaluar la regularidad de un acto reclamado </w:t>
      </w:r>
      <w:r w:rsidRPr="007B2FCF">
        <w:rPr>
          <w:rFonts w:eastAsia="Times New Roman" w:cs="Arial"/>
          <w:b/>
          <w:sz w:val="24"/>
          <w:szCs w:val="24"/>
          <w:lang w:val="es-ES" w:eastAsia="es-ES"/>
        </w:rPr>
        <w:t xml:space="preserve">a partir de sus efectos </w:t>
      </w:r>
      <w:r w:rsidRPr="007B2FCF">
        <w:rPr>
          <w:rFonts w:eastAsia="Times New Roman" w:cs="Arial"/>
          <w:sz w:val="24"/>
          <w:szCs w:val="24"/>
          <w:lang w:val="es-ES" w:eastAsia="es-ES"/>
        </w:rPr>
        <w:t>no hace falta acreditar el daño que el acto genera exclusivamente respecto de la parte demandante, pues lo ordinario es que los jueces evaluemos, también, la incidencia de las determinaciones reclamadas en relación con los valores y bienes constitucionales en juego, con el interés público o interés general, atendiendo a los incentivos que se busca generar o que se crearían, y en relación con las repercusiones que tendría en el ordenamiento jurídico y, en particular, en el sistema de partidos políticos, entre otros.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este caso, observo que el criterio mayoritario simplemente evadió el deber de analizar el aplazamiento —que la propia sentencia reconoce que incide sobre los actores— a partir de sus consecuencias, usando como argumento que éstas no le interesan ni afectan a los promoventes.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Es decir, se soslayó el deber que existe de analizar las consecuencias que un acto reclamado puede llegar a tener no solo para las partes, sino también en relación con el sistema jurídico u otros aspectos o sujetos relevantes para el </w:t>
      </w:r>
      <w:r w:rsidRPr="007B2FCF">
        <w:rPr>
          <w:rFonts w:eastAsia="Times New Roman" w:cs="Arial"/>
          <w:sz w:val="24"/>
          <w:szCs w:val="24"/>
          <w:lang w:val="es-ES" w:eastAsia="es-ES"/>
        </w:rPr>
        <w:lastRenderedPageBreak/>
        <w:t>derecho electoral, lo cual es un tipo de análisis que ordinariamente se lleva a cabo en el ámbito jurisdiccional.</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Sin embargo, aun suponiendo que una vez salvado el interés jurídico del demandante, cuando se analizan las consecuencias de un acto reclamado en el fondo de un asunto, necesariamente deba acreditarse la afectación que éstas generan para los actores, observo que en el presente caso sí se evidencia dicha afectación.</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Si se mantiene la decisión de aplazar el momento para resolver sobre la solicitud de registro de los nuevos partidos políticos, de forma irreparable, </w:t>
      </w:r>
      <w:r w:rsidRPr="007B2FCF">
        <w:rPr>
          <w:rFonts w:eastAsia="Times New Roman" w:cs="Arial"/>
          <w:b/>
          <w:sz w:val="24"/>
          <w:szCs w:val="24"/>
          <w:lang w:val="es-ES" w:eastAsia="es-ES"/>
        </w:rPr>
        <w:t>se está privando a las organizaciones del tiempo</w:t>
      </w:r>
      <w:r w:rsidRPr="007B2FCF">
        <w:rPr>
          <w:rFonts w:eastAsia="Times New Roman" w:cs="Arial"/>
          <w:sz w:val="24"/>
          <w:szCs w:val="24"/>
          <w:lang w:val="es-ES" w:eastAsia="es-ES"/>
        </w:rPr>
        <w:t xml:space="preserve"> en el cual podían haber operado con otra calidad, es decir, como partidos políticos de nueva creación, con todas las consecuencias que ello hubiera implicado, </w:t>
      </w:r>
      <w:r w:rsidRPr="007B2FCF">
        <w:rPr>
          <w:rFonts w:eastAsia="Times New Roman" w:cs="Arial"/>
          <w:b/>
          <w:sz w:val="24"/>
          <w:szCs w:val="24"/>
          <w:lang w:val="es-ES" w:eastAsia="es-ES"/>
        </w:rPr>
        <w:t>incluso aunque les concedan su registro</w:t>
      </w:r>
      <w:r w:rsidRPr="007B2FCF">
        <w:rPr>
          <w:rFonts w:eastAsia="Times New Roman" w:cs="Arial"/>
          <w:sz w:val="24"/>
          <w:szCs w:val="24"/>
          <w:lang w:val="es-ES" w:eastAsia="es-ES"/>
        </w:rPr>
        <w:t>.</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Por tal motivo, las organizaciones demandantes reclamaron justamente que el acto cuestionado implicaba la decisión de privarlos de ese tiempo, especialmente en el caso de que la autoridad electoral les otorgara su registro, lo cual evidenciaba la necesidad de analizar si dicho efecto era o no válido.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Esta última cuestión evidencia, además, que en la ejecutoria se comete una falacia de petición de principio. De los planteamientos de los actores se observa que argumentaron que el acto reclamado genera dos consecuencias:</w:t>
      </w:r>
    </w:p>
    <w:p w:rsidR="007B2FCF" w:rsidRPr="007B2FCF" w:rsidRDefault="007B2FCF" w:rsidP="007B2FCF">
      <w:pPr>
        <w:numPr>
          <w:ilvl w:val="0"/>
          <w:numId w:val="21"/>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Aplazar la decisión de resolver si obtienen el registro como partidos políticos.</w:t>
      </w:r>
    </w:p>
    <w:p w:rsidR="007B2FCF" w:rsidRPr="007B2FCF" w:rsidRDefault="007B2FCF" w:rsidP="007B2FCF">
      <w:pPr>
        <w:numPr>
          <w:ilvl w:val="0"/>
          <w:numId w:val="21"/>
        </w:numPr>
        <w:spacing w:before="240" w:after="100" w:afterAutospacing="1" w:line="360" w:lineRule="auto"/>
        <w:ind w:left="714" w:hanging="357"/>
        <w:jc w:val="both"/>
        <w:rPr>
          <w:rFonts w:eastAsia="Times New Roman" w:cs="Arial"/>
          <w:sz w:val="24"/>
          <w:szCs w:val="24"/>
          <w:lang w:val="es-ES" w:eastAsia="es-ES"/>
        </w:rPr>
      </w:pPr>
      <w:r w:rsidRPr="007B2FCF">
        <w:rPr>
          <w:rFonts w:eastAsia="Times New Roman" w:cs="Arial"/>
          <w:sz w:val="24"/>
          <w:szCs w:val="24"/>
          <w:lang w:val="es-ES" w:eastAsia="es-ES"/>
        </w:rPr>
        <w:t>Traslapar ese periodo que duraría el aplazamiento con otro en el que, de resolverse favorablemente su solicitud, tendrían derecho a disfrutar de distintas prerrogativas.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De esta manera, el efecto último del acto reclamado es mantener a las organizaciones que buscan constituirse en partidos en una indefinición, por un </w:t>
      </w:r>
      <w:proofErr w:type="gramStart"/>
      <w:r w:rsidRPr="007B2FCF">
        <w:rPr>
          <w:rFonts w:eastAsia="Times New Roman" w:cs="Arial"/>
          <w:sz w:val="24"/>
          <w:szCs w:val="24"/>
          <w:lang w:val="es-ES" w:eastAsia="es-ES"/>
        </w:rPr>
        <w:t>lapso de tiempo</w:t>
      </w:r>
      <w:proofErr w:type="gramEnd"/>
      <w:r w:rsidRPr="007B2FCF">
        <w:rPr>
          <w:rFonts w:eastAsia="Times New Roman" w:cs="Arial"/>
          <w:sz w:val="24"/>
          <w:szCs w:val="24"/>
          <w:lang w:val="es-ES" w:eastAsia="es-ES"/>
        </w:rPr>
        <w:t xml:space="preserve"> más prolongado, precisamente durante un periodo en el que la definición oportuna de su registro les hubiera permitido conocer si podían operar con una calidad distinta.</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lastRenderedPageBreak/>
        <w:t xml:space="preserve">En ese sentido, las organizaciones demandantes argumentaron que, de validarse el aplazamiento, se les generaba una afectación irreparable, pues incluso en el caso de que la autoridad electoral les reconociera la calidad de partidos, </w:t>
      </w:r>
      <w:r w:rsidRPr="007B2FCF">
        <w:rPr>
          <w:rFonts w:eastAsia="Times New Roman" w:cs="Arial"/>
          <w:b/>
          <w:sz w:val="24"/>
          <w:szCs w:val="24"/>
          <w:lang w:val="es-ES" w:eastAsia="es-ES"/>
        </w:rPr>
        <w:t>ellas no podrían recuperar el tiempo</w:t>
      </w:r>
      <w:r w:rsidRPr="007B2FCF">
        <w:rPr>
          <w:rFonts w:eastAsia="Times New Roman" w:cs="Arial"/>
          <w:sz w:val="24"/>
          <w:szCs w:val="24"/>
          <w:lang w:val="es-ES" w:eastAsia="es-ES"/>
        </w:rPr>
        <w:t xml:space="preserve"> que la autoridad se demoró en otorgarles su registro y que originalmente pudieron utilizar para realizar actos relacionados con la función de los institutos políticos.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A pesar de ese cuestionamiento, la sentencia resolvió que no era posible analizar dicho tema, porque las organizaciones demandantes aún no son partido político, de manera que podrían acudir a reclamar las prerrogativas propias de los institutos políticos (incluso el tiempo) solo hasta que alcanzaran la referida calidad.</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Como se observa, para estudiar la cuestión propuesta que consiste en determinar si se justifica mantener atrasar la toma de una decisión que, de tomarse oportunamente, no les generaría consecuencias negativas de privación irreparable de tiempo a los actores, la sentencia señala que como esa decisión no se ha tomado, no se generan esas consecuencias negativas. De ahí que no pueda compartir esa argumentación.</w:t>
      </w:r>
    </w:p>
    <w:p w:rsidR="007B2FCF" w:rsidRPr="007B2FCF" w:rsidRDefault="007B2FCF" w:rsidP="007B2FCF">
      <w:pPr>
        <w:keepNext/>
        <w:spacing w:before="100" w:beforeAutospacing="1" w:after="100" w:afterAutospacing="1" w:line="360" w:lineRule="auto"/>
        <w:jc w:val="both"/>
        <w:outlineLvl w:val="0"/>
        <w:rPr>
          <w:rFonts w:ascii="Arial Negrita" w:eastAsia="Times New Roman" w:hAnsi="Arial Negrita" w:cs="Times New Roman"/>
          <w:b/>
          <w:bCs/>
          <w:kern w:val="32"/>
          <w:sz w:val="24"/>
          <w:szCs w:val="32"/>
        </w:rPr>
      </w:pPr>
      <w:r w:rsidRPr="007B2FCF">
        <w:rPr>
          <w:rFonts w:ascii="Arial Negrita" w:eastAsia="Times New Roman" w:hAnsi="Arial Negrita" w:cs="Times New Roman"/>
          <w:b/>
          <w:bCs/>
          <w:kern w:val="32"/>
          <w:sz w:val="24"/>
          <w:szCs w:val="32"/>
        </w:rPr>
        <w:t xml:space="preserve">3. Debió responderse de fondo el argumento que planteaba que de subsistir </w:t>
      </w:r>
      <w:proofErr w:type="gramStart"/>
      <w:r w:rsidRPr="007B2FCF">
        <w:rPr>
          <w:rFonts w:ascii="Arial Negrita" w:eastAsia="Times New Roman" w:hAnsi="Arial Negrita" w:cs="Times New Roman"/>
          <w:b/>
          <w:bCs/>
          <w:kern w:val="32"/>
          <w:sz w:val="24"/>
          <w:szCs w:val="32"/>
        </w:rPr>
        <w:t>el  aplazamiento</w:t>
      </w:r>
      <w:proofErr w:type="gramEnd"/>
      <w:r w:rsidRPr="007B2FCF">
        <w:rPr>
          <w:rFonts w:ascii="Arial Negrita" w:eastAsia="Times New Roman" w:hAnsi="Arial Negrita" w:cs="Times New Roman"/>
          <w:b/>
          <w:bCs/>
          <w:kern w:val="32"/>
          <w:sz w:val="24"/>
          <w:szCs w:val="32"/>
        </w:rPr>
        <w:t xml:space="preserve"> cuestionado se privaría a las organizaciones que pudieran alcanzaran la calidad de partidos políticos del tiempo para disponer del financiamiento público ordinario que les correspondería para los meses de julio y agosto, así como otras prerrogativas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la sentencia se indica que este agravio es inoperante, pues también se hizo valer en el expediente del diverso juicio SUP-JDC-750/2020 y que, en todo caso, se analizaría en este último juicio.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La sentencia no explica porque el hecho de que una cuestión que se plantea en dos demandas distintas necesariamente deba atenderse en el juicio derivado de la segunda, cuando lo ordinario es justamente lo contrario.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Es decir, cuando la cuestión reclamada es la misma y el agravio que se dirige a combatirla se hace valer en dos demandas diferentes, lo que procede es atender la primera demanda y desechar la segunda.</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lastRenderedPageBreak/>
        <w:t>Además, en el caso concreto el criterio mayoritario declaró inoperante el planteamiento que se dirigía a cuestionar una decisión que únicamente aparecía en el acuerdo INE/CG97/2020, que es el acto reclamado en los juicios SUP-JDC-742/2020 y acumulados.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efecto, en el caso concreto, el acto reclamado era la decisión de aplazar la resolución de las solicitudes de registro de los nuevos partidos políticos. Esta decisión está contenida exclusivamente en el acuerdo INE/CG97/2020, cuestionado en los juicios SUP-JDC-742/2020 y acumulados.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El agravio en esos casos era que dicho aplazamiento les impide a las organizaciones que alcancen la calidad de partidos utilizar oportunamente las ministraciones que les corresponderían para los meses de julio y agosto, derivadas del financiamiento público ordinario, así como las prerrogativas en radio y televisión, justamente porque dicho aplazamiento tomaría lugar en esos mismos meses.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Por otra parte, en el diverso acuerdo INE/CG98/2020 (acto impugnado en el juicio SUP-JDC-750/2020) se da por sentado el aplazamiento y se decide que la entrega de las ministraciones que correspondan a las organizaciones que alcancen la calidad de partidos no tendrá efectos retroactivos respecto de los meses de julio y agosto.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ese sentido, era en el juicio SUP-JDC-742/2020 y acumulados en el que debía atenderse la cuestión relativa al aplazamiento y no en el juicio SUP-JDC-750/2020, en el que el acto reclamado tenía alcances distintos.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Esta circunstancia trajo como consecuencia que, en la sentencia del juicio ciudadano SUP-JDC-742/2020 y acumulados, se dejara de atender una cuestión válidamente planteada.</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Esa decisión también dejó en indefensión al actor, pues el criterio mayoritario en el juicio SUP-JDC-750/2020 —que fue en el que se dijo que se atendería el agravio— fue desechar la demanda por falta de interés, por lo que el planteamiento de la organización actora no se atendió en ningún juicio.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lastRenderedPageBreak/>
        <w:t>En tales condiciones, la ejecutoria comete nuevamente una falacia, al evadir la cuestión efectivamente planteada. Por tales motivos, disiento de la inoperancia que finalmente se aprobó en la sentencia.</w:t>
      </w:r>
    </w:p>
    <w:p w:rsidR="007B2FCF" w:rsidRPr="007B2FCF" w:rsidRDefault="007B2FCF" w:rsidP="007B2FCF">
      <w:pPr>
        <w:keepNext/>
        <w:spacing w:before="100" w:beforeAutospacing="1" w:after="100" w:afterAutospacing="1" w:line="360" w:lineRule="auto"/>
        <w:jc w:val="both"/>
        <w:outlineLvl w:val="0"/>
        <w:rPr>
          <w:rFonts w:ascii="Arial Negrita" w:eastAsia="Times New Roman" w:hAnsi="Arial Negrita" w:cs="Times New Roman"/>
          <w:b/>
          <w:bCs/>
          <w:kern w:val="32"/>
          <w:sz w:val="24"/>
          <w:szCs w:val="32"/>
        </w:rPr>
      </w:pPr>
      <w:r w:rsidRPr="007B2FCF">
        <w:rPr>
          <w:rFonts w:ascii="Arial Negrita" w:eastAsia="Times New Roman" w:hAnsi="Arial Negrita" w:cs="Times New Roman"/>
          <w:b/>
          <w:bCs/>
          <w:kern w:val="32"/>
          <w:sz w:val="24"/>
          <w:szCs w:val="32"/>
        </w:rPr>
        <w:t>4. Coincido con el sentido de la sentencia que determina que debe subsistir la medida de aplazamiento</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Si bien no comparto la argumentación de la sentencia en los temas anteriores, observo que si se hubieran atendido los planteamientos declarados como ineficaces —a los que me referí en los apartados 2 y 3 de este voto—, de todas formas, se habría llegado a la conclusión de que debía mantenerse la medida de aplazamiento ordenada por el INE. </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En efecto, la argumentación que debió utilizarse suponía reconocer que la citada medida sí impacta en el tiempo, prerrogativas, estrategia y desarrollo de actividades de los partidos políticos de nueva creación y, en consecuencia, en los principios de certeza, legalidad y equidad, en el contexto del inicio del próximo proceso electoral.</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Sin embargo, la afectación a tales bienes y principios resultaba justificada en atención a los elementos siguientes:</w:t>
      </w:r>
    </w:p>
    <w:p w:rsidR="007B2FCF" w:rsidRPr="007B2FCF" w:rsidRDefault="007B2FCF" w:rsidP="007B2FCF">
      <w:pPr>
        <w:numPr>
          <w:ilvl w:val="0"/>
          <w:numId w:val="22"/>
        </w:numPr>
        <w:spacing w:before="240" w:after="100" w:afterAutospacing="1" w:line="360" w:lineRule="auto"/>
        <w:ind w:left="782" w:hanging="357"/>
        <w:jc w:val="both"/>
        <w:rPr>
          <w:rFonts w:eastAsia="Times New Roman" w:cs="Arial"/>
          <w:sz w:val="24"/>
          <w:szCs w:val="24"/>
          <w:lang w:val="es-ES" w:eastAsia="es-ES"/>
        </w:rPr>
      </w:pPr>
      <w:r w:rsidRPr="007B2FCF">
        <w:rPr>
          <w:rFonts w:eastAsia="Times New Roman" w:cs="Arial"/>
          <w:sz w:val="24"/>
          <w:szCs w:val="24"/>
          <w:lang w:val="es-ES" w:eastAsia="es-ES"/>
        </w:rPr>
        <w:t>La situación extraordinaria de pandemia todavía presente en el país.</w:t>
      </w:r>
    </w:p>
    <w:p w:rsidR="007B2FCF" w:rsidRPr="007B2FCF" w:rsidRDefault="007B2FCF" w:rsidP="007B2FCF">
      <w:pPr>
        <w:numPr>
          <w:ilvl w:val="0"/>
          <w:numId w:val="22"/>
        </w:numPr>
        <w:spacing w:before="240" w:after="100" w:afterAutospacing="1" w:line="360" w:lineRule="auto"/>
        <w:ind w:left="782" w:hanging="357"/>
        <w:jc w:val="both"/>
        <w:rPr>
          <w:rFonts w:eastAsia="Times New Roman" w:cs="Arial"/>
          <w:sz w:val="24"/>
          <w:szCs w:val="24"/>
          <w:lang w:val="es-ES" w:eastAsia="es-ES"/>
        </w:rPr>
      </w:pPr>
      <w:r w:rsidRPr="007B2FCF">
        <w:rPr>
          <w:rFonts w:eastAsia="Times New Roman" w:cs="Arial"/>
          <w:sz w:val="24"/>
          <w:szCs w:val="24"/>
          <w:lang w:val="es-ES" w:eastAsia="es-ES"/>
        </w:rPr>
        <w:t>La tutela del derecho a la salud de los trabajadores del INE y demás personas involucradas en el proceso de verificación de datos necesarios para la emisión de la resolución de registro.</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En un contexto de reanudación de actividades, dicha tutela se alcanza llevando a cabo las actividades que la verificación de los documentos exige, con cautela y bajo ciertas condiciones de seguridad que retrasan la emisión de la resolución sobre la solicitud de registro de nuevos partidos políticos, en los plazos ordinarios.</w:t>
      </w:r>
    </w:p>
    <w:p w:rsidR="007B2FCF" w:rsidRPr="007B2FCF" w:rsidRDefault="007B2FCF" w:rsidP="007B2FCF">
      <w:pPr>
        <w:numPr>
          <w:ilvl w:val="0"/>
          <w:numId w:val="22"/>
        </w:numPr>
        <w:spacing w:before="240" w:after="100" w:afterAutospacing="1" w:line="360" w:lineRule="auto"/>
        <w:ind w:left="782" w:hanging="357"/>
        <w:jc w:val="both"/>
        <w:rPr>
          <w:rFonts w:eastAsia="Times New Roman" w:cs="Arial"/>
          <w:b/>
          <w:sz w:val="24"/>
          <w:szCs w:val="24"/>
          <w:lang w:val="es-ES" w:eastAsia="es-ES"/>
        </w:rPr>
      </w:pPr>
      <w:r w:rsidRPr="007B2FCF">
        <w:rPr>
          <w:rFonts w:eastAsia="Times New Roman" w:cs="Arial"/>
          <w:sz w:val="24"/>
          <w:szCs w:val="24"/>
          <w:lang w:val="es-ES" w:eastAsia="es-ES"/>
        </w:rPr>
        <w:t xml:space="preserve">Que el diverso acuerdo INE/CG82/2020, que constituye la primera suspensión de los plazos, </w:t>
      </w:r>
      <w:r w:rsidRPr="007B2FCF">
        <w:rPr>
          <w:rFonts w:eastAsia="Times New Roman" w:cs="Arial"/>
          <w:b/>
          <w:sz w:val="24"/>
          <w:szCs w:val="24"/>
          <w:lang w:val="es-ES" w:eastAsia="es-ES"/>
        </w:rPr>
        <w:t>fue consentido por los hoy actores</w:t>
      </w:r>
      <w:r w:rsidRPr="007B2FCF">
        <w:rPr>
          <w:rFonts w:eastAsia="Times New Roman" w:cs="Arial"/>
          <w:sz w:val="24"/>
          <w:szCs w:val="24"/>
          <w:lang w:val="es-ES" w:eastAsia="es-ES"/>
        </w:rPr>
        <w:t>, lo cual constituye un elemento adicional que justifica que el INE no pueda resolver antes del primero de julio.</w:t>
      </w:r>
    </w:p>
    <w:p w:rsidR="007B2FCF" w:rsidRPr="007B2FCF" w:rsidRDefault="007B2FCF" w:rsidP="007B2FCF">
      <w:pPr>
        <w:spacing w:before="240" w:after="100" w:afterAutospacing="1" w:line="360" w:lineRule="auto"/>
        <w:ind w:left="782"/>
        <w:jc w:val="both"/>
        <w:rPr>
          <w:rFonts w:eastAsia="Times New Roman" w:cs="Arial"/>
          <w:b/>
          <w:sz w:val="24"/>
          <w:szCs w:val="24"/>
          <w:lang w:val="es-ES" w:eastAsia="es-ES"/>
        </w:rPr>
      </w:pPr>
      <w:r w:rsidRPr="007B2FCF">
        <w:rPr>
          <w:rFonts w:eastAsia="Times New Roman" w:cs="Arial"/>
          <w:sz w:val="24"/>
          <w:szCs w:val="24"/>
          <w:lang w:val="es-ES" w:eastAsia="es-ES"/>
        </w:rPr>
        <w:lastRenderedPageBreak/>
        <w:t>En efecto, mediante el acuerdo INE/CG82/2020, el INE suspendió, entre otros, el plazo de sesenta días que la autoridad administrativa tenía para resolver sobre la procedencia de registro de los partidos de nueva creación.</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 xml:space="preserve">Esta decisión no fue controvertida por los hoy actores. La consecuencia directa es que el plazo de sesenta días para resolver aún no fenece y, en el caso concreto, concluiría </w:t>
      </w:r>
      <w:r w:rsidRPr="007B2FCF">
        <w:rPr>
          <w:rFonts w:eastAsia="Times New Roman" w:cs="Arial"/>
          <w:b/>
          <w:sz w:val="24"/>
          <w:szCs w:val="24"/>
          <w:lang w:val="es-ES" w:eastAsia="es-ES"/>
        </w:rPr>
        <w:t>aproximadamente el día veinte de agosto</w:t>
      </w:r>
      <w:r w:rsidRPr="007B2FCF">
        <w:rPr>
          <w:rFonts w:eastAsia="Times New Roman" w:cs="Arial"/>
          <w:sz w:val="24"/>
          <w:szCs w:val="24"/>
          <w:lang w:val="es-ES" w:eastAsia="es-ES"/>
        </w:rPr>
        <w:t>.</w:t>
      </w:r>
    </w:p>
    <w:p w:rsidR="007B2FCF" w:rsidRPr="007B2FCF" w:rsidRDefault="007B2FCF" w:rsidP="007B2FCF">
      <w:pPr>
        <w:spacing w:before="240" w:after="100" w:afterAutospacing="1" w:line="360" w:lineRule="auto"/>
        <w:ind w:left="782"/>
        <w:jc w:val="both"/>
        <w:rPr>
          <w:rFonts w:eastAsia="Times New Roman" w:cs="Arial"/>
          <w:b/>
          <w:sz w:val="24"/>
          <w:szCs w:val="24"/>
          <w:lang w:val="es-ES" w:eastAsia="es-ES"/>
        </w:rPr>
      </w:pPr>
      <w:r w:rsidRPr="007B2FCF">
        <w:rPr>
          <w:rFonts w:eastAsia="Times New Roman" w:cs="Arial"/>
          <w:sz w:val="24"/>
          <w:szCs w:val="24"/>
          <w:lang w:val="es-ES" w:eastAsia="es-ES"/>
        </w:rPr>
        <w:t>Al respecto, los numerales 119 y 120 del “Instructivo que deberán observar las organizaciones interesadas en constituir un partido político nacional, así como diversas disposiciones relativas a la revisión de los requisitos que se deben cumplir para dicho fin” señalan lo siguiente:</w:t>
      </w:r>
    </w:p>
    <w:p w:rsidR="007B2FCF" w:rsidRPr="007B2FCF" w:rsidRDefault="007B2FCF" w:rsidP="007B2FCF">
      <w:pPr>
        <w:ind w:left="1418" w:right="851"/>
        <w:jc w:val="both"/>
        <w:rPr>
          <w:rFonts w:eastAsia="Times New Roman" w:cs="Arial"/>
          <w:lang w:val="es-ES" w:eastAsia="es-ES"/>
        </w:rPr>
      </w:pPr>
      <w:r w:rsidRPr="007B2FCF">
        <w:rPr>
          <w:rFonts w:eastAsia="Times New Roman" w:cs="Arial"/>
          <w:b/>
          <w:lang w:val="es-ES" w:eastAsia="es-ES"/>
        </w:rPr>
        <w:t>119.</w:t>
      </w:r>
      <w:r w:rsidRPr="007B2FCF">
        <w:rPr>
          <w:rFonts w:eastAsia="Times New Roman" w:cs="Arial"/>
          <w:lang w:val="es-ES" w:eastAsia="es-ES"/>
        </w:rPr>
        <w:t xml:space="preserve"> Una vez concluido el plazo para la presentación de las solicitudes de registro como Partido Político establecido en el párrafo 1, del artículo 15 de la LGPP, el Secretario Ejecutivo rendirá un informe al Consejo General respecto del número total de organizaciones que solicitaron su registro como Partido Político.</w:t>
      </w:r>
    </w:p>
    <w:p w:rsidR="007B2FCF" w:rsidRPr="007B2FCF" w:rsidRDefault="007B2FCF" w:rsidP="007B2FCF">
      <w:pPr>
        <w:ind w:left="1418" w:right="851"/>
        <w:jc w:val="both"/>
        <w:rPr>
          <w:rFonts w:eastAsia="Times New Roman" w:cs="Arial"/>
          <w:lang w:val="es-ES" w:eastAsia="es-ES"/>
        </w:rPr>
      </w:pPr>
    </w:p>
    <w:p w:rsidR="007B2FCF" w:rsidRPr="007B2FCF" w:rsidRDefault="007B2FCF" w:rsidP="007B2FCF">
      <w:pPr>
        <w:ind w:left="1418" w:right="851"/>
        <w:jc w:val="both"/>
        <w:rPr>
          <w:rFonts w:eastAsia="Times New Roman" w:cs="Arial"/>
          <w:lang w:val="es-ES" w:eastAsia="es-ES"/>
        </w:rPr>
      </w:pPr>
      <w:r w:rsidRPr="007B2FCF">
        <w:rPr>
          <w:rFonts w:eastAsia="Times New Roman" w:cs="Arial"/>
          <w:b/>
          <w:lang w:val="es-ES" w:eastAsia="es-ES"/>
        </w:rPr>
        <w:t>120.</w:t>
      </w:r>
      <w:r w:rsidRPr="007B2FCF">
        <w:rPr>
          <w:rFonts w:eastAsia="Times New Roman" w:cs="Arial"/>
          <w:lang w:val="es-ES" w:eastAsia="es-ES"/>
        </w:rPr>
        <w:t xml:space="preserve"> El día de la sesión del Consejo General en la que se conozca el informe referido, </w:t>
      </w:r>
      <w:r w:rsidRPr="007B2FCF">
        <w:rPr>
          <w:rFonts w:eastAsia="Times New Roman" w:cs="Arial"/>
          <w:b/>
          <w:lang w:val="es-ES" w:eastAsia="es-ES"/>
        </w:rPr>
        <w:t>comenzará a computarse el plazo de 60 días al que se refiere el párrafo 1 del artículo 19 de la LGPP</w:t>
      </w:r>
      <w:r w:rsidRPr="007B2FCF">
        <w:rPr>
          <w:rFonts w:eastAsia="Times New Roman" w:cs="Arial"/>
          <w:lang w:val="es-ES" w:eastAsia="es-ES"/>
        </w:rPr>
        <w:t>.</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En el caso concreto, el citado informe se presentó el día veintisiete de marzo de dos mil veinte</w:t>
      </w:r>
      <w:r w:rsidRPr="007B2FCF">
        <w:rPr>
          <w:rFonts w:eastAsia="Calibri" w:cs="Arial"/>
          <w:sz w:val="24"/>
          <w:szCs w:val="24"/>
          <w:vertAlign w:val="superscript"/>
          <w:lang w:val="es-ES" w:eastAsia="es-ES"/>
        </w:rPr>
        <w:footnoteReference w:id="106"/>
      </w:r>
      <w:r w:rsidRPr="007B2FCF">
        <w:rPr>
          <w:rFonts w:eastAsia="Times New Roman" w:cs="Arial"/>
          <w:sz w:val="24"/>
          <w:szCs w:val="24"/>
          <w:lang w:val="es-ES" w:eastAsia="es-ES"/>
        </w:rPr>
        <w:t>.</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El mismo día veintisiete de marzo, el Consejo General del INE emitió el acuerdo INE/CG82/2020 que suspendió los plazos en materia electoral. Dicho acuerdo no fue controvertido en relación con la suspensión de plazos para la constitución de partidos políticos. De tal suerte, no inició el cómputo del plazo para resolver sobre las solicitudes de registro.</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La reanudación de plazos tuvo lugar el veintiocho de mayo, por virtud del acuerdo impugnado (</w:t>
      </w:r>
      <w:r w:rsidRPr="007B2FCF">
        <w:rPr>
          <w:rFonts w:eastAsia="Calibri" w:cs="Arial"/>
          <w:sz w:val="24"/>
          <w:szCs w:val="24"/>
          <w:lang w:val="es-ES" w:eastAsia="es-ES"/>
        </w:rPr>
        <w:t>INE/CG97/2020</w:t>
      </w:r>
      <w:r w:rsidRPr="007B2FCF">
        <w:rPr>
          <w:rFonts w:eastAsia="Times New Roman" w:cs="Arial"/>
          <w:sz w:val="24"/>
          <w:szCs w:val="24"/>
          <w:lang w:val="es-ES" w:eastAsia="es-ES"/>
        </w:rPr>
        <w:t xml:space="preserve">). Tomando como referencia esta fecha, el plazo de sesenta días para resolver sobre la solicitud de </w:t>
      </w:r>
      <w:r w:rsidRPr="007B2FCF">
        <w:rPr>
          <w:rFonts w:eastAsia="Times New Roman" w:cs="Arial"/>
          <w:sz w:val="24"/>
          <w:szCs w:val="24"/>
          <w:lang w:val="es-ES" w:eastAsia="es-ES"/>
        </w:rPr>
        <w:lastRenderedPageBreak/>
        <w:t xml:space="preserve">registro de partidos </w:t>
      </w:r>
      <w:r w:rsidRPr="007B2FCF">
        <w:rPr>
          <w:rFonts w:eastAsia="Times New Roman" w:cs="Arial"/>
          <w:b/>
          <w:sz w:val="24"/>
          <w:szCs w:val="24"/>
          <w:lang w:val="es-ES" w:eastAsia="es-ES"/>
        </w:rPr>
        <w:t>concluiría aproximadamente el veinte de agosto</w:t>
      </w:r>
      <w:r w:rsidRPr="007B2FCF">
        <w:rPr>
          <w:rFonts w:eastAsia="Times New Roman" w:cs="Arial"/>
          <w:sz w:val="24"/>
          <w:szCs w:val="24"/>
          <w:lang w:val="es-ES" w:eastAsia="es-ES"/>
        </w:rPr>
        <w:t>.</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Esto significa que el aplazamiento al treinta y uno de agosto solo es de siete días hábiles.</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 xml:space="preserve">Dicho de otra forma, los actores consintieron que el plazo de resolución para la solicitud de constitución de un partido político tuviera lugar hasta el veinte de agosto, atendiendo al </w:t>
      </w:r>
      <w:r w:rsidRPr="007B2FCF">
        <w:rPr>
          <w:rFonts w:eastAsia="Times New Roman" w:cs="Arial"/>
          <w:b/>
          <w:sz w:val="24"/>
          <w:szCs w:val="24"/>
          <w:lang w:val="es-ES" w:eastAsia="es-ES"/>
        </w:rPr>
        <w:t>plazo ordinario de sesenta días</w:t>
      </w:r>
      <w:r w:rsidRPr="007B2FCF">
        <w:rPr>
          <w:rFonts w:eastAsia="Times New Roman" w:cs="Arial"/>
          <w:sz w:val="24"/>
          <w:szCs w:val="24"/>
          <w:lang w:val="es-ES" w:eastAsia="es-ES"/>
        </w:rPr>
        <w:t>. De esta forma, el hecho de que no se resuelva antes del primero de julio es una cuestión, en parte, atribuible a los propios demandantes, en un contexto extraordinario de pandemia.</w:t>
      </w:r>
    </w:p>
    <w:p w:rsidR="007B2FCF" w:rsidRPr="007B2FCF" w:rsidRDefault="007B2FCF" w:rsidP="007B2FCF">
      <w:pPr>
        <w:spacing w:before="240" w:after="100" w:afterAutospacing="1" w:line="360" w:lineRule="auto"/>
        <w:ind w:left="782"/>
        <w:jc w:val="both"/>
        <w:rPr>
          <w:rFonts w:eastAsia="Times New Roman" w:cs="Arial"/>
          <w:sz w:val="24"/>
          <w:szCs w:val="24"/>
          <w:lang w:val="es-ES" w:eastAsia="es-ES"/>
        </w:rPr>
      </w:pPr>
      <w:r w:rsidRPr="007B2FCF">
        <w:rPr>
          <w:rFonts w:eastAsia="Times New Roman" w:cs="Arial"/>
          <w:sz w:val="24"/>
          <w:szCs w:val="24"/>
          <w:lang w:val="es-ES" w:eastAsia="es-ES"/>
        </w:rPr>
        <w:t>En consecuencia, el aplazamiento extraordinario al día treinta y uno de agosto, es decir, de siete días, no les resulta especialmente gravoso dadas las condiciones extraordinarias que aún prevalecen en el país y la relevancia de tutelar el derecho a la salud de las personas.</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Puesto que me aparto de la argumentación que finalmente se aprobó formulo el presente voto concurrente.</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r w:rsidRPr="007B2FCF">
        <w:rPr>
          <w:rFonts w:eastAsia="Times New Roman" w:cs="Arial"/>
          <w:sz w:val="24"/>
          <w:szCs w:val="24"/>
          <w:lang w:val="es-ES" w:eastAsia="es-ES"/>
        </w:rPr>
        <w:t xml:space="preserve">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 </w:t>
      </w:r>
    </w:p>
    <w:p w:rsidR="007B2FCF" w:rsidRPr="007B2FCF" w:rsidRDefault="007B2FCF" w:rsidP="007B2FCF">
      <w:pPr>
        <w:spacing w:before="240" w:after="100" w:afterAutospacing="1" w:line="360" w:lineRule="auto"/>
        <w:jc w:val="both"/>
        <w:rPr>
          <w:rFonts w:eastAsia="Times New Roman" w:cs="Arial"/>
          <w:sz w:val="24"/>
          <w:szCs w:val="24"/>
          <w:lang w:val="es-ES" w:eastAsia="es-ES"/>
        </w:rPr>
      </w:pPr>
    </w:p>
    <w:p w:rsidR="007B2FCF" w:rsidRPr="007B2FCF" w:rsidRDefault="007B2FCF" w:rsidP="007B2FCF">
      <w:pPr>
        <w:rPr>
          <w:rFonts w:ascii="Times New Roman" w:eastAsia="Times New Roman" w:hAnsi="Times New Roman" w:cs="Times New Roman"/>
          <w:sz w:val="24"/>
          <w:szCs w:val="24"/>
          <w:lang w:val="es-ES" w:eastAsia="es-ES"/>
        </w:rPr>
      </w:pPr>
    </w:p>
    <w:p w:rsidR="007B2FCF" w:rsidRPr="007B2FCF" w:rsidRDefault="007B2FCF" w:rsidP="007B2FCF">
      <w:pPr>
        <w:rPr>
          <w:rFonts w:ascii="Times New Roman" w:eastAsia="Times New Roman" w:hAnsi="Times New Roman" w:cs="Times New Roman"/>
          <w:sz w:val="24"/>
          <w:szCs w:val="24"/>
          <w:lang w:val="es-ES" w:eastAsia="es-ES"/>
        </w:rPr>
      </w:pPr>
    </w:p>
    <w:p w:rsidR="007B2FCF" w:rsidRPr="002C0C73" w:rsidRDefault="007B2FCF" w:rsidP="003D6032">
      <w:pPr>
        <w:widowControl w:val="0"/>
        <w:autoSpaceDE w:val="0"/>
        <w:autoSpaceDN w:val="0"/>
        <w:spacing w:before="100" w:beforeAutospacing="1" w:after="100" w:afterAutospacing="1" w:line="360" w:lineRule="auto"/>
        <w:jc w:val="both"/>
        <w:rPr>
          <w:rFonts w:cs="Arial"/>
          <w:bCs/>
          <w:sz w:val="24"/>
          <w:szCs w:val="24"/>
        </w:rPr>
      </w:pPr>
    </w:p>
    <w:sectPr w:rsidR="007B2FCF" w:rsidRPr="002C0C73" w:rsidSect="005B7575">
      <w:type w:val="oddPage"/>
      <w:pgSz w:w="12240" w:h="18720" w:code="14"/>
      <w:pgMar w:top="2552" w:right="1418" w:bottom="1418" w:left="2552" w:header="1559"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0C" w:rsidRDefault="00B24E0C" w:rsidP="00D41F45">
      <w:r>
        <w:separator/>
      </w:r>
    </w:p>
  </w:endnote>
  <w:endnote w:type="continuationSeparator" w:id="0">
    <w:p w:rsidR="00B24E0C" w:rsidRDefault="00B24E0C" w:rsidP="00D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bCs/>
        <w:sz w:val="24"/>
        <w:szCs w:val="24"/>
      </w:rPr>
      <w:id w:val="2060042940"/>
      <w:docPartObj>
        <w:docPartGallery w:val="Page Numbers (Bottom of Page)"/>
        <w:docPartUnique/>
      </w:docPartObj>
    </w:sdtPr>
    <w:sdtContent>
      <w:p w:rsidR="0068625D" w:rsidRPr="004D5F2C" w:rsidRDefault="0068625D"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10</w:t>
        </w:r>
        <w:r w:rsidRPr="004D5F2C">
          <w:rPr>
            <w:rFonts w:cs="Arial"/>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bCs/>
        <w:sz w:val="24"/>
        <w:szCs w:val="24"/>
      </w:rPr>
      <w:id w:val="435330610"/>
      <w:docPartObj>
        <w:docPartGallery w:val="Page Numbers (Bottom of Page)"/>
        <w:docPartUnique/>
      </w:docPartObj>
    </w:sdtPr>
    <w:sdtContent>
      <w:p w:rsidR="0068625D" w:rsidRPr="004D5F2C" w:rsidRDefault="0068625D"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9</w:t>
        </w:r>
        <w:r w:rsidRPr="004D5F2C">
          <w:rPr>
            <w:rFonts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25D" w:rsidRPr="004D5F2C" w:rsidRDefault="0068625D" w:rsidP="00675766">
    <w:pPr>
      <w:pStyle w:val="Piedepgina"/>
      <w:tabs>
        <w:tab w:val="clear" w:pos="4252"/>
        <w:tab w:val="clear" w:pos="8504"/>
      </w:tabs>
      <w:jc w:val="right"/>
      <w:rPr>
        <w:rFonts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0C" w:rsidRDefault="00B24E0C" w:rsidP="00D41F45">
      <w:r>
        <w:separator/>
      </w:r>
    </w:p>
  </w:footnote>
  <w:footnote w:type="continuationSeparator" w:id="0">
    <w:p w:rsidR="00B24E0C" w:rsidRDefault="00B24E0C" w:rsidP="00D41F45">
      <w:r>
        <w:continuationSeparator/>
      </w:r>
    </w:p>
  </w:footnote>
  <w:footnote w:id="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w:t>
      </w:r>
      <w:bookmarkStart w:id="1" w:name="_Hlk40265628"/>
      <w:r w:rsidRPr="002C0C73">
        <w:rPr>
          <w:rFonts w:cs="Arial"/>
          <w:sz w:val="18"/>
          <w:szCs w:val="18"/>
        </w:rPr>
        <w:t>Secretariado: Fernando Ramírez Barrios, Araceli Yhali Cruz Valle, Ismael Anaya López, Héctor Floriberto Anzurez Galicia, Javier Ortiz Zulueta, Daniela Arellano Perdomo</w:t>
      </w:r>
      <w:bookmarkEnd w:id="1"/>
      <w:r w:rsidRPr="002C0C73">
        <w:rPr>
          <w:rFonts w:cs="Arial"/>
          <w:sz w:val="18"/>
          <w:szCs w:val="18"/>
        </w:rPr>
        <w:t>, Cecilia Huichapan Romero y Erick Núñez Carrillo.</w:t>
      </w:r>
    </w:p>
  </w:footnote>
  <w:footnote w:id="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Acuerdo INE/CG1478/2018.</w:t>
      </w:r>
    </w:p>
  </w:footnote>
  <w:footnote w:id="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Salvo mención expresa todas las fechas corresponden a dos mil veinte.</w:t>
      </w:r>
    </w:p>
  </w:footnote>
  <w:footnote w:id="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INE/JE34/2020.</w:t>
      </w:r>
    </w:p>
  </w:footnote>
  <w:footnote w:id="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INE/CG82/2020.</w:t>
      </w:r>
    </w:p>
  </w:footnote>
  <w:footnote w:id="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Acuerdo INE/CG97/2020.</w:t>
      </w:r>
    </w:p>
  </w:footnote>
  <w:footnote w:id="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Resolución que originalmente, en términos del artículo 19 de la Ley General de Partidos debe surtir efectos el 1º de julio de 2020 por ser el previo a la elección.</w:t>
      </w:r>
    </w:p>
  </w:footnote>
  <w:footnote w:id="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La demanda del SUP-JDC-742/2020 se presentó el tres de junio y las restantes el cuatro siguiente.</w:t>
      </w:r>
    </w:p>
  </w:footnote>
  <w:footnote w:id="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w:t>
      </w:r>
      <w:bookmarkStart w:id="10" w:name="_Hlk13068345"/>
      <w:r w:rsidRPr="002C0C73">
        <w:rPr>
          <w:rFonts w:cs="Arial"/>
          <w:sz w:val="18"/>
          <w:szCs w:val="18"/>
        </w:rPr>
        <w:t xml:space="preserve">Con fundamento en los artículos 17, 41, párrafo segundo, base VI y 99, párrafos segundo y cuarto, fracción V, de la Constitución federal; 184, 186, fracción III, inciso c) y 189, fracción I, inciso e), de la Ley Orgánica; </w:t>
      </w:r>
      <w:bookmarkStart w:id="11" w:name="_Hlk13140632"/>
      <w:r w:rsidRPr="002C0C73">
        <w:rPr>
          <w:rFonts w:cs="Arial"/>
          <w:sz w:val="18"/>
          <w:szCs w:val="18"/>
        </w:rPr>
        <w:t>79, párrafo 1, 80, párrafo 1, inciso g) y 83, párrafo 1, inciso a), fracción II</w:t>
      </w:r>
      <w:bookmarkEnd w:id="11"/>
      <w:r w:rsidRPr="002C0C73">
        <w:rPr>
          <w:rFonts w:cs="Arial"/>
          <w:sz w:val="18"/>
          <w:szCs w:val="18"/>
        </w:rPr>
        <w:t>, de la Ley de Medios.</w:t>
      </w:r>
      <w:bookmarkEnd w:id="10"/>
    </w:p>
  </w:footnote>
  <w:footnote w:id="1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Previstos en el artículo 9, párrafo 1, de la Ley de Medios. </w:t>
      </w:r>
    </w:p>
  </w:footnote>
  <w:footnote w:id="1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SUP-JDC-747/2020, SUP-JDC-749/2020 y SUP-JDC-751/2020.</w:t>
      </w:r>
    </w:p>
  </w:footnote>
  <w:footnote w:id="12">
    <w:p w:rsidR="0068625D" w:rsidRPr="002C0C73" w:rsidRDefault="0068625D" w:rsidP="008147C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w:t>
      </w:r>
      <w:r w:rsidRPr="002C0C73">
        <w:rPr>
          <w:rFonts w:cs="Arial"/>
          <w:sz w:val="18"/>
          <w:szCs w:val="18"/>
          <w:u w:color="538135" w:themeColor="accent6" w:themeShade="BF"/>
        </w:rPr>
        <w:t>Según se puede advertir en la dirección electrónica https://www.ine.mx/actividades-que-reanudara-el-ine-sobre-el-proceso-de-constitucion-de-nuevos-partidos-politicos-nacionales</w:t>
      </w:r>
    </w:p>
  </w:footnote>
  <w:footnote w:id="13">
    <w:p w:rsidR="0068625D" w:rsidRPr="002C0C73" w:rsidRDefault="0068625D" w:rsidP="00832007">
      <w:pPr>
        <w:pStyle w:val="Textonotapie"/>
        <w:jc w:val="both"/>
        <w:rPr>
          <w:rFonts w:cs="Arial"/>
          <w:sz w:val="18"/>
          <w:szCs w:val="18"/>
          <w:lang w:val="es-ES_tradnl"/>
        </w:rPr>
      </w:pPr>
      <w:r w:rsidRPr="002C0C73">
        <w:rPr>
          <w:rStyle w:val="Refdenotaalpie"/>
          <w:rFonts w:cs="Arial"/>
          <w:sz w:val="18"/>
          <w:szCs w:val="18"/>
        </w:rPr>
        <w:footnoteRef/>
      </w:r>
      <w:r w:rsidRPr="002C0C73">
        <w:rPr>
          <w:rFonts w:cs="Arial"/>
          <w:sz w:val="18"/>
          <w:szCs w:val="18"/>
        </w:rPr>
        <w:t xml:space="preserve"> </w:t>
      </w:r>
      <w:r w:rsidRPr="002C0C73">
        <w:rPr>
          <w:rFonts w:cs="Arial"/>
          <w:sz w:val="18"/>
          <w:szCs w:val="18"/>
          <w:lang w:val="es-ES_tradnl"/>
        </w:rPr>
        <w:t>En el artículo 15, párrafo 1, de la Ley de Medios, se establece que: “son objeto de prueba los hechos controvertibles. No lo será el derecho, los hechos notorios o imposibles, ni aquellos que hayan sido reconocidos”.</w:t>
      </w:r>
    </w:p>
  </w:footnote>
  <w:footnote w:id="14">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SUP-JDC-742/2020.</w:t>
      </w:r>
    </w:p>
  </w:footnote>
  <w:footnote w:id="15">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SUP-JDC-747/2020.</w:t>
      </w:r>
    </w:p>
  </w:footnote>
  <w:footnote w:id="16">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SUP-JDC-749/2020.</w:t>
      </w:r>
    </w:p>
  </w:footnote>
  <w:footnote w:id="1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SUP-JDC-751/2020.</w:t>
      </w:r>
    </w:p>
  </w:footnote>
  <w:footnote w:id="1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En el caso de Alfonso Alcántara Hernández, apoderado de la Asociación Civil Gubernatura Indígena Nacional, carácter que le es reconocido por la autoridad responsable en el informe circunstanciado.</w:t>
      </w:r>
    </w:p>
  </w:footnote>
  <w:footnote w:id="1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18 de la Ley de Medios.</w:t>
      </w:r>
    </w:p>
  </w:footnote>
  <w:footnote w:id="2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w:t>
      </w:r>
      <w:bookmarkStart w:id="18" w:name="TEXTO_04/2000"/>
      <w:r w:rsidRPr="002C0C73">
        <w:rPr>
          <w:rFonts w:cs="Arial"/>
          <w:sz w:val="18"/>
          <w:szCs w:val="18"/>
        </w:rPr>
        <w:t>Conforme a la tesis de jurisprudencia 4/2000, de rubro: “</w:t>
      </w:r>
      <w:r w:rsidRPr="002C0C73">
        <w:rPr>
          <w:rFonts w:cs="Arial"/>
          <w:b/>
          <w:bCs/>
          <w:sz w:val="18"/>
          <w:szCs w:val="18"/>
        </w:rPr>
        <w:t>AGRAVIOS, SU EXAMEN EN CONJUNTO O SEPARADO, NO CAUSA LESIÓN</w:t>
      </w:r>
      <w:r w:rsidRPr="002C0C73">
        <w:rPr>
          <w:rFonts w:cs="Arial"/>
          <w:sz w:val="18"/>
          <w:szCs w:val="18"/>
        </w:rPr>
        <w:t>”.</w:t>
      </w:r>
      <w:bookmarkEnd w:id="18"/>
    </w:p>
  </w:footnote>
  <w:footnote w:id="2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SUP-JDC-742/2020.</w:t>
      </w:r>
    </w:p>
  </w:footnote>
  <w:footnote w:id="2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SUP-JDC-751/2020.</w:t>
      </w:r>
    </w:p>
  </w:footnote>
  <w:footnote w:id="2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SUP-JDC-747/2020 y SUP-JDC-749/2020.</w:t>
      </w:r>
    </w:p>
  </w:footnote>
  <w:footnote w:id="2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SUP-JDC-749/2020.</w:t>
      </w:r>
    </w:p>
  </w:footnote>
  <w:footnote w:id="2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SUP-JDC-747/2020 y SUP-JDC-749/2020.</w:t>
      </w:r>
    </w:p>
  </w:footnote>
  <w:footnote w:id="2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INE/CG97/2020</w:t>
      </w:r>
    </w:p>
  </w:footnote>
  <w:footnote w:id="27">
    <w:p w:rsidR="0068625D" w:rsidRPr="002C0C73" w:rsidRDefault="0068625D" w:rsidP="00832007">
      <w:pPr>
        <w:pStyle w:val="Textonotapie"/>
        <w:jc w:val="both"/>
        <w:rPr>
          <w:rFonts w:cs="Arial"/>
          <w:bCs/>
          <w:sz w:val="18"/>
          <w:szCs w:val="18"/>
        </w:rPr>
      </w:pPr>
      <w:r w:rsidRPr="002C0C73">
        <w:rPr>
          <w:rStyle w:val="Refdenotaalpie"/>
          <w:rFonts w:cs="Arial"/>
          <w:sz w:val="18"/>
          <w:szCs w:val="18"/>
        </w:rPr>
        <w:footnoteRef/>
      </w:r>
      <w:r w:rsidRPr="002C0C73">
        <w:rPr>
          <w:rFonts w:cs="Arial"/>
          <w:sz w:val="18"/>
          <w:szCs w:val="18"/>
        </w:rPr>
        <w:t xml:space="preserve"> Ese criterio motivó la integración de la tesis de jurisprudencia 12/2003, de rubro: “</w:t>
      </w:r>
      <w:r w:rsidRPr="002C0C73">
        <w:rPr>
          <w:rFonts w:cs="Arial"/>
          <w:b/>
          <w:sz w:val="18"/>
          <w:szCs w:val="18"/>
        </w:rPr>
        <w:t>COSA JUZGADA. ELEMENTOS PARA SU EFICACIA REFLEJA</w:t>
      </w:r>
      <w:r w:rsidRPr="002C0C73">
        <w:rPr>
          <w:rFonts w:cs="Arial"/>
          <w:bCs/>
          <w:sz w:val="18"/>
          <w:szCs w:val="18"/>
        </w:rPr>
        <w:t>”.</w:t>
      </w:r>
    </w:p>
  </w:footnote>
  <w:footnote w:id="2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Véase el anexo de esta sentencia.</w:t>
      </w:r>
    </w:p>
  </w:footnote>
  <w:footnote w:id="2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Para </w:t>
      </w:r>
      <w:r w:rsidRPr="002C0C73">
        <w:rPr>
          <w:rFonts w:cs="Arial"/>
          <w:b/>
          <w:sz w:val="18"/>
          <w:szCs w:val="18"/>
        </w:rPr>
        <w:t>evidenciar la identidad</w:t>
      </w:r>
      <w:r w:rsidRPr="002C0C73">
        <w:rPr>
          <w:rFonts w:cs="Arial"/>
          <w:sz w:val="18"/>
          <w:szCs w:val="18"/>
        </w:rPr>
        <w:t xml:space="preserve"> de los argumentos que expuso FCT en las demandas de los juicios ciudadanos SUP-JDC-216/2020 y SUP-JDC-742/2020, como anexo de esta sentencia está un cuadro comparativo en el cual se precisan cuáles son los planteamientos hechos en ambos medios de impugnación y se extraen de manera ejemplificativa las partes más importantes.</w:t>
      </w:r>
    </w:p>
  </w:footnote>
  <w:footnote w:id="3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Febrero</w:t>
      </w:r>
      <w:r w:rsidRPr="002C0C73">
        <w:rPr>
          <w:rFonts w:cs="Arial"/>
          <w:bCs/>
          <w:sz w:val="18"/>
          <w:szCs w:val="18"/>
          <w:lang w:val="es-ES"/>
        </w:rPr>
        <w:t xml:space="preserve"> de 2019 a febrero de 2020.</w:t>
      </w:r>
    </w:p>
  </w:footnote>
  <w:footnote w:id="3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En la sentencia hizo alusión al diverso SUP-JDC-5/2019 y acumulados, en los que se controvirtió el acuerdo INE/CG1478/2018, por el que se expidió el Instructivo y en el que se planteó también  la inconstitucionalidad de los artículos 10, párrafo 2, inciso b) y 12, párrafo 1, inciso a) de la Ley de Partidos, señalando que era excesivo que, para conseguir el registro como partido político se exigiera la celebración e asambleas distritales o estatales. Al respecto se consideró que estos elementos deben estar sujetos a criterios de razonabilidad que busquen precisamente el que los partidos políticos cumplan con los fines previstos en la Norma Fundamental. De ahí que era necesario que las organizaciones acreditaran un mínimo de respaldo ciudadano.</w:t>
      </w:r>
    </w:p>
  </w:footnote>
  <w:footnote w:id="3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Esto porque el Instructivo fue aprobado el diecinueve de diciembre de dos mil dieciocho, mediante Acuerdo INE/CG1478/2018, que se publicó en el Diario Oficial de la Federación el veintiuno del mismo mes.</w:t>
      </w:r>
    </w:p>
  </w:footnote>
  <w:footnote w:id="3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Artículos 41, párrafo segundo, base VI, párrafo segundo, de la Constitución federal y 6, párrafo 2, de la Ley de Medios.</w:t>
      </w:r>
    </w:p>
  </w:footnote>
  <w:footnote w:id="34">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SUP-JDC-66-2019</w:t>
      </w:r>
    </w:p>
  </w:footnote>
  <w:footnote w:id="35">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INE/DEPPP/DE/DPPF/2034/2019</w:t>
      </w:r>
    </w:p>
  </w:footnote>
  <w:footnote w:id="36">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INE/CG302/2019</w:t>
      </w:r>
    </w:p>
  </w:footnote>
  <w:footnote w:id="37">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INE/CG349/2019</w:t>
      </w:r>
    </w:p>
  </w:footnote>
  <w:footnote w:id="38">
    <w:p w:rsidR="0068625D" w:rsidRPr="002C0C73" w:rsidRDefault="0068625D" w:rsidP="00832007">
      <w:pPr>
        <w:pStyle w:val="Textonotapie"/>
        <w:jc w:val="both"/>
        <w:rPr>
          <w:rFonts w:cs="Arial"/>
          <w:sz w:val="18"/>
          <w:szCs w:val="18"/>
          <w:lang w:val="en-US"/>
        </w:rPr>
      </w:pPr>
      <w:r w:rsidRPr="002C0C73">
        <w:rPr>
          <w:rStyle w:val="Refdenotaalpie"/>
          <w:rFonts w:cs="Arial"/>
          <w:sz w:val="18"/>
          <w:szCs w:val="18"/>
        </w:rPr>
        <w:footnoteRef/>
      </w:r>
      <w:r w:rsidRPr="002C0C73">
        <w:rPr>
          <w:rFonts w:cs="Arial"/>
          <w:sz w:val="18"/>
          <w:szCs w:val="18"/>
          <w:lang w:val="en-US"/>
        </w:rPr>
        <w:t xml:space="preserve"> INE/CG82/2020</w:t>
      </w:r>
    </w:p>
  </w:footnote>
  <w:footnote w:id="3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INE/CG81/2020.</w:t>
      </w:r>
    </w:p>
  </w:footnote>
  <w:footnote w:id="4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INE/CG349/2019.</w:t>
      </w:r>
    </w:p>
  </w:footnote>
  <w:footnote w:id="41">
    <w:p w:rsidR="0068625D" w:rsidRPr="002C0C73" w:rsidRDefault="0068625D" w:rsidP="00572ED8">
      <w:pPr>
        <w:pStyle w:val="Textonotapie"/>
        <w:rPr>
          <w:rFonts w:cs="Arial"/>
          <w:sz w:val="18"/>
          <w:szCs w:val="18"/>
        </w:rPr>
      </w:pPr>
      <w:r w:rsidRPr="002C0C73">
        <w:rPr>
          <w:rStyle w:val="Refdenotaalpie"/>
          <w:rFonts w:cs="Arial"/>
          <w:sz w:val="18"/>
          <w:szCs w:val="18"/>
        </w:rPr>
        <w:footnoteRef/>
      </w:r>
      <w:r w:rsidRPr="002C0C73">
        <w:rPr>
          <w:rFonts w:cs="Arial"/>
          <w:sz w:val="18"/>
          <w:szCs w:val="18"/>
        </w:rPr>
        <w:t xml:space="preserve"> Artículo 18 de la LGPP </w:t>
      </w:r>
    </w:p>
  </w:footnote>
  <w:footnote w:id="4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41, párrafo tercero, Base I, de la Constitución.</w:t>
      </w:r>
    </w:p>
  </w:footnote>
  <w:footnote w:id="4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41, párrafo tercero, Base II, de la Constitución.</w:t>
      </w:r>
    </w:p>
  </w:footnote>
  <w:footnote w:id="4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41, párrafo tercero, Base III, de la Constitución.</w:t>
      </w:r>
    </w:p>
  </w:footnote>
  <w:footnote w:id="4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41, párrafo tercero, Base V, Apartado A, de la Constitución.</w:t>
      </w:r>
    </w:p>
  </w:footnote>
  <w:footnote w:id="4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35 de la LGIPE.</w:t>
      </w:r>
    </w:p>
  </w:footnote>
  <w:footnote w:id="4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44, párrafo 1, inciso a), de la LGIPE.</w:t>
      </w:r>
    </w:p>
  </w:footnote>
  <w:footnote w:id="4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44, párrafo 1, inciso b), de la LGIPE.</w:t>
      </w:r>
    </w:p>
  </w:footnote>
  <w:footnote w:id="4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44, párrafo 1, inciso m), de la LGIPE y 7, párrafo 1, inciso a), de LGPP</w:t>
      </w:r>
    </w:p>
  </w:footnote>
  <w:footnote w:id="5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44, párrafo 1, inciso aa), de la LGIPE.</w:t>
      </w:r>
    </w:p>
  </w:footnote>
  <w:footnote w:id="5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44, párrafo 1, inciso </w:t>
      </w:r>
      <w:proofErr w:type="spellStart"/>
      <w:r w:rsidRPr="002C0C73">
        <w:rPr>
          <w:rFonts w:cs="Arial"/>
          <w:sz w:val="18"/>
          <w:szCs w:val="18"/>
        </w:rPr>
        <w:t>jj</w:t>
      </w:r>
      <w:proofErr w:type="spellEnd"/>
      <w:r w:rsidRPr="002C0C73">
        <w:rPr>
          <w:rFonts w:cs="Arial"/>
          <w:sz w:val="18"/>
          <w:szCs w:val="18"/>
        </w:rPr>
        <w:t>), de la LGIPE.</w:t>
      </w:r>
    </w:p>
  </w:footnote>
  <w:footnote w:id="5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10, párrafo 1, de la LGPP.</w:t>
      </w:r>
    </w:p>
  </w:footnote>
  <w:footnote w:id="5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10, párrafo 2, de la LGPP.</w:t>
      </w:r>
    </w:p>
  </w:footnote>
  <w:footnote w:id="5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10, párrafo 2, incisos a), b) y c), de la LGPP.</w:t>
      </w:r>
    </w:p>
  </w:footnote>
  <w:footnote w:id="5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11, párrafo 1, de la LGPP</w:t>
      </w:r>
    </w:p>
  </w:footnote>
  <w:footnote w:id="5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Style w:val="Refdenotaalpie"/>
          <w:rFonts w:cs="Arial"/>
          <w:sz w:val="18"/>
          <w:szCs w:val="18"/>
        </w:rPr>
        <w:footnoteRef/>
      </w:r>
      <w:r w:rsidRPr="002C0C73">
        <w:rPr>
          <w:rFonts w:cs="Arial"/>
          <w:sz w:val="18"/>
          <w:szCs w:val="18"/>
        </w:rPr>
        <w:t xml:space="preserve"> Artículo 15 de la LGPP.</w:t>
      </w:r>
    </w:p>
  </w:footnote>
  <w:footnote w:id="5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16 de la LGPP.</w:t>
      </w:r>
    </w:p>
  </w:footnote>
  <w:footnote w:id="5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18 de la LGPP.</w:t>
      </w:r>
    </w:p>
  </w:footnote>
  <w:footnote w:id="5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15 de la Ley de Medios.</w:t>
      </w:r>
    </w:p>
  </w:footnote>
  <w:footnote w:id="6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INE/JGE34/2020.</w:t>
      </w:r>
    </w:p>
  </w:footnote>
  <w:footnote w:id="6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Acuerdo Primero y Segundo de la determinación INE/JGE34/2020.</w:t>
      </w:r>
    </w:p>
  </w:footnote>
  <w:footnote w:id="6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Publicado en el DOF el veintitrés de marzo de dos mil veinte.</w:t>
      </w:r>
    </w:p>
  </w:footnote>
  <w:footnote w:id="63">
    <w:p w:rsidR="0068625D" w:rsidRPr="002C0C73" w:rsidRDefault="0068625D" w:rsidP="007413A1">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Según acuerdo publicado en el DOF el veintitrés de marzo, por el cual el Consejo de Salubridad General reconoce la epidemia de enfermedad por el virus SARS-CoV2 (COVID-19), como una enfermedad grave de atención prioritaria.</w:t>
      </w:r>
    </w:p>
  </w:footnote>
  <w:footnote w:id="64">
    <w:p w:rsidR="0068625D" w:rsidRPr="002C0C73" w:rsidRDefault="0068625D" w:rsidP="007413A1">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Acuerdo publicado en el DOF el veintinueve de mayo, por el que se establecen los Lineamientos Técnicos Específicos para la Reapertura de las Actividades Económicas.</w:t>
      </w:r>
    </w:p>
  </w:footnote>
  <w:footnote w:id="6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Mediante acuerdo identificado con la clave INE/CG82/2020.</w:t>
      </w:r>
    </w:p>
  </w:footnote>
  <w:footnote w:id="6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Según el punto acuerdo PRIMERO, el cual es de la siguiente manera:</w:t>
      </w:r>
    </w:p>
    <w:p w:rsidR="0068625D" w:rsidRPr="002C0C73" w:rsidRDefault="0068625D" w:rsidP="00832007">
      <w:pPr>
        <w:autoSpaceDE w:val="0"/>
        <w:autoSpaceDN w:val="0"/>
        <w:adjustRightInd w:val="0"/>
        <w:jc w:val="both"/>
        <w:rPr>
          <w:rFonts w:cs="Arial"/>
          <w:sz w:val="18"/>
          <w:szCs w:val="18"/>
        </w:rPr>
      </w:pPr>
      <w:r w:rsidRPr="002C0C73">
        <w:rPr>
          <w:rFonts w:cs="Arial"/>
          <w:b/>
          <w:bCs/>
          <w:sz w:val="18"/>
          <w:szCs w:val="18"/>
        </w:rPr>
        <w:t xml:space="preserve">“Primero. </w:t>
      </w:r>
      <w:r w:rsidRPr="002C0C73">
        <w:rPr>
          <w:rFonts w:cs="Arial"/>
          <w:sz w:val="18"/>
          <w:szCs w:val="18"/>
        </w:rPr>
        <w:t xml:space="preserve">Se aprueba como medida extraordinaria la suspensión de los plazos y términos relativos a las actividades inherentes a la función electoral enunciadas en el anexo único de este Acuerdo, </w:t>
      </w:r>
      <w:r w:rsidRPr="002C0C73">
        <w:rPr>
          <w:rFonts w:cs="Arial"/>
          <w:b/>
          <w:sz w:val="18"/>
          <w:szCs w:val="18"/>
        </w:rPr>
        <w:t>hasta que se contenga la pandemia de coronavirus</w:t>
      </w:r>
      <w:r w:rsidRPr="002C0C73">
        <w:rPr>
          <w:rFonts w:cs="Arial"/>
          <w:sz w:val="18"/>
          <w:szCs w:val="18"/>
        </w:rPr>
        <w:t xml:space="preserve">, Covid-19, para lo cual </w:t>
      </w:r>
      <w:r w:rsidRPr="002C0C73">
        <w:rPr>
          <w:rFonts w:cs="Arial"/>
          <w:b/>
          <w:sz w:val="18"/>
          <w:szCs w:val="18"/>
        </w:rPr>
        <w:t>este Consejo General dictará las determinaciones conducentes a fin de reanudar las actividades</w:t>
      </w:r>
      <w:r w:rsidRPr="002C0C73">
        <w:rPr>
          <w:rFonts w:cs="Arial"/>
          <w:sz w:val="18"/>
          <w:szCs w:val="18"/>
        </w:rPr>
        <w:t xml:space="preserve"> y retomar los trabajos inherentes al ejercicio de sus atribuciones.”</w:t>
      </w:r>
    </w:p>
  </w:footnote>
  <w:footnote w:id="67">
    <w:p w:rsidR="0068625D" w:rsidRPr="002C0C73" w:rsidRDefault="0068625D" w:rsidP="003D7320">
      <w:pPr>
        <w:pStyle w:val="Textonotapie"/>
        <w:jc w:val="both"/>
        <w:rPr>
          <w:rFonts w:cs="Arial"/>
          <w:b/>
          <w:bCs/>
          <w:sz w:val="18"/>
          <w:szCs w:val="18"/>
        </w:rPr>
      </w:pPr>
      <w:r w:rsidRPr="002C0C73">
        <w:rPr>
          <w:rStyle w:val="Refdenotaalpie"/>
          <w:rFonts w:cs="Arial"/>
          <w:sz w:val="18"/>
          <w:szCs w:val="18"/>
        </w:rPr>
        <w:footnoteRef/>
      </w:r>
      <w:r w:rsidRPr="002C0C73">
        <w:rPr>
          <w:rFonts w:cs="Arial"/>
          <w:sz w:val="18"/>
          <w:szCs w:val="18"/>
        </w:rPr>
        <w:t xml:space="preserve"> Tesis CXX/2001, </w:t>
      </w:r>
      <w:r w:rsidRPr="002C0C73">
        <w:rPr>
          <w:rFonts w:cs="Arial"/>
          <w:b/>
          <w:bCs/>
          <w:sz w:val="18"/>
          <w:szCs w:val="18"/>
        </w:rPr>
        <w:t>“LEYES, CONTIENEN HIPÓTESIS COMUNES, NO EXTRAORDINARIAS”.</w:t>
      </w:r>
    </w:p>
  </w:footnote>
  <w:footnote w:id="68">
    <w:p w:rsidR="0068625D" w:rsidRPr="002C0C73" w:rsidRDefault="0068625D">
      <w:pPr>
        <w:pStyle w:val="Textonotapie"/>
        <w:rPr>
          <w:rFonts w:cs="Arial"/>
          <w:sz w:val="18"/>
          <w:szCs w:val="18"/>
        </w:rPr>
      </w:pPr>
      <w:r w:rsidRPr="002C0C73">
        <w:rPr>
          <w:rStyle w:val="Refdenotaalpie"/>
          <w:rFonts w:cs="Arial"/>
          <w:sz w:val="18"/>
          <w:szCs w:val="18"/>
        </w:rPr>
        <w:footnoteRef/>
      </w:r>
      <w:r w:rsidRPr="002C0C73">
        <w:rPr>
          <w:rFonts w:cs="Arial"/>
          <w:sz w:val="18"/>
          <w:szCs w:val="18"/>
        </w:rPr>
        <w:t xml:space="preserve"> Artículo 19, párrafo 1, de la LGPP.</w:t>
      </w:r>
    </w:p>
  </w:footnote>
  <w:footnote w:id="69">
    <w:p w:rsidR="0068625D" w:rsidRPr="002C0C73" w:rsidRDefault="0068625D" w:rsidP="00FD5F2B">
      <w:pPr>
        <w:pStyle w:val="Textonotapie"/>
        <w:rPr>
          <w:rFonts w:cs="Arial"/>
          <w:sz w:val="18"/>
          <w:szCs w:val="18"/>
        </w:rPr>
      </w:pPr>
      <w:r w:rsidRPr="002C0C73">
        <w:rPr>
          <w:rStyle w:val="Refdenotaalpie"/>
          <w:rFonts w:cs="Arial"/>
          <w:sz w:val="18"/>
          <w:szCs w:val="18"/>
        </w:rPr>
        <w:footnoteRef/>
      </w:r>
      <w:r w:rsidRPr="002C0C73">
        <w:rPr>
          <w:rFonts w:cs="Arial"/>
          <w:sz w:val="18"/>
          <w:szCs w:val="18"/>
        </w:rPr>
        <w:t xml:space="preserve"> INE/CG82/2020.</w:t>
      </w:r>
    </w:p>
  </w:footnote>
  <w:footnote w:id="70">
    <w:p w:rsidR="0068625D" w:rsidRPr="002C0C73" w:rsidRDefault="0068625D" w:rsidP="007B7DCB">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En la página cuarenta y cuatro del acuerdo impugnado se lee textualmente lo siguiente: […] </w:t>
      </w:r>
      <w:r w:rsidRPr="002C0C73">
        <w:rPr>
          <w:rFonts w:cs="Arial"/>
          <w:b/>
          <w:sz w:val="18"/>
          <w:szCs w:val="18"/>
        </w:rPr>
        <w:t xml:space="preserve">7. Resolución y efectos constitutivos. </w:t>
      </w:r>
      <w:r w:rsidRPr="002C0C73">
        <w:rPr>
          <w:rFonts w:cs="Arial"/>
          <w:sz w:val="18"/>
          <w:szCs w:val="18"/>
        </w:rPr>
        <w:t xml:space="preserve">Este Consejo General </w:t>
      </w:r>
      <w:r w:rsidRPr="002C0C73">
        <w:rPr>
          <w:rFonts w:cs="Arial"/>
          <w:b/>
          <w:sz w:val="18"/>
          <w:szCs w:val="18"/>
        </w:rPr>
        <w:t>deberá emitir la resolución</w:t>
      </w:r>
      <w:r w:rsidRPr="002C0C73">
        <w:rPr>
          <w:rFonts w:cs="Arial"/>
          <w:sz w:val="18"/>
          <w:szCs w:val="18"/>
        </w:rPr>
        <w:t xml:space="preserve"> respecto a las siete (7) solicitudes de registro presentadas, </w:t>
      </w:r>
      <w:r w:rsidRPr="002C0C73">
        <w:rPr>
          <w:rFonts w:cs="Arial"/>
          <w:b/>
          <w:sz w:val="18"/>
          <w:szCs w:val="18"/>
        </w:rPr>
        <w:t xml:space="preserve">a más tardar </w:t>
      </w:r>
      <w:r w:rsidRPr="002C0C73">
        <w:rPr>
          <w:rFonts w:cs="Arial"/>
          <w:sz w:val="18"/>
          <w:szCs w:val="18"/>
        </w:rPr>
        <w:t>el treinta y uno de agosto de dos mil veinte. […]</w:t>
      </w:r>
    </w:p>
  </w:footnote>
  <w:footnote w:id="71">
    <w:p w:rsidR="0068625D" w:rsidRPr="002C0C73" w:rsidRDefault="0068625D">
      <w:pPr>
        <w:pStyle w:val="Textonotapie"/>
        <w:rPr>
          <w:rFonts w:cs="Arial"/>
          <w:sz w:val="18"/>
          <w:szCs w:val="18"/>
        </w:rPr>
      </w:pPr>
      <w:r w:rsidRPr="002C0C73">
        <w:rPr>
          <w:rStyle w:val="Refdenotaalpie"/>
          <w:rFonts w:cs="Arial"/>
          <w:sz w:val="18"/>
          <w:szCs w:val="18"/>
        </w:rPr>
        <w:footnoteRef/>
      </w:r>
      <w:r w:rsidRPr="002C0C73">
        <w:rPr>
          <w:rFonts w:cs="Arial"/>
          <w:sz w:val="18"/>
          <w:szCs w:val="18"/>
        </w:rPr>
        <w:t xml:space="preserve"> Se recuerda que es el acuerdo identificado como INE/CG82/2020.</w:t>
      </w:r>
    </w:p>
  </w:footnote>
  <w:footnote w:id="72">
    <w:p w:rsidR="0068625D" w:rsidRPr="002C0C73" w:rsidRDefault="0068625D">
      <w:pPr>
        <w:pStyle w:val="Textonotapie"/>
        <w:rPr>
          <w:rFonts w:cs="Arial"/>
          <w:sz w:val="18"/>
          <w:szCs w:val="18"/>
        </w:rPr>
      </w:pPr>
      <w:r w:rsidRPr="002C0C73">
        <w:rPr>
          <w:rStyle w:val="Refdenotaalpie"/>
          <w:rFonts w:cs="Arial"/>
          <w:sz w:val="18"/>
          <w:szCs w:val="18"/>
        </w:rPr>
        <w:footnoteRef/>
      </w:r>
      <w:r w:rsidRPr="002C0C73">
        <w:rPr>
          <w:rFonts w:cs="Arial"/>
          <w:sz w:val="18"/>
          <w:szCs w:val="18"/>
        </w:rPr>
        <w:t xml:space="preserve"> Página 11 del acuerdo citado.</w:t>
      </w:r>
    </w:p>
  </w:footnote>
  <w:footnote w:id="7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453, párrafo 1, inciso a), de la LGIPE.</w:t>
      </w:r>
    </w:p>
  </w:footnote>
  <w:footnote w:id="7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456, párrafo 1, inciso h, fracción III, de la LGIPE.</w:t>
      </w:r>
    </w:p>
  </w:footnote>
  <w:footnote w:id="7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Conforme a lo previsto en el artículo 23, párrafo 2, de la Ley de Medios y a la tesis de jurisprudencia 03/2000, de rubro: “</w:t>
      </w:r>
      <w:r w:rsidRPr="002C0C73">
        <w:rPr>
          <w:rFonts w:cs="Arial"/>
          <w:b/>
          <w:bCs/>
          <w:sz w:val="18"/>
          <w:szCs w:val="18"/>
        </w:rPr>
        <w:t>AGRAVIOS. PARA TENERLOS POR DEBIDAMENTE CONFIGURADOS ES SUFICIENTE CON EXPRESAR LA CAUSA DE PEDIR</w:t>
      </w:r>
      <w:r w:rsidRPr="002C0C73">
        <w:rPr>
          <w:rFonts w:cs="Arial"/>
          <w:sz w:val="18"/>
          <w:szCs w:val="18"/>
        </w:rPr>
        <w:t>”.</w:t>
      </w:r>
    </w:p>
  </w:footnote>
  <w:footnote w:id="7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14.</w:t>
      </w:r>
    </w:p>
  </w:footnote>
  <w:footnote w:id="7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465, párrafo 5, de la LGIPE.</w:t>
      </w:r>
    </w:p>
  </w:footnote>
  <w:footnote w:id="7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1, del Procedimiento sumario.</w:t>
      </w:r>
    </w:p>
  </w:footnote>
  <w:footnote w:id="7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Artículos 465, párrafo 3, de la LGIPE y 48, párrafo 1, del Reglamento de Quejas.</w:t>
      </w:r>
    </w:p>
  </w:footnote>
  <w:footnote w:id="8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 b), del Procedimiento sumario.</w:t>
      </w:r>
    </w:p>
  </w:footnote>
  <w:footnote w:id="8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465, párrafo 9, de la LGIPE.</w:t>
      </w:r>
    </w:p>
  </w:footnote>
  <w:footnote w:id="8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 a), del Procedimiento sumario.</w:t>
      </w:r>
    </w:p>
  </w:footnote>
  <w:footnote w:id="8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468, párrafo 3, de la LGIPE. El plazo podrá ser ampliado de manera excepcional, por una sola vez, hasta por un periodo igual.</w:t>
      </w:r>
    </w:p>
  </w:footnote>
  <w:footnote w:id="8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 c), del Procedimiento sumario. Excepcionalmente, ese plazo podrá prorrogarse por un periodo igual, cuando así se justifique.</w:t>
      </w:r>
    </w:p>
  </w:footnote>
  <w:footnote w:id="8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Artículos 467, párrafo 1, de la LGIPE.</w:t>
      </w:r>
    </w:p>
  </w:footnote>
  <w:footnote w:id="8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 d), del Procedimiento sumario.</w:t>
      </w:r>
    </w:p>
  </w:footnote>
  <w:footnote w:id="8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Artículos 469, párrafo 1, de la LGIPE y 50, párrafo 1, del Reglamento de Quejas.</w:t>
      </w:r>
    </w:p>
  </w:footnote>
  <w:footnote w:id="8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 e), del Procedimiento sumario.</w:t>
      </w:r>
    </w:p>
  </w:footnote>
  <w:footnote w:id="89">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25, párrafo 3, del Reglamento de Quejas.</w:t>
      </w:r>
    </w:p>
  </w:footnote>
  <w:footnote w:id="90">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10, párrafo 3, del Procedimiento sumario.</w:t>
      </w:r>
    </w:p>
  </w:footnote>
  <w:footnote w:id="91">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Artículos 469, párrafo 1, de la LGIPE y 51, párrafo 1, del Reglamento de Quejas. Ese plazo podrá ser ampliado cuando así se justifique hasta por diez días.</w:t>
      </w:r>
    </w:p>
  </w:footnote>
  <w:footnote w:id="92">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 f), del Procedimiento sumario.</w:t>
      </w:r>
    </w:p>
  </w:footnote>
  <w:footnote w:id="93">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Artículos 469, párrafo 3, de la LGIPE y 56, párrafo 1, del Reglamento de Quejas. Una vez concluido el plazo para elaborar el proyecto la UTCE tiene un periodo de 5 días para remitirlo a la Comisión de Quejas; recibido el proyecto, la Presidencia de la Comisión de Quejas citará a sesión para resolver, la cual no debe tener lugar en un plazo menor a 24 horas.</w:t>
      </w:r>
    </w:p>
  </w:footnote>
  <w:footnote w:id="94">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incisos g), del Procedimiento sumario.</w:t>
      </w:r>
    </w:p>
  </w:footnote>
  <w:footnote w:id="95">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469, párrafo 3, inciso c), de la LGIPE. En ese plazo, la UTCE debe emitir un nuevo proyecto tomando en consideración los razonamientos de la Comisión de Quejas.</w:t>
      </w:r>
    </w:p>
  </w:footnote>
  <w:footnote w:id="96">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incisos h) e i), del Procedimiento sumario. En caso de que la Comisión de Quejas devuelva el expediente.</w:t>
      </w:r>
    </w:p>
  </w:footnote>
  <w:footnote w:id="97">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469, párrafo 4, de la LGIPE.</w:t>
      </w:r>
    </w:p>
  </w:footnote>
  <w:footnote w:id="98">
    <w:p w:rsidR="0068625D" w:rsidRPr="002C0C73" w:rsidRDefault="0068625D" w:rsidP="00832007">
      <w:pPr>
        <w:pStyle w:val="Textonotapie"/>
        <w:jc w:val="both"/>
        <w:rPr>
          <w:rFonts w:cs="Arial"/>
          <w:sz w:val="18"/>
          <w:szCs w:val="18"/>
        </w:rPr>
      </w:pPr>
      <w:r w:rsidRPr="002C0C73">
        <w:rPr>
          <w:rStyle w:val="Refdenotaalpie"/>
          <w:rFonts w:cs="Arial"/>
          <w:sz w:val="18"/>
          <w:szCs w:val="18"/>
        </w:rPr>
        <w:footnoteRef/>
      </w:r>
      <w:r w:rsidRPr="002C0C73">
        <w:rPr>
          <w:rFonts w:cs="Arial"/>
          <w:sz w:val="18"/>
          <w:szCs w:val="18"/>
        </w:rPr>
        <w:t xml:space="preserve"> Artículo 9, párrafo 2, incisos j), del Procedimiento sumario.</w:t>
      </w:r>
    </w:p>
  </w:footnote>
  <w:footnote w:id="99">
    <w:p w:rsidR="0068625D" w:rsidRPr="002C0C73" w:rsidRDefault="0068625D">
      <w:pPr>
        <w:pStyle w:val="Textonotapie"/>
        <w:rPr>
          <w:rFonts w:cs="Arial"/>
          <w:sz w:val="18"/>
          <w:szCs w:val="18"/>
        </w:rPr>
      </w:pPr>
      <w:r w:rsidRPr="002C0C73">
        <w:rPr>
          <w:rStyle w:val="Refdenotaalpie"/>
          <w:rFonts w:cs="Arial"/>
          <w:sz w:val="18"/>
          <w:szCs w:val="18"/>
        </w:rPr>
        <w:footnoteRef/>
      </w:r>
      <w:r w:rsidRPr="002C0C73">
        <w:rPr>
          <w:rFonts w:cs="Arial"/>
          <w:sz w:val="18"/>
          <w:szCs w:val="18"/>
        </w:rPr>
        <w:t xml:space="preserve"> Artículo 17 de la Constitución.</w:t>
      </w:r>
    </w:p>
  </w:footnote>
  <w:footnote w:id="100">
    <w:p w:rsidR="0068625D" w:rsidRPr="00490085" w:rsidRDefault="0068625D" w:rsidP="007B2FCF">
      <w:pPr>
        <w:pStyle w:val="Textonotapie"/>
        <w:jc w:val="both"/>
        <w:rPr>
          <w:rFonts w:cs="Arial"/>
          <w:sz w:val="18"/>
          <w:szCs w:val="18"/>
        </w:rPr>
      </w:pPr>
      <w:r w:rsidRPr="00490085">
        <w:rPr>
          <w:rStyle w:val="Refdenotaalpie"/>
          <w:rFonts w:cs="Arial"/>
          <w:sz w:val="18"/>
          <w:szCs w:val="18"/>
        </w:rPr>
        <w:footnoteRef/>
      </w:r>
      <w:r w:rsidRPr="00490085">
        <w:rPr>
          <w:rFonts w:cs="Arial"/>
          <w:sz w:val="18"/>
          <w:szCs w:val="18"/>
        </w:rPr>
        <w:t xml:space="preserve"> Colaboraron en la elaboración del presente voto: Paulo Abraham Ordaz Quintero y Augusto Arturo Colín Aguado.</w:t>
      </w:r>
    </w:p>
  </w:footnote>
  <w:footnote w:id="101">
    <w:p w:rsidR="0068625D" w:rsidRPr="00490085" w:rsidRDefault="0068625D" w:rsidP="007B2FCF">
      <w:pPr>
        <w:pStyle w:val="Textonotapie"/>
        <w:jc w:val="both"/>
        <w:rPr>
          <w:rFonts w:cs="Arial"/>
          <w:sz w:val="18"/>
          <w:szCs w:val="18"/>
        </w:rPr>
      </w:pPr>
      <w:r w:rsidRPr="00490085">
        <w:rPr>
          <w:rStyle w:val="Refdenotaalpie"/>
          <w:rFonts w:cs="Arial"/>
          <w:sz w:val="18"/>
          <w:szCs w:val="18"/>
        </w:rPr>
        <w:footnoteRef/>
      </w:r>
      <w:r w:rsidRPr="00490085">
        <w:rPr>
          <w:rFonts w:cs="Arial"/>
          <w:sz w:val="18"/>
          <w:szCs w:val="18"/>
        </w:rPr>
        <w:t xml:space="preserve"> Sentencia SUP-JDC-742/2020 y acumulados, páginas 7 a 13.</w:t>
      </w:r>
    </w:p>
  </w:footnote>
  <w:footnote w:id="102">
    <w:p w:rsidR="0068625D" w:rsidRPr="00490085" w:rsidRDefault="0068625D" w:rsidP="007B2FCF">
      <w:pPr>
        <w:pStyle w:val="Textonotapie"/>
        <w:jc w:val="both"/>
        <w:rPr>
          <w:rFonts w:cs="Arial"/>
          <w:sz w:val="18"/>
          <w:szCs w:val="18"/>
        </w:rPr>
      </w:pPr>
      <w:r w:rsidRPr="00490085">
        <w:rPr>
          <w:rStyle w:val="Refdenotaalpie"/>
          <w:rFonts w:cs="Arial"/>
          <w:sz w:val="18"/>
          <w:szCs w:val="18"/>
        </w:rPr>
        <w:footnoteRef/>
      </w:r>
      <w:r w:rsidRPr="00490085">
        <w:rPr>
          <w:rFonts w:cs="Arial"/>
          <w:sz w:val="18"/>
          <w:szCs w:val="18"/>
        </w:rPr>
        <w:t xml:space="preserve"> Sentencia SUP-JDC-742/2020 y acumulados, páginas 33 a 35. Apartado denominado “Con la nueva fecha no se vulnera la organización de las asociaciones que solicitaron su registro”.</w:t>
      </w:r>
    </w:p>
  </w:footnote>
  <w:footnote w:id="103">
    <w:p w:rsidR="0068625D" w:rsidRPr="00490085" w:rsidRDefault="0068625D" w:rsidP="007B2FCF">
      <w:pPr>
        <w:pStyle w:val="Textonotapie"/>
        <w:jc w:val="both"/>
        <w:rPr>
          <w:rFonts w:cs="Arial"/>
          <w:sz w:val="18"/>
          <w:szCs w:val="18"/>
        </w:rPr>
      </w:pPr>
      <w:r w:rsidRPr="00490085">
        <w:rPr>
          <w:rStyle w:val="Refdenotaalpie"/>
          <w:rFonts w:cs="Arial"/>
          <w:sz w:val="18"/>
          <w:szCs w:val="18"/>
        </w:rPr>
        <w:footnoteRef/>
      </w:r>
      <w:r w:rsidRPr="00490085">
        <w:rPr>
          <w:rFonts w:cs="Arial"/>
          <w:sz w:val="18"/>
          <w:szCs w:val="18"/>
        </w:rPr>
        <w:t xml:space="preserve"> Sentencia SUP-JDC-742/2020 y acumulados, páginas 36 a 38. Apartado denominado “Cuarto tema. Imposibilidad de recibir financiamiento por dos meses y acceso a la radio y televisión”.</w:t>
      </w:r>
    </w:p>
  </w:footnote>
  <w:footnote w:id="104">
    <w:p w:rsidR="0068625D" w:rsidRPr="00490085" w:rsidRDefault="0068625D" w:rsidP="007B2FCF">
      <w:pPr>
        <w:pStyle w:val="Textonotapie"/>
        <w:jc w:val="both"/>
        <w:rPr>
          <w:rStyle w:val="lbl-encabezado-negro"/>
          <w:rFonts w:cs="Arial"/>
          <w:sz w:val="18"/>
          <w:szCs w:val="18"/>
        </w:rPr>
      </w:pPr>
      <w:r w:rsidRPr="00490085">
        <w:rPr>
          <w:rStyle w:val="Refdenotaalpie"/>
          <w:rFonts w:cs="Arial"/>
          <w:sz w:val="18"/>
          <w:szCs w:val="18"/>
        </w:rPr>
        <w:footnoteRef/>
      </w:r>
      <w:r w:rsidRPr="00490085">
        <w:rPr>
          <w:rFonts w:cs="Arial"/>
          <w:sz w:val="18"/>
          <w:szCs w:val="18"/>
        </w:rPr>
        <w:t xml:space="preserve"> Jurisprudencia </w:t>
      </w:r>
      <w:r w:rsidRPr="00490085">
        <w:rPr>
          <w:rStyle w:val="lbl-encabezado-negro"/>
          <w:rFonts w:cs="Arial"/>
          <w:sz w:val="18"/>
          <w:szCs w:val="18"/>
        </w:rPr>
        <w:t xml:space="preserve">161/2007, de la Primera Sala de la Suprema Corte de Justicia de la Nación, de rubro: </w:t>
      </w:r>
      <w:r w:rsidRPr="00490085">
        <w:rPr>
          <w:rStyle w:val="lbl-encabezado-negro"/>
          <w:rFonts w:cs="Arial"/>
          <w:b/>
          <w:sz w:val="18"/>
          <w:szCs w:val="18"/>
        </w:rPr>
        <w:t>COSA JUZGADA. PRESUPUESTOS PARA SU EXISTENCIA</w:t>
      </w:r>
      <w:r w:rsidRPr="00490085">
        <w:rPr>
          <w:rStyle w:val="lbl-encabezado-negro"/>
          <w:rFonts w:cs="Arial"/>
          <w:sz w:val="18"/>
          <w:szCs w:val="18"/>
        </w:rPr>
        <w:t>. 9a. Época; S</w:t>
      </w:r>
      <w:r w:rsidRPr="00490085">
        <w:rPr>
          <w:rStyle w:val="lbl-encabezado-negro"/>
          <w:rFonts w:cs="Arial"/>
          <w:i/>
          <w:sz w:val="18"/>
          <w:szCs w:val="18"/>
        </w:rPr>
        <w:t>.J.F. y su Gaceta</w:t>
      </w:r>
      <w:r w:rsidRPr="00490085">
        <w:rPr>
          <w:rStyle w:val="lbl-encabezado-negro"/>
          <w:rFonts w:cs="Arial"/>
          <w:sz w:val="18"/>
          <w:szCs w:val="18"/>
        </w:rPr>
        <w:t xml:space="preserve">; tomo XXVII, </w:t>
      </w:r>
      <w:proofErr w:type="gramStart"/>
      <w:r w:rsidRPr="00490085">
        <w:rPr>
          <w:rStyle w:val="lbl-encabezado-negro"/>
          <w:rFonts w:cs="Arial"/>
          <w:sz w:val="18"/>
          <w:szCs w:val="18"/>
        </w:rPr>
        <w:t>Febrero</w:t>
      </w:r>
      <w:proofErr w:type="gramEnd"/>
      <w:r w:rsidRPr="00490085">
        <w:rPr>
          <w:rStyle w:val="lbl-encabezado-negro"/>
          <w:rFonts w:cs="Arial"/>
          <w:sz w:val="18"/>
          <w:szCs w:val="18"/>
        </w:rPr>
        <w:t xml:space="preserve"> de 2008; Pág. 197; registro IUS: 171753.</w:t>
      </w:r>
    </w:p>
  </w:footnote>
  <w:footnote w:id="105">
    <w:p w:rsidR="0068625D" w:rsidRPr="00490085" w:rsidRDefault="0068625D" w:rsidP="007B2FCF">
      <w:pPr>
        <w:pStyle w:val="Textonotapie"/>
        <w:jc w:val="both"/>
        <w:rPr>
          <w:rFonts w:cs="Arial"/>
          <w:sz w:val="18"/>
          <w:szCs w:val="18"/>
        </w:rPr>
      </w:pPr>
      <w:r w:rsidRPr="00490085">
        <w:rPr>
          <w:rStyle w:val="Refdenotaalpie"/>
          <w:rFonts w:cs="Arial"/>
          <w:sz w:val="18"/>
          <w:szCs w:val="18"/>
        </w:rPr>
        <w:footnoteRef/>
      </w:r>
      <w:r w:rsidRPr="00490085">
        <w:rPr>
          <w:rFonts w:cs="Arial"/>
          <w:sz w:val="18"/>
          <w:szCs w:val="18"/>
        </w:rPr>
        <w:t xml:space="preserve"> Sentencia SUP-JDC-742/2020 y acumulados, página 13.</w:t>
      </w:r>
    </w:p>
  </w:footnote>
  <w:footnote w:id="106">
    <w:p w:rsidR="0068625D" w:rsidRPr="00490085" w:rsidRDefault="0068625D" w:rsidP="007B2FCF">
      <w:pPr>
        <w:pStyle w:val="Textonotapie"/>
        <w:jc w:val="both"/>
        <w:rPr>
          <w:rFonts w:cs="Arial"/>
          <w:sz w:val="18"/>
          <w:szCs w:val="18"/>
        </w:rPr>
      </w:pPr>
      <w:r w:rsidRPr="00490085">
        <w:rPr>
          <w:rStyle w:val="Refdenotaalpie"/>
          <w:rFonts w:cs="Arial"/>
          <w:sz w:val="18"/>
          <w:szCs w:val="18"/>
        </w:rPr>
        <w:footnoteRef/>
      </w:r>
      <w:r w:rsidRPr="00490085">
        <w:rPr>
          <w:rFonts w:cs="Arial"/>
          <w:sz w:val="18"/>
          <w:szCs w:val="18"/>
        </w:rPr>
        <w:t xml:space="preserve"> Véase: https://repositoriodocumental.ine.mx/xmlui/handle/123456789/113872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25D" w:rsidRDefault="0068625D" w:rsidP="00675766">
    <w:pPr>
      <w:pStyle w:val="Encabezado"/>
      <w:tabs>
        <w:tab w:val="clear" w:pos="4252"/>
        <w:tab w:val="clear" w:pos="8504"/>
      </w:tabs>
      <w:rPr>
        <w:rFonts w:cs="Arial"/>
        <w:b/>
        <w:sz w:val="24"/>
        <w:szCs w:val="24"/>
      </w:rPr>
    </w:pPr>
    <w:r w:rsidRPr="004D5F2C">
      <w:rPr>
        <w:rFonts w:cs="Arial"/>
        <w:b/>
        <w:sz w:val="24"/>
        <w:szCs w:val="24"/>
      </w:rPr>
      <w:t>SUP-J</w:t>
    </w:r>
    <w:r>
      <w:rPr>
        <w:rFonts w:cs="Arial"/>
        <w:b/>
        <w:sz w:val="24"/>
        <w:szCs w:val="24"/>
      </w:rPr>
      <w:t>DC</w:t>
    </w:r>
    <w:r w:rsidRPr="004D5F2C">
      <w:rPr>
        <w:rFonts w:cs="Arial"/>
        <w:b/>
        <w:sz w:val="24"/>
        <w:szCs w:val="24"/>
      </w:rPr>
      <w:t>-</w:t>
    </w:r>
    <w:r>
      <w:rPr>
        <w:rFonts w:cs="Arial"/>
        <w:b/>
        <w:sz w:val="24"/>
        <w:szCs w:val="24"/>
      </w:rPr>
      <w:t>742</w:t>
    </w:r>
    <w:r w:rsidRPr="004D5F2C">
      <w:rPr>
        <w:rFonts w:cs="Arial"/>
        <w:b/>
        <w:sz w:val="24"/>
        <w:szCs w:val="24"/>
      </w:rPr>
      <w:t>/2020</w:t>
    </w:r>
    <w:r>
      <w:rPr>
        <w:rFonts w:cs="Arial"/>
        <w:b/>
        <w:sz w:val="24"/>
        <w:szCs w:val="24"/>
      </w:rPr>
      <w:t xml:space="preserve"> </w:t>
    </w:r>
  </w:p>
  <w:p w:rsidR="0068625D" w:rsidRPr="00052106" w:rsidRDefault="0068625D" w:rsidP="00675766">
    <w:pPr>
      <w:pStyle w:val="Encabezado"/>
      <w:tabs>
        <w:tab w:val="clear" w:pos="4252"/>
        <w:tab w:val="clear" w:pos="8504"/>
      </w:tabs>
      <w:rPr>
        <w:rFonts w:cs="Arial"/>
        <w:sz w:val="18"/>
        <w:szCs w:val="18"/>
      </w:rPr>
    </w:pPr>
    <w:r w:rsidRPr="00052106">
      <w:rPr>
        <w:rFonts w:cs="Arial"/>
        <w:b/>
        <w:sz w:val="18"/>
        <w:szCs w:val="18"/>
      </w:rPr>
      <w:t>Y ACUMULADOS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25D" w:rsidRDefault="0068625D" w:rsidP="00675766">
    <w:pPr>
      <w:pStyle w:val="Encabezado"/>
      <w:tabs>
        <w:tab w:val="clear" w:pos="4252"/>
        <w:tab w:val="clear" w:pos="8504"/>
      </w:tabs>
      <w:jc w:val="right"/>
      <w:rPr>
        <w:rFonts w:cs="Arial"/>
        <w:b/>
        <w:sz w:val="24"/>
        <w:szCs w:val="24"/>
      </w:rPr>
    </w:pPr>
    <w:r w:rsidRPr="00EE0B40">
      <w:rPr>
        <w:rFonts w:cs="Arial"/>
        <w:b/>
        <w:sz w:val="24"/>
        <w:szCs w:val="24"/>
      </w:rPr>
      <w:t>SUP-J</w:t>
    </w:r>
    <w:r>
      <w:rPr>
        <w:rFonts w:cs="Arial"/>
        <w:b/>
        <w:sz w:val="24"/>
        <w:szCs w:val="24"/>
      </w:rPr>
      <w:t>DC-742</w:t>
    </w:r>
    <w:r w:rsidRPr="00EE0B40">
      <w:rPr>
        <w:rFonts w:cs="Arial"/>
        <w:b/>
        <w:sz w:val="24"/>
        <w:szCs w:val="24"/>
      </w:rPr>
      <w:t>/2020</w:t>
    </w:r>
    <w:r>
      <w:rPr>
        <w:rFonts w:cs="Arial"/>
        <w:b/>
        <w:sz w:val="24"/>
        <w:szCs w:val="24"/>
      </w:rPr>
      <w:t xml:space="preserve"> </w:t>
    </w:r>
  </w:p>
  <w:p w:rsidR="0068625D" w:rsidRPr="00052106" w:rsidRDefault="0068625D" w:rsidP="00675766">
    <w:pPr>
      <w:pStyle w:val="Encabezado"/>
      <w:tabs>
        <w:tab w:val="clear" w:pos="4252"/>
        <w:tab w:val="clear" w:pos="8504"/>
      </w:tabs>
      <w:jc w:val="right"/>
      <w:rPr>
        <w:rFonts w:cs="Arial"/>
        <w:b/>
        <w:sz w:val="18"/>
        <w:szCs w:val="18"/>
        <w:lang w:val="en-US"/>
      </w:rPr>
    </w:pPr>
    <w:r w:rsidRPr="00052106">
      <w:rPr>
        <w:rFonts w:cs="Arial"/>
        <w:b/>
        <w:sz w:val="18"/>
        <w:szCs w:val="18"/>
      </w:rPr>
      <w:t>Y ACUMULADOS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0F0"/>
    <w:multiLevelType w:val="hybridMultilevel"/>
    <w:tmpl w:val="5478E0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 w15:restartNumberingAfterBreak="0">
    <w:nsid w:val="08764111"/>
    <w:multiLevelType w:val="hybridMultilevel"/>
    <w:tmpl w:val="F7E81D32"/>
    <w:lvl w:ilvl="0" w:tplc="AAFABDA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343C4"/>
    <w:multiLevelType w:val="hybridMultilevel"/>
    <w:tmpl w:val="40B4C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5C28D5"/>
    <w:multiLevelType w:val="hybridMultilevel"/>
    <w:tmpl w:val="42DED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1793D"/>
    <w:multiLevelType w:val="hybridMultilevel"/>
    <w:tmpl w:val="D5D600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9E5454"/>
    <w:multiLevelType w:val="hybridMultilevel"/>
    <w:tmpl w:val="45BA6832"/>
    <w:lvl w:ilvl="0" w:tplc="846A67EA">
      <w:start w:val="1"/>
      <w:numFmt w:val="decimal"/>
      <w:lvlText w:val="%1."/>
      <w:lvlJc w:val="left"/>
      <w:pPr>
        <w:ind w:left="644" w:hanging="360"/>
      </w:pPr>
      <w:rPr>
        <w:rFonts w:ascii="Univers" w:hAnsi="Univers" w:hint="default"/>
        <w:b/>
        <w:sz w:val="20"/>
        <w:szCs w:val="20"/>
      </w:rPr>
    </w:lvl>
    <w:lvl w:ilvl="1" w:tplc="080A0019">
      <w:start w:val="1"/>
      <w:numFmt w:val="lowerLetter"/>
      <w:lvlText w:val="%2."/>
      <w:lvlJc w:val="left"/>
      <w:pPr>
        <w:ind w:left="-3238" w:hanging="360"/>
      </w:pPr>
    </w:lvl>
    <w:lvl w:ilvl="2" w:tplc="FEC0A69A">
      <w:start w:val="1"/>
      <w:numFmt w:val="lowerLetter"/>
      <w:lvlText w:val="%3)"/>
      <w:lvlJc w:val="left"/>
      <w:pPr>
        <w:ind w:left="-2338" w:hanging="360"/>
      </w:pPr>
      <w:rPr>
        <w:rFonts w:hint="default"/>
      </w:rPr>
    </w:lvl>
    <w:lvl w:ilvl="3" w:tplc="080A000F" w:tentative="1">
      <w:start w:val="1"/>
      <w:numFmt w:val="decimal"/>
      <w:lvlText w:val="%4."/>
      <w:lvlJc w:val="left"/>
      <w:pPr>
        <w:ind w:left="-1798" w:hanging="360"/>
      </w:pPr>
    </w:lvl>
    <w:lvl w:ilvl="4" w:tplc="080A0019" w:tentative="1">
      <w:start w:val="1"/>
      <w:numFmt w:val="lowerLetter"/>
      <w:lvlText w:val="%5."/>
      <w:lvlJc w:val="left"/>
      <w:pPr>
        <w:ind w:left="-1078" w:hanging="360"/>
      </w:pPr>
    </w:lvl>
    <w:lvl w:ilvl="5" w:tplc="080A001B" w:tentative="1">
      <w:start w:val="1"/>
      <w:numFmt w:val="lowerRoman"/>
      <w:lvlText w:val="%6."/>
      <w:lvlJc w:val="right"/>
      <w:pPr>
        <w:ind w:left="-358" w:hanging="180"/>
      </w:pPr>
    </w:lvl>
    <w:lvl w:ilvl="6" w:tplc="080A000F" w:tentative="1">
      <w:start w:val="1"/>
      <w:numFmt w:val="decimal"/>
      <w:lvlText w:val="%7."/>
      <w:lvlJc w:val="left"/>
      <w:pPr>
        <w:ind w:left="362" w:hanging="360"/>
      </w:pPr>
    </w:lvl>
    <w:lvl w:ilvl="7" w:tplc="080A0019" w:tentative="1">
      <w:start w:val="1"/>
      <w:numFmt w:val="lowerLetter"/>
      <w:lvlText w:val="%8."/>
      <w:lvlJc w:val="left"/>
      <w:pPr>
        <w:ind w:left="1082" w:hanging="360"/>
      </w:pPr>
    </w:lvl>
    <w:lvl w:ilvl="8" w:tplc="080A001B" w:tentative="1">
      <w:start w:val="1"/>
      <w:numFmt w:val="lowerRoman"/>
      <w:lvlText w:val="%9."/>
      <w:lvlJc w:val="right"/>
      <w:pPr>
        <w:ind w:left="1802" w:hanging="180"/>
      </w:pPr>
    </w:lvl>
  </w:abstractNum>
  <w:abstractNum w:abstractNumId="7" w15:restartNumberingAfterBreak="0">
    <w:nsid w:val="29F266C7"/>
    <w:multiLevelType w:val="hybridMultilevel"/>
    <w:tmpl w:val="4D427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80649"/>
    <w:multiLevelType w:val="hybridMultilevel"/>
    <w:tmpl w:val="AF327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B4915"/>
    <w:multiLevelType w:val="hybridMultilevel"/>
    <w:tmpl w:val="BDDAE39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0" w15:restartNumberingAfterBreak="0">
    <w:nsid w:val="2DC35003"/>
    <w:multiLevelType w:val="hybridMultilevel"/>
    <w:tmpl w:val="87B49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C6235B"/>
    <w:multiLevelType w:val="hybridMultilevel"/>
    <w:tmpl w:val="11C4F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F03C1F"/>
    <w:multiLevelType w:val="hybridMultilevel"/>
    <w:tmpl w:val="76BEF1D6"/>
    <w:lvl w:ilvl="0" w:tplc="5DD088B6">
      <w:start w:val="1"/>
      <w:numFmt w:val="decimal"/>
      <w:lvlText w:val="%1."/>
      <w:lvlJc w:val="left"/>
      <w:pPr>
        <w:ind w:left="720" w:hanging="360"/>
      </w:pPr>
      <w:rPr>
        <w:b w:val="0"/>
        <w:bCs w:val="0"/>
        <w:sz w:val="18"/>
        <w:szCs w:val="18"/>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641674C"/>
    <w:multiLevelType w:val="hybridMultilevel"/>
    <w:tmpl w:val="5BAEA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FE40D5"/>
    <w:multiLevelType w:val="hybridMultilevel"/>
    <w:tmpl w:val="D172972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5" w15:restartNumberingAfterBreak="0">
    <w:nsid w:val="65083CA8"/>
    <w:multiLevelType w:val="hybridMultilevel"/>
    <w:tmpl w:val="130CFBB0"/>
    <w:lvl w:ilvl="0" w:tplc="579C7A28">
      <w:start w:val="1"/>
      <w:numFmt w:val="decimal"/>
      <w:lvlText w:val="%1."/>
      <w:lvlJc w:val="left"/>
      <w:pPr>
        <w:ind w:left="502"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5234531"/>
    <w:multiLevelType w:val="hybridMultilevel"/>
    <w:tmpl w:val="2AC416AE"/>
    <w:lvl w:ilvl="0" w:tplc="2116A5E0">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6B0146C2"/>
    <w:multiLevelType w:val="hybridMultilevel"/>
    <w:tmpl w:val="AC2A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B46918"/>
    <w:multiLevelType w:val="hybridMultilevel"/>
    <w:tmpl w:val="02D040B8"/>
    <w:lvl w:ilvl="0" w:tplc="483CB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3D6EA9"/>
    <w:multiLevelType w:val="hybridMultilevel"/>
    <w:tmpl w:val="2AE03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555926"/>
    <w:multiLevelType w:val="hybridMultilevel"/>
    <w:tmpl w:val="BE26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18"/>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1"/>
  </w:num>
  <w:num w:numId="10">
    <w:abstractNumId w:val="9"/>
  </w:num>
  <w:num w:numId="11">
    <w:abstractNumId w:val="3"/>
  </w:num>
  <w:num w:numId="12">
    <w:abstractNumId w:val="12"/>
  </w:num>
  <w:num w:numId="13">
    <w:abstractNumId w:val="10"/>
  </w:num>
  <w:num w:numId="14">
    <w:abstractNumId w:val="5"/>
  </w:num>
  <w:num w:numId="15">
    <w:abstractNumId w:val="21"/>
  </w:num>
  <w:num w:numId="16">
    <w:abstractNumId w:val="0"/>
  </w:num>
  <w:num w:numId="17">
    <w:abstractNumId w:val="13"/>
  </w:num>
  <w:num w:numId="18">
    <w:abstractNumId w:val="7"/>
  </w:num>
  <w:num w:numId="19">
    <w:abstractNumId w:val="20"/>
  </w:num>
  <w:num w:numId="20">
    <w:abstractNumId w:val="1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5"/>
    <w:rsid w:val="0000044E"/>
    <w:rsid w:val="00000B53"/>
    <w:rsid w:val="00003EE5"/>
    <w:rsid w:val="000042EF"/>
    <w:rsid w:val="00004AA7"/>
    <w:rsid w:val="00005520"/>
    <w:rsid w:val="00005716"/>
    <w:rsid w:val="00007E88"/>
    <w:rsid w:val="00011070"/>
    <w:rsid w:val="0001223A"/>
    <w:rsid w:val="00012C1D"/>
    <w:rsid w:val="00013763"/>
    <w:rsid w:val="0001405B"/>
    <w:rsid w:val="0001599A"/>
    <w:rsid w:val="0001640C"/>
    <w:rsid w:val="00017F89"/>
    <w:rsid w:val="00021263"/>
    <w:rsid w:val="00021460"/>
    <w:rsid w:val="00021692"/>
    <w:rsid w:val="00021807"/>
    <w:rsid w:val="000228EA"/>
    <w:rsid w:val="00024C52"/>
    <w:rsid w:val="000264D8"/>
    <w:rsid w:val="00026F94"/>
    <w:rsid w:val="00027159"/>
    <w:rsid w:val="00027230"/>
    <w:rsid w:val="00027CC0"/>
    <w:rsid w:val="00027D9E"/>
    <w:rsid w:val="0003159F"/>
    <w:rsid w:val="000316B8"/>
    <w:rsid w:val="00032232"/>
    <w:rsid w:val="000327E0"/>
    <w:rsid w:val="00032B14"/>
    <w:rsid w:val="00033100"/>
    <w:rsid w:val="00034F62"/>
    <w:rsid w:val="0003512B"/>
    <w:rsid w:val="000354BA"/>
    <w:rsid w:val="000356D0"/>
    <w:rsid w:val="00040181"/>
    <w:rsid w:val="00040A37"/>
    <w:rsid w:val="00041315"/>
    <w:rsid w:val="00041CB0"/>
    <w:rsid w:val="00042596"/>
    <w:rsid w:val="00042AB1"/>
    <w:rsid w:val="00044850"/>
    <w:rsid w:val="00044D9B"/>
    <w:rsid w:val="0004607E"/>
    <w:rsid w:val="000469B3"/>
    <w:rsid w:val="000473F1"/>
    <w:rsid w:val="00050958"/>
    <w:rsid w:val="0005209E"/>
    <w:rsid w:val="00052106"/>
    <w:rsid w:val="00052F0E"/>
    <w:rsid w:val="0005303D"/>
    <w:rsid w:val="0005355F"/>
    <w:rsid w:val="0005370B"/>
    <w:rsid w:val="000539C9"/>
    <w:rsid w:val="000562E9"/>
    <w:rsid w:val="00057320"/>
    <w:rsid w:val="00057C36"/>
    <w:rsid w:val="00060F0F"/>
    <w:rsid w:val="00061408"/>
    <w:rsid w:val="00063857"/>
    <w:rsid w:val="00064BA4"/>
    <w:rsid w:val="00070D1D"/>
    <w:rsid w:val="000748AB"/>
    <w:rsid w:val="00074E00"/>
    <w:rsid w:val="00074F2E"/>
    <w:rsid w:val="000752A4"/>
    <w:rsid w:val="00075895"/>
    <w:rsid w:val="00076BA4"/>
    <w:rsid w:val="00076ECA"/>
    <w:rsid w:val="000840BE"/>
    <w:rsid w:val="000866E0"/>
    <w:rsid w:val="00087DE1"/>
    <w:rsid w:val="00087E88"/>
    <w:rsid w:val="000906B6"/>
    <w:rsid w:val="00091645"/>
    <w:rsid w:val="00092A55"/>
    <w:rsid w:val="0009485C"/>
    <w:rsid w:val="0009668B"/>
    <w:rsid w:val="00097C5E"/>
    <w:rsid w:val="000A0750"/>
    <w:rsid w:val="000A2208"/>
    <w:rsid w:val="000A2BBB"/>
    <w:rsid w:val="000A3850"/>
    <w:rsid w:val="000A3B1E"/>
    <w:rsid w:val="000A48B6"/>
    <w:rsid w:val="000A4963"/>
    <w:rsid w:val="000A5D36"/>
    <w:rsid w:val="000A63BC"/>
    <w:rsid w:val="000A6C4B"/>
    <w:rsid w:val="000B228C"/>
    <w:rsid w:val="000B2A4A"/>
    <w:rsid w:val="000B415D"/>
    <w:rsid w:val="000B4977"/>
    <w:rsid w:val="000B4C3C"/>
    <w:rsid w:val="000B5631"/>
    <w:rsid w:val="000B5732"/>
    <w:rsid w:val="000B60F0"/>
    <w:rsid w:val="000B7161"/>
    <w:rsid w:val="000B7D4F"/>
    <w:rsid w:val="000C1F49"/>
    <w:rsid w:val="000C383B"/>
    <w:rsid w:val="000C517C"/>
    <w:rsid w:val="000C5BDB"/>
    <w:rsid w:val="000C77B3"/>
    <w:rsid w:val="000C7D19"/>
    <w:rsid w:val="000D06E9"/>
    <w:rsid w:val="000D0B19"/>
    <w:rsid w:val="000D10CB"/>
    <w:rsid w:val="000D257D"/>
    <w:rsid w:val="000D2D72"/>
    <w:rsid w:val="000D2DFD"/>
    <w:rsid w:val="000D33B0"/>
    <w:rsid w:val="000D3D62"/>
    <w:rsid w:val="000D4A7D"/>
    <w:rsid w:val="000D5554"/>
    <w:rsid w:val="000D6819"/>
    <w:rsid w:val="000D687B"/>
    <w:rsid w:val="000D77CF"/>
    <w:rsid w:val="000E0DA3"/>
    <w:rsid w:val="000E2184"/>
    <w:rsid w:val="000E2839"/>
    <w:rsid w:val="000E2ED6"/>
    <w:rsid w:val="000E34D4"/>
    <w:rsid w:val="000E3EC1"/>
    <w:rsid w:val="000E4976"/>
    <w:rsid w:val="000E577A"/>
    <w:rsid w:val="000E666B"/>
    <w:rsid w:val="000E74A7"/>
    <w:rsid w:val="000E7896"/>
    <w:rsid w:val="000F22CB"/>
    <w:rsid w:val="000F3C8B"/>
    <w:rsid w:val="000F49CC"/>
    <w:rsid w:val="000F4A3C"/>
    <w:rsid w:val="000F6458"/>
    <w:rsid w:val="000F6C93"/>
    <w:rsid w:val="000F7D4A"/>
    <w:rsid w:val="00101034"/>
    <w:rsid w:val="001047A6"/>
    <w:rsid w:val="001048EC"/>
    <w:rsid w:val="00104E41"/>
    <w:rsid w:val="00106B4F"/>
    <w:rsid w:val="001078AF"/>
    <w:rsid w:val="0011066B"/>
    <w:rsid w:val="0011295A"/>
    <w:rsid w:val="00112C47"/>
    <w:rsid w:val="00113677"/>
    <w:rsid w:val="001138AE"/>
    <w:rsid w:val="001153F8"/>
    <w:rsid w:val="001158F4"/>
    <w:rsid w:val="00115B58"/>
    <w:rsid w:val="0011780F"/>
    <w:rsid w:val="00117D3E"/>
    <w:rsid w:val="001209C8"/>
    <w:rsid w:val="00121623"/>
    <w:rsid w:val="00123204"/>
    <w:rsid w:val="0012361E"/>
    <w:rsid w:val="00123E6F"/>
    <w:rsid w:val="00124462"/>
    <w:rsid w:val="00125980"/>
    <w:rsid w:val="00125C6A"/>
    <w:rsid w:val="00125D52"/>
    <w:rsid w:val="001265A5"/>
    <w:rsid w:val="00133057"/>
    <w:rsid w:val="0013344C"/>
    <w:rsid w:val="001337CD"/>
    <w:rsid w:val="00133C8E"/>
    <w:rsid w:val="001343C8"/>
    <w:rsid w:val="00137721"/>
    <w:rsid w:val="00140102"/>
    <w:rsid w:val="001410DA"/>
    <w:rsid w:val="00143738"/>
    <w:rsid w:val="00144793"/>
    <w:rsid w:val="00145174"/>
    <w:rsid w:val="0014524A"/>
    <w:rsid w:val="00146BDC"/>
    <w:rsid w:val="00147370"/>
    <w:rsid w:val="00150956"/>
    <w:rsid w:val="0015286B"/>
    <w:rsid w:val="00152A2B"/>
    <w:rsid w:val="00152C86"/>
    <w:rsid w:val="0015303D"/>
    <w:rsid w:val="001537AF"/>
    <w:rsid w:val="00154CF6"/>
    <w:rsid w:val="00155F24"/>
    <w:rsid w:val="00160A8D"/>
    <w:rsid w:val="00161C2F"/>
    <w:rsid w:val="00162A2D"/>
    <w:rsid w:val="00163330"/>
    <w:rsid w:val="0016793B"/>
    <w:rsid w:val="00167A85"/>
    <w:rsid w:val="00167C12"/>
    <w:rsid w:val="00170325"/>
    <w:rsid w:val="0017055A"/>
    <w:rsid w:val="00170E1D"/>
    <w:rsid w:val="00171CDE"/>
    <w:rsid w:val="0017462B"/>
    <w:rsid w:val="00175381"/>
    <w:rsid w:val="00176416"/>
    <w:rsid w:val="00177E5C"/>
    <w:rsid w:val="0018035E"/>
    <w:rsid w:val="00181377"/>
    <w:rsid w:val="00182AFD"/>
    <w:rsid w:val="00184C2E"/>
    <w:rsid w:val="00184CBD"/>
    <w:rsid w:val="00185564"/>
    <w:rsid w:val="00186FFD"/>
    <w:rsid w:val="001878BD"/>
    <w:rsid w:val="001915F0"/>
    <w:rsid w:val="00191696"/>
    <w:rsid w:val="00191EC1"/>
    <w:rsid w:val="001925F0"/>
    <w:rsid w:val="0019288B"/>
    <w:rsid w:val="00196185"/>
    <w:rsid w:val="00196276"/>
    <w:rsid w:val="0019684A"/>
    <w:rsid w:val="00196D78"/>
    <w:rsid w:val="001977BD"/>
    <w:rsid w:val="00197AC5"/>
    <w:rsid w:val="001A0218"/>
    <w:rsid w:val="001A063C"/>
    <w:rsid w:val="001A1008"/>
    <w:rsid w:val="001A172C"/>
    <w:rsid w:val="001A1817"/>
    <w:rsid w:val="001A2957"/>
    <w:rsid w:val="001A533A"/>
    <w:rsid w:val="001A58A3"/>
    <w:rsid w:val="001A5F3E"/>
    <w:rsid w:val="001A6544"/>
    <w:rsid w:val="001A7E4F"/>
    <w:rsid w:val="001A7E7A"/>
    <w:rsid w:val="001B0B7C"/>
    <w:rsid w:val="001B0F3E"/>
    <w:rsid w:val="001B1E10"/>
    <w:rsid w:val="001B3565"/>
    <w:rsid w:val="001B431D"/>
    <w:rsid w:val="001C095C"/>
    <w:rsid w:val="001C19C7"/>
    <w:rsid w:val="001C1F4B"/>
    <w:rsid w:val="001C2A3D"/>
    <w:rsid w:val="001C41CA"/>
    <w:rsid w:val="001C6A95"/>
    <w:rsid w:val="001D026D"/>
    <w:rsid w:val="001D0D9F"/>
    <w:rsid w:val="001D19E5"/>
    <w:rsid w:val="001D582D"/>
    <w:rsid w:val="001D7207"/>
    <w:rsid w:val="001D73AE"/>
    <w:rsid w:val="001E0628"/>
    <w:rsid w:val="001E157D"/>
    <w:rsid w:val="001E24AE"/>
    <w:rsid w:val="001E4802"/>
    <w:rsid w:val="001E6B26"/>
    <w:rsid w:val="001E7B71"/>
    <w:rsid w:val="001F0E0C"/>
    <w:rsid w:val="001F2231"/>
    <w:rsid w:val="001F4FD7"/>
    <w:rsid w:val="001F5067"/>
    <w:rsid w:val="001F57EB"/>
    <w:rsid w:val="001F7F46"/>
    <w:rsid w:val="00200D13"/>
    <w:rsid w:val="00201EB3"/>
    <w:rsid w:val="00202A2B"/>
    <w:rsid w:val="00202ADC"/>
    <w:rsid w:val="00205B2E"/>
    <w:rsid w:val="002077E1"/>
    <w:rsid w:val="00211790"/>
    <w:rsid w:val="00211F16"/>
    <w:rsid w:val="00212338"/>
    <w:rsid w:val="0021243F"/>
    <w:rsid w:val="00214DE9"/>
    <w:rsid w:val="002159F4"/>
    <w:rsid w:val="002164DF"/>
    <w:rsid w:val="00216B53"/>
    <w:rsid w:val="00216C89"/>
    <w:rsid w:val="00217097"/>
    <w:rsid w:val="00217EB3"/>
    <w:rsid w:val="00220062"/>
    <w:rsid w:val="00220688"/>
    <w:rsid w:val="00221166"/>
    <w:rsid w:val="002234C8"/>
    <w:rsid w:val="002238AB"/>
    <w:rsid w:val="00224D7D"/>
    <w:rsid w:val="002256E6"/>
    <w:rsid w:val="00225B04"/>
    <w:rsid w:val="00226751"/>
    <w:rsid w:val="00226786"/>
    <w:rsid w:val="00227296"/>
    <w:rsid w:val="00227E12"/>
    <w:rsid w:val="002313D1"/>
    <w:rsid w:val="002321CC"/>
    <w:rsid w:val="00232228"/>
    <w:rsid w:val="00232369"/>
    <w:rsid w:val="002347E4"/>
    <w:rsid w:val="00234AE8"/>
    <w:rsid w:val="002351D4"/>
    <w:rsid w:val="00235828"/>
    <w:rsid w:val="002365D7"/>
    <w:rsid w:val="00236832"/>
    <w:rsid w:val="00236B65"/>
    <w:rsid w:val="002371F0"/>
    <w:rsid w:val="002378CB"/>
    <w:rsid w:val="002404BA"/>
    <w:rsid w:val="00241A40"/>
    <w:rsid w:val="00242370"/>
    <w:rsid w:val="00243554"/>
    <w:rsid w:val="00244252"/>
    <w:rsid w:val="00244ACE"/>
    <w:rsid w:val="00244D6F"/>
    <w:rsid w:val="00244E20"/>
    <w:rsid w:val="002455B7"/>
    <w:rsid w:val="002460BE"/>
    <w:rsid w:val="00246D01"/>
    <w:rsid w:val="00246F18"/>
    <w:rsid w:val="00247A9D"/>
    <w:rsid w:val="002508B3"/>
    <w:rsid w:val="0025350A"/>
    <w:rsid w:val="002536DA"/>
    <w:rsid w:val="002543A7"/>
    <w:rsid w:val="00256053"/>
    <w:rsid w:val="0025721C"/>
    <w:rsid w:val="00257825"/>
    <w:rsid w:val="00257FC1"/>
    <w:rsid w:val="00260888"/>
    <w:rsid w:val="00261098"/>
    <w:rsid w:val="00262454"/>
    <w:rsid w:val="00262819"/>
    <w:rsid w:val="00263CCC"/>
    <w:rsid w:val="002648A7"/>
    <w:rsid w:val="00266141"/>
    <w:rsid w:val="0026623A"/>
    <w:rsid w:val="00267585"/>
    <w:rsid w:val="002677AC"/>
    <w:rsid w:val="00270456"/>
    <w:rsid w:val="0027143F"/>
    <w:rsid w:val="0027157E"/>
    <w:rsid w:val="002715A2"/>
    <w:rsid w:val="00272243"/>
    <w:rsid w:val="00273B6A"/>
    <w:rsid w:val="00273FB6"/>
    <w:rsid w:val="00275D2A"/>
    <w:rsid w:val="0028010A"/>
    <w:rsid w:val="0028043D"/>
    <w:rsid w:val="00280FF6"/>
    <w:rsid w:val="0028494E"/>
    <w:rsid w:val="00285905"/>
    <w:rsid w:val="00287CC9"/>
    <w:rsid w:val="00291777"/>
    <w:rsid w:val="0029208C"/>
    <w:rsid w:val="00293663"/>
    <w:rsid w:val="00294575"/>
    <w:rsid w:val="002975D1"/>
    <w:rsid w:val="002A035F"/>
    <w:rsid w:val="002A0FF3"/>
    <w:rsid w:val="002A28C5"/>
    <w:rsid w:val="002A2AC6"/>
    <w:rsid w:val="002A2C2E"/>
    <w:rsid w:val="002A4245"/>
    <w:rsid w:val="002A4835"/>
    <w:rsid w:val="002A55FE"/>
    <w:rsid w:val="002A7312"/>
    <w:rsid w:val="002A794E"/>
    <w:rsid w:val="002A79EA"/>
    <w:rsid w:val="002B2FBA"/>
    <w:rsid w:val="002B3415"/>
    <w:rsid w:val="002B53DA"/>
    <w:rsid w:val="002B64BA"/>
    <w:rsid w:val="002C0065"/>
    <w:rsid w:val="002C0121"/>
    <w:rsid w:val="002C0C73"/>
    <w:rsid w:val="002C0DFC"/>
    <w:rsid w:val="002C0F03"/>
    <w:rsid w:val="002C1AD4"/>
    <w:rsid w:val="002C34FF"/>
    <w:rsid w:val="002C4F10"/>
    <w:rsid w:val="002C516B"/>
    <w:rsid w:val="002D06B6"/>
    <w:rsid w:val="002D0DB6"/>
    <w:rsid w:val="002D1733"/>
    <w:rsid w:val="002D24C5"/>
    <w:rsid w:val="002D2884"/>
    <w:rsid w:val="002D28B8"/>
    <w:rsid w:val="002D2FCE"/>
    <w:rsid w:val="002D504F"/>
    <w:rsid w:val="002D5925"/>
    <w:rsid w:val="002D7CEE"/>
    <w:rsid w:val="002E1207"/>
    <w:rsid w:val="002E2EE2"/>
    <w:rsid w:val="002E2FC4"/>
    <w:rsid w:val="002E45E9"/>
    <w:rsid w:val="002E515E"/>
    <w:rsid w:val="002E5949"/>
    <w:rsid w:val="002E5B40"/>
    <w:rsid w:val="002E6A41"/>
    <w:rsid w:val="002E7775"/>
    <w:rsid w:val="002E7CE9"/>
    <w:rsid w:val="002F1BDC"/>
    <w:rsid w:val="002F4ED5"/>
    <w:rsid w:val="002F5485"/>
    <w:rsid w:val="002F63B8"/>
    <w:rsid w:val="003009B9"/>
    <w:rsid w:val="003018C8"/>
    <w:rsid w:val="00301B79"/>
    <w:rsid w:val="00301C5A"/>
    <w:rsid w:val="00301FEA"/>
    <w:rsid w:val="00304267"/>
    <w:rsid w:val="0031143A"/>
    <w:rsid w:val="00312432"/>
    <w:rsid w:val="0031420D"/>
    <w:rsid w:val="003142BC"/>
    <w:rsid w:val="00315D06"/>
    <w:rsid w:val="00315F5A"/>
    <w:rsid w:val="003179EB"/>
    <w:rsid w:val="00317E5C"/>
    <w:rsid w:val="0032152D"/>
    <w:rsid w:val="003217E4"/>
    <w:rsid w:val="00321C8A"/>
    <w:rsid w:val="00322627"/>
    <w:rsid w:val="00322A00"/>
    <w:rsid w:val="00323385"/>
    <w:rsid w:val="003234D4"/>
    <w:rsid w:val="003279D1"/>
    <w:rsid w:val="00330F6D"/>
    <w:rsid w:val="00331787"/>
    <w:rsid w:val="0033467F"/>
    <w:rsid w:val="00334E9E"/>
    <w:rsid w:val="003359E5"/>
    <w:rsid w:val="00336332"/>
    <w:rsid w:val="003363B5"/>
    <w:rsid w:val="00341A4A"/>
    <w:rsid w:val="003423E6"/>
    <w:rsid w:val="003425DF"/>
    <w:rsid w:val="0034263E"/>
    <w:rsid w:val="00342B03"/>
    <w:rsid w:val="0034399C"/>
    <w:rsid w:val="003451A6"/>
    <w:rsid w:val="0034553E"/>
    <w:rsid w:val="00345CD5"/>
    <w:rsid w:val="00346F9E"/>
    <w:rsid w:val="00347A33"/>
    <w:rsid w:val="00347F18"/>
    <w:rsid w:val="00351E1B"/>
    <w:rsid w:val="0035303D"/>
    <w:rsid w:val="003531F4"/>
    <w:rsid w:val="003534D5"/>
    <w:rsid w:val="00355510"/>
    <w:rsid w:val="0035570B"/>
    <w:rsid w:val="003562F8"/>
    <w:rsid w:val="003563E7"/>
    <w:rsid w:val="003604F7"/>
    <w:rsid w:val="00360C20"/>
    <w:rsid w:val="00362154"/>
    <w:rsid w:val="003622C8"/>
    <w:rsid w:val="00363E14"/>
    <w:rsid w:val="003665B1"/>
    <w:rsid w:val="00367574"/>
    <w:rsid w:val="00370705"/>
    <w:rsid w:val="00371815"/>
    <w:rsid w:val="00371D82"/>
    <w:rsid w:val="00371EBB"/>
    <w:rsid w:val="003722D0"/>
    <w:rsid w:val="0037360F"/>
    <w:rsid w:val="0037405D"/>
    <w:rsid w:val="00374BE7"/>
    <w:rsid w:val="00375DB6"/>
    <w:rsid w:val="00375E13"/>
    <w:rsid w:val="00376123"/>
    <w:rsid w:val="003761B6"/>
    <w:rsid w:val="003767BF"/>
    <w:rsid w:val="00377DD6"/>
    <w:rsid w:val="00380B99"/>
    <w:rsid w:val="00380CFA"/>
    <w:rsid w:val="0038175B"/>
    <w:rsid w:val="00382CBC"/>
    <w:rsid w:val="00382D0A"/>
    <w:rsid w:val="00383AC7"/>
    <w:rsid w:val="003843C6"/>
    <w:rsid w:val="00385A53"/>
    <w:rsid w:val="003863E7"/>
    <w:rsid w:val="00386E34"/>
    <w:rsid w:val="003878FD"/>
    <w:rsid w:val="0039046A"/>
    <w:rsid w:val="00392829"/>
    <w:rsid w:val="00392F53"/>
    <w:rsid w:val="003941C8"/>
    <w:rsid w:val="003949F6"/>
    <w:rsid w:val="00394AE9"/>
    <w:rsid w:val="00394DCF"/>
    <w:rsid w:val="00395254"/>
    <w:rsid w:val="00397F37"/>
    <w:rsid w:val="003A0F5D"/>
    <w:rsid w:val="003A0F83"/>
    <w:rsid w:val="003A25CA"/>
    <w:rsid w:val="003A28AE"/>
    <w:rsid w:val="003A2D6C"/>
    <w:rsid w:val="003A312E"/>
    <w:rsid w:val="003A3616"/>
    <w:rsid w:val="003A3873"/>
    <w:rsid w:val="003A3C3F"/>
    <w:rsid w:val="003A4F1D"/>
    <w:rsid w:val="003B0AB2"/>
    <w:rsid w:val="003B111F"/>
    <w:rsid w:val="003B1EFD"/>
    <w:rsid w:val="003B2B45"/>
    <w:rsid w:val="003B39DD"/>
    <w:rsid w:val="003B474A"/>
    <w:rsid w:val="003B4C17"/>
    <w:rsid w:val="003B58D1"/>
    <w:rsid w:val="003B5A72"/>
    <w:rsid w:val="003B5AC5"/>
    <w:rsid w:val="003B742F"/>
    <w:rsid w:val="003C0A55"/>
    <w:rsid w:val="003C2448"/>
    <w:rsid w:val="003C2C8C"/>
    <w:rsid w:val="003C6868"/>
    <w:rsid w:val="003C69EE"/>
    <w:rsid w:val="003C77D1"/>
    <w:rsid w:val="003D2CD3"/>
    <w:rsid w:val="003D6032"/>
    <w:rsid w:val="003D617C"/>
    <w:rsid w:val="003D6E92"/>
    <w:rsid w:val="003D7320"/>
    <w:rsid w:val="003E1ACA"/>
    <w:rsid w:val="003E1CED"/>
    <w:rsid w:val="003E1F29"/>
    <w:rsid w:val="003E3320"/>
    <w:rsid w:val="003E35B1"/>
    <w:rsid w:val="003E41EC"/>
    <w:rsid w:val="003E49BE"/>
    <w:rsid w:val="003E5006"/>
    <w:rsid w:val="003E525F"/>
    <w:rsid w:val="003E52BB"/>
    <w:rsid w:val="003E7131"/>
    <w:rsid w:val="003E7D28"/>
    <w:rsid w:val="003F0B9A"/>
    <w:rsid w:val="003F1679"/>
    <w:rsid w:val="003F3DCE"/>
    <w:rsid w:val="003F6DD7"/>
    <w:rsid w:val="00400709"/>
    <w:rsid w:val="00404680"/>
    <w:rsid w:val="0040780A"/>
    <w:rsid w:val="00411D48"/>
    <w:rsid w:val="004121AE"/>
    <w:rsid w:val="004145BD"/>
    <w:rsid w:val="0041606B"/>
    <w:rsid w:val="004209B8"/>
    <w:rsid w:val="004215D2"/>
    <w:rsid w:val="00423EC4"/>
    <w:rsid w:val="0042649D"/>
    <w:rsid w:val="0042667E"/>
    <w:rsid w:val="00426844"/>
    <w:rsid w:val="004274D9"/>
    <w:rsid w:val="004275D4"/>
    <w:rsid w:val="00427BCC"/>
    <w:rsid w:val="00430658"/>
    <w:rsid w:val="0043101B"/>
    <w:rsid w:val="0043211B"/>
    <w:rsid w:val="00433C01"/>
    <w:rsid w:val="00433C66"/>
    <w:rsid w:val="00435619"/>
    <w:rsid w:val="004359A7"/>
    <w:rsid w:val="00436384"/>
    <w:rsid w:val="004364C2"/>
    <w:rsid w:val="004373D0"/>
    <w:rsid w:val="00437A97"/>
    <w:rsid w:val="004417A1"/>
    <w:rsid w:val="00442916"/>
    <w:rsid w:val="0044388B"/>
    <w:rsid w:val="00443BDA"/>
    <w:rsid w:val="00444419"/>
    <w:rsid w:val="004445AC"/>
    <w:rsid w:val="00444F6E"/>
    <w:rsid w:val="0044502D"/>
    <w:rsid w:val="00445D34"/>
    <w:rsid w:val="00446475"/>
    <w:rsid w:val="004503E5"/>
    <w:rsid w:val="0045293F"/>
    <w:rsid w:val="00452D08"/>
    <w:rsid w:val="00453078"/>
    <w:rsid w:val="00453C34"/>
    <w:rsid w:val="00453D41"/>
    <w:rsid w:val="0045440F"/>
    <w:rsid w:val="004559A2"/>
    <w:rsid w:val="00455C98"/>
    <w:rsid w:val="00456B21"/>
    <w:rsid w:val="004602CC"/>
    <w:rsid w:val="004614FE"/>
    <w:rsid w:val="00462464"/>
    <w:rsid w:val="0046373B"/>
    <w:rsid w:val="004643AE"/>
    <w:rsid w:val="0046504A"/>
    <w:rsid w:val="00465DF4"/>
    <w:rsid w:val="00466090"/>
    <w:rsid w:val="00467661"/>
    <w:rsid w:val="0047179C"/>
    <w:rsid w:val="00471C58"/>
    <w:rsid w:val="00471D8C"/>
    <w:rsid w:val="004720E8"/>
    <w:rsid w:val="004732F7"/>
    <w:rsid w:val="004739A3"/>
    <w:rsid w:val="00474697"/>
    <w:rsid w:val="004753A5"/>
    <w:rsid w:val="00475F4F"/>
    <w:rsid w:val="00477427"/>
    <w:rsid w:val="00481FAF"/>
    <w:rsid w:val="00484D03"/>
    <w:rsid w:val="004865BA"/>
    <w:rsid w:val="0049008E"/>
    <w:rsid w:val="00490267"/>
    <w:rsid w:val="00490A8D"/>
    <w:rsid w:val="00490D1D"/>
    <w:rsid w:val="00492349"/>
    <w:rsid w:val="00495762"/>
    <w:rsid w:val="00496C6E"/>
    <w:rsid w:val="004A023B"/>
    <w:rsid w:val="004A2544"/>
    <w:rsid w:val="004A2EDD"/>
    <w:rsid w:val="004A3280"/>
    <w:rsid w:val="004A3CFF"/>
    <w:rsid w:val="004A401D"/>
    <w:rsid w:val="004A44EB"/>
    <w:rsid w:val="004A4E60"/>
    <w:rsid w:val="004A5584"/>
    <w:rsid w:val="004A5F83"/>
    <w:rsid w:val="004A647D"/>
    <w:rsid w:val="004A6DE7"/>
    <w:rsid w:val="004A7210"/>
    <w:rsid w:val="004A7B93"/>
    <w:rsid w:val="004B05C5"/>
    <w:rsid w:val="004B4C20"/>
    <w:rsid w:val="004B4F87"/>
    <w:rsid w:val="004B60E6"/>
    <w:rsid w:val="004C0EA9"/>
    <w:rsid w:val="004C3413"/>
    <w:rsid w:val="004C3C0E"/>
    <w:rsid w:val="004C3C6C"/>
    <w:rsid w:val="004C438C"/>
    <w:rsid w:val="004C47F7"/>
    <w:rsid w:val="004C4A92"/>
    <w:rsid w:val="004C659F"/>
    <w:rsid w:val="004C66E1"/>
    <w:rsid w:val="004C7265"/>
    <w:rsid w:val="004D235E"/>
    <w:rsid w:val="004D294C"/>
    <w:rsid w:val="004D3D61"/>
    <w:rsid w:val="004D57C9"/>
    <w:rsid w:val="004D5F2C"/>
    <w:rsid w:val="004D749B"/>
    <w:rsid w:val="004D7D2E"/>
    <w:rsid w:val="004E03E2"/>
    <w:rsid w:val="004E055E"/>
    <w:rsid w:val="004E1405"/>
    <w:rsid w:val="004E2049"/>
    <w:rsid w:val="004E2A15"/>
    <w:rsid w:val="004E30CF"/>
    <w:rsid w:val="004E3BFA"/>
    <w:rsid w:val="004E4765"/>
    <w:rsid w:val="004E512D"/>
    <w:rsid w:val="004E60F3"/>
    <w:rsid w:val="004E7849"/>
    <w:rsid w:val="004F2165"/>
    <w:rsid w:val="004F36E4"/>
    <w:rsid w:val="004F39F3"/>
    <w:rsid w:val="004F527A"/>
    <w:rsid w:val="004F7A66"/>
    <w:rsid w:val="00500E8A"/>
    <w:rsid w:val="00500F66"/>
    <w:rsid w:val="00501A3C"/>
    <w:rsid w:val="005022FF"/>
    <w:rsid w:val="005034E6"/>
    <w:rsid w:val="00503CBE"/>
    <w:rsid w:val="00506824"/>
    <w:rsid w:val="00507EF2"/>
    <w:rsid w:val="00510C8C"/>
    <w:rsid w:val="005113E1"/>
    <w:rsid w:val="00512951"/>
    <w:rsid w:val="00514855"/>
    <w:rsid w:val="0051538B"/>
    <w:rsid w:val="0051575C"/>
    <w:rsid w:val="0051597A"/>
    <w:rsid w:val="00516968"/>
    <w:rsid w:val="0051738C"/>
    <w:rsid w:val="0051776D"/>
    <w:rsid w:val="005239E5"/>
    <w:rsid w:val="00523FD7"/>
    <w:rsid w:val="00524A7D"/>
    <w:rsid w:val="0052562A"/>
    <w:rsid w:val="00527051"/>
    <w:rsid w:val="00532DC6"/>
    <w:rsid w:val="00533299"/>
    <w:rsid w:val="0053488C"/>
    <w:rsid w:val="0053756B"/>
    <w:rsid w:val="00540868"/>
    <w:rsid w:val="00540DD4"/>
    <w:rsid w:val="0054211F"/>
    <w:rsid w:val="005421C2"/>
    <w:rsid w:val="00543204"/>
    <w:rsid w:val="0054386D"/>
    <w:rsid w:val="00543EC0"/>
    <w:rsid w:val="00544191"/>
    <w:rsid w:val="00545072"/>
    <w:rsid w:val="00545759"/>
    <w:rsid w:val="00545AEB"/>
    <w:rsid w:val="00545AF4"/>
    <w:rsid w:val="00546F97"/>
    <w:rsid w:val="00547E86"/>
    <w:rsid w:val="005510F8"/>
    <w:rsid w:val="00552B6F"/>
    <w:rsid w:val="0055354E"/>
    <w:rsid w:val="00555644"/>
    <w:rsid w:val="00557097"/>
    <w:rsid w:val="005602B5"/>
    <w:rsid w:val="0056079C"/>
    <w:rsid w:val="005620B8"/>
    <w:rsid w:val="005625F4"/>
    <w:rsid w:val="0056399C"/>
    <w:rsid w:val="0056502F"/>
    <w:rsid w:val="00565124"/>
    <w:rsid w:val="00566168"/>
    <w:rsid w:val="00566ADC"/>
    <w:rsid w:val="00566FC7"/>
    <w:rsid w:val="00567545"/>
    <w:rsid w:val="00571989"/>
    <w:rsid w:val="00571C4D"/>
    <w:rsid w:val="00572ED8"/>
    <w:rsid w:val="005739D5"/>
    <w:rsid w:val="005742A4"/>
    <w:rsid w:val="00574BE0"/>
    <w:rsid w:val="00574F33"/>
    <w:rsid w:val="005766E3"/>
    <w:rsid w:val="00577BA1"/>
    <w:rsid w:val="005835D7"/>
    <w:rsid w:val="00583688"/>
    <w:rsid w:val="005841DE"/>
    <w:rsid w:val="00584572"/>
    <w:rsid w:val="00584953"/>
    <w:rsid w:val="00584D1F"/>
    <w:rsid w:val="00584DEA"/>
    <w:rsid w:val="005861E4"/>
    <w:rsid w:val="00586A53"/>
    <w:rsid w:val="00586CDC"/>
    <w:rsid w:val="005876F1"/>
    <w:rsid w:val="00587EA2"/>
    <w:rsid w:val="005905C3"/>
    <w:rsid w:val="005915F7"/>
    <w:rsid w:val="00591CEF"/>
    <w:rsid w:val="00592AF0"/>
    <w:rsid w:val="005936D2"/>
    <w:rsid w:val="00593DB2"/>
    <w:rsid w:val="00594376"/>
    <w:rsid w:val="005A1264"/>
    <w:rsid w:val="005A326E"/>
    <w:rsid w:val="005A3608"/>
    <w:rsid w:val="005A3D03"/>
    <w:rsid w:val="005A3E78"/>
    <w:rsid w:val="005A6F6C"/>
    <w:rsid w:val="005A793F"/>
    <w:rsid w:val="005B0B28"/>
    <w:rsid w:val="005B13DC"/>
    <w:rsid w:val="005B1C5F"/>
    <w:rsid w:val="005B3461"/>
    <w:rsid w:val="005B36D5"/>
    <w:rsid w:val="005B4E5D"/>
    <w:rsid w:val="005B7575"/>
    <w:rsid w:val="005C0579"/>
    <w:rsid w:val="005C0D8D"/>
    <w:rsid w:val="005C1759"/>
    <w:rsid w:val="005C3020"/>
    <w:rsid w:val="005C43B1"/>
    <w:rsid w:val="005C49C2"/>
    <w:rsid w:val="005C5613"/>
    <w:rsid w:val="005C60D5"/>
    <w:rsid w:val="005C63BF"/>
    <w:rsid w:val="005C6E03"/>
    <w:rsid w:val="005D15EF"/>
    <w:rsid w:val="005D255B"/>
    <w:rsid w:val="005D28DB"/>
    <w:rsid w:val="005D2A9C"/>
    <w:rsid w:val="005D34FF"/>
    <w:rsid w:val="005D4589"/>
    <w:rsid w:val="005D4E83"/>
    <w:rsid w:val="005D4F9F"/>
    <w:rsid w:val="005D7C12"/>
    <w:rsid w:val="005E30A9"/>
    <w:rsid w:val="005E3524"/>
    <w:rsid w:val="005E5124"/>
    <w:rsid w:val="005F0690"/>
    <w:rsid w:val="005F0A3A"/>
    <w:rsid w:val="005F151B"/>
    <w:rsid w:val="005F2640"/>
    <w:rsid w:val="005F2E8D"/>
    <w:rsid w:val="005F3125"/>
    <w:rsid w:val="005F38CC"/>
    <w:rsid w:val="005F4B4F"/>
    <w:rsid w:val="005F4C53"/>
    <w:rsid w:val="005F4D8E"/>
    <w:rsid w:val="005F63C2"/>
    <w:rsid w:val="005F71F6"/>
    <w:rsid w:val="005F7529"/>
    <w:rsid w:val="005F7A24"/>
    <w:rsid w:val="005F7E43"/>
    <w:rsid w:val="00601204"/>
    <w:rsid w:val="006016C5"/>
    <w:rsid w:val="006021D5"/>
    <w:rsid w:val="00605C76"/>
    <w:rsid w:val="00606D5B"/>
    <w:rsid w:val="006107D5"/>
    <w:rsid w:val="00610D1D"/>
    <w:rsid w:val="00610D71"/>
    <w:rsid w:val="00611191"/>
    <w:rsid w:val="006114C2"/>
    <w:rsid w:val="006118E7"/>
    <w:rsid w:val="00612943"/>
    <w:rsid w:val="0061338C"/>
    <w:rsid w:val="00613818"/>
    <w:rsid w:val="00613C1C"/>
    <w:rsid w:val="00614DF1"/>
    <w:rsid w:val="00614F4D"/>
    <w:rsid w:val="0061616F"/>
    <w:rsid w:val="0061778D"/>
    <w:rsid w:val="006205AB"/>
    <w:rsid w:val="00620B41"/>
    <w:rsid w:val="00620C55"/>
    <w:rsid w:val="0062153B"/>
    <w:rsid w:val="00622418"/>
    <w:rsid w:val="00624D27"/>
    <w:rsid w:val="006259FB"/>
    <w:rsid w:val="0062626D"/>
    <w:rsid w:val="00627171"/>
    <w:rsid w:val="006276C1"/>
    <w:rsid w:val="00627E66"/>
    <w:rsid w:val="00630F40"/>
    <w:rsid w:val="00632D88"/>
    <w:rsid w:val="006338DB"/>
    <w:rsid w:val="00633984"/>
    <w:rsid w:val="00633987"/>
    <w:rsid w:val="00634B77"/>
    <w:rsid w:val="00634DC5"/>
    <w:rsid w:val="00635AAD"/>
    <w:rsid w:val="00635DA6"/>
    <w:rsid w:val="00637D2B"/>
    <w:rsid w:val="006402CB"/>
    <w:rsid w:val="00640D6E"/>
    <w:rsid w:val="00641BB1"/>
    <w:rsid w:val="006444A7"/>
    <w:rsid w:val="00644764"/>
    <w:rsid w:val="00646D06"/>
    <w:rsid w:val="00647992"/>
    <w:rsid w:val="006500D7"/>
    <w:rsid w:val="0065096D"/>
    <w:rsid w:val="006518D8"/>
    <w:rsid w:val="00652AA9"/>
    <w:rsid w:val="006530C3"/>
    <w:rsid w:val="006541CE"/>
    <w:rsid w:val="0065560C"/>
    <w:rsid w:val="00655DAB"/>
    <w:rsid w:val="006569C2"/>
    <w:rsid w:val="00656B86"/>
    <w:rsid w:val="0066002C"/>
    <w:rsid w:val="0066182E"/>
    <w:rsid w:val="006626F1"/>
    <w:rsid w:val="006656B4"/>
    <w:rsid w:val="0066706E"/>
    <w:rsid w:val="0067112C"/>
    <w:rsid w:val="00671A3F"/>
    <w:rsid w:val="006727D2"/>
    <w:rsid w:val="00672C5C"/>
    <w:rsid w:val="00673029"/>
    <w:rsid w:val="00673976"/>
    <w:rsid w:val="00674854"/>
    <w:rsid w:val="00674C79"/>
    <w:rsid w:val="006752B2"/>
    <w:rsid w:val="00675766"/>
    <w:rsid w:val="00676EE0"/>
    <w:rsid w:val="006778C9"/>
    <w:rsid w:val="00677BFE"/>
    <w:rsid w:val="00680444"/>
    <w:rsid w:val="00681C7A"/>
    <w:rsid w:val="00683B5D"/>
    <w:rsid w:val="00683F5F"/>
    <w:rsid w:val="0068508A"/>
    <w:rsid w:val="0068625D"/>
    <w:rsid w:val="006914FE"/>
    <w:rsid w:val="00691AAB"/>
    <w:rsid w:val="00691ED6"/>
    <w:rsid w:val="006922C8"/>
    <w:rsid w:val="00692D55"/>
    <w:rsid w:val="00693730"/>
    <w:rsid w:val="00694D2C"/>
    <w:rsid w:val="006A6661"/>
    <w:rsid w:val="006B0E80"/>
    <w:rsid w:val="006B1DD5"/>
    <w:rsid w:val="006B21D2"/>
    <w:rsid w:val="006B284E"/>
    <w:rsid w:val="006B4B8F"/>
    <w:rsid w:val="006B5351"/>
    <w:rsid w:val="006B58BE"/>
    <w:rsid w:val="006B6B75"/>
    <w:rsid w:val="006B7A2A"/>
    <w:rsid w:val="006C1369"/>
    <w:rsid w:val="006C1C22"/>
    <w:rsid w:val="006C2719"/>
    <w:rsid w:val="006C311C"/>
    <w:rsid w:val="006C5958"/>
    <w:rsid w:val="006C5ABD"/>
    <w:rsid w:val="006C62CA"/>
    <w:rsid w:val="006C6384"/>
    <w:rsid w:val="006C6B21"/>
    <w:rsid w:val="006D226B"/>
    <w:rsid w:val="006D2916"/>
    <w:rsid w:val="006D44C6"/>
    <w:rsid w:val="006D68DD"/>
    <w:rsid w:val="006D6EF2"/>
    <w:rsid w:val="006D703C"/>
    <w:rsid w:val="006D70ED"/>
    <w:rsid w:val="006E0530"/>
    <w:rsid w:val="006E0BEA"/>
    <w:rsid w:val="006E110D"/>
    <w:rsid w:val="006E18F7"/>
    <w:rsid w:val="006E2145"/>
    <w:rsid w:val="006E2A69"/>
    <w:rsid w:val="006E332C"/>
    <w:rsid w:val="006E3DB9"/>
    <w:rsid w:val="006E4E36"/>
    <w:rsid w:val="006E5E71"/>
    <w:rsid w:val="006E6A91"/>
    <w:rsid w:val="006E7C9C"/>
    <w:rsid w:val="006E7EE7"/>
    <w:rsid w:val="006E7F6F"/>
    <w:rsid w:val="006F18C5"/>
    <w:rsid w:val="006F25AD"/>
    <w:rsid w:val="006F42B1"/>
    <w:rsid w:val="006F4313"/>
    <w:rsid w:val="006F5DB7"/>
    <w:rsid w:val="006F63FC"/>
    <w:rsid w:val="006F6759"/>
    <w:rsid w:val="006F6994"/>
    <w:rsid w:val="006F781D"/>
    <w:rsid w:val="006F7A5A"/>
    <w:rsid w:val="0070099F"/>
    <w:rsid w:val="007017F1"/>
    <w:rsid w:val="0070435E"/>
    <w:rsid w:val="0070582F"/>
    <w:rsid w:val="007068B1"/>
    <w:rsid w:val="0070778D"/>
    <w:rsid w:val="0071049F"/>
    <w:rsid w:val="00711D47"/>
    <w:rsid w:val="00711E7A"/>
    <w:rsid w:val="00712986"/>
    <w:rsid w:val="007137B1"/>
    <w:rsid w:val="00713CA1"/>
    <w:rsid w:val="007145BD"/>
    <w:rsid w:val="007168A3"/>
    <w:rsid w:val="0071746C"/>
    <w:rsid w:val="00720165"/>
    <w:rsid w:val="00720DBA"/>
    <w:rsid w:val="00721859"/>
    <w:rsid w:val="00721DB9"/>
    <w:rsid w:val="00722AEB"/>
    <w:rsid w:val="00723D89"/>
    <w:rsid w:val="00723E80"/>
    <w:rsid w:val="007247C2"/>
    <w:rsid w:val="007250AA"/>
    <w:rsid w:val="00725F96"/>
    <w:rsid w:val="00726096"/>
    <w:rsid w:val="00727A72"/>
    <w:rsid w:val="00731A1D"/>
    <w:rsid w:val="00731A81"/>
    <w:rsid w:val="00731CC7"/>
    <w:rsid w:val="00732263"/>
    <w:rsid w:val="00732D81"/>
    <w:rsid w:val="00735158"/>
    <w:rsid w:val="00735ACB"/>
    <w:rsid w:val="00735C6F"/>
    <w:rsid w:val="00735E31"/>
    <w:rsid w:val="0073757C"/>
    <w:rsid w:val="00737DE6"/>
    <w:rsid w:val="0074070D"/>
    <w:rsid w:val="007413A1"/>
    <w:rsid w:val="00741B1F"/>
    <w:rsid w:val="00741B8E"/>
    <w:rsid w:val="00742099"/>
    <w:rsid w:val="00745B36"/>
    <w:rsid w:val="007479A9"/>
    <w:rsid w:val="00750249"/>
    <w:rsid w:val="00750898"/>
    <w:rsid w:val="00750AD3"/>
    <w:rsid w:val="00750F8A"/>
    <w:rsid w:val="00751C83"/>
    <w:rsid w:val="00751D0A"/>
    <w:rsid w:val="007527B7"/>
    <w:rsid w:val="00754202"/>
    <w:rsid w:val="00754A85"/>
    <w:rsid w:val="00755113"/>
    <w:rsid w:val="00756070"/>
    <w:rsid w:val="00756A62"/>
    <w:rsid w:val="0076266B"/>
    <w:rsid w:val="00762D95"/>
    <w:rsid w:val="00762DE1"/>
    <w:rsid w:val="0076328B"/>
    <w:rsid w:val="00763297"/>
    <w:rsid w:val="00764D4E"/>
    <w:rsid w:val="007651FC"/>
    <w:rsid w:val="00766CA4"/>
    <w:rsid w:val="007712A8"/>
    <w:rsid w:val="0077221C"/>
    <w:rsid w:val="00772EF0"/>
    <w:rsid w:val="00772F81"/>
    <w:rsid w:val="007755BC"/>
    <w:rsid w:val="00775678"/>
    <w:rsid w:val="00775FCC"/>
    <w:rsid w:val="007765F1"/>
    <w:rsid w:val="0077661B"/>
    <w:rsid w:val="00776D90"/>
    <w:rsid w:val="00781631"/>
    <w:rsid w:val="007824D6"/>
    <w:rsid w:val="00783B3D"/>
    <w:rsid w:val="00786546"/>
    <w:rsid w:val="00786EDF"/>
    <w:rsid w:val="00787203"/>
    <w:rsid w:val="00787256"/>
    <w:rsid w:val="0079023C"/>
    <w:rsid w:val="00790B20"/>
    <w:rsid w:val="00793CE1"/>
    <w:rsid w:val="00794C6D"/>
    <w:rsid w:val="00797A6B"/>
    <w:rsid w:val="007A141C"/>
    <w:rsid w:val="007A1513"/>
    <w:rsid w:val="007A5996"/>
    <w:rsid w:val="007A677E"/>
    <w:rsid w:val="007A7730"/>
    <w:rsid w:val="007B11D0"/>
    <w:rsid w:val="007B21DB"/>
    <w:rsid w:val="007B2FCF"/>
    <w:rsid w:val="007B37DD"/>
    <w:rsid w:val="007B66CD"/>
    <w:rsid w:val="007B7317"/>
    <w:rsid w:val="007B77D9"/>
    <w:rsid w:val="007B7DCB"/>
    <w:rsid w:val="007C178E"/>
    <w:rsid w:val="007C26D8"/>
    <w:rsid w:val="007C51AB"/>
    <w:rsid w:val="007C53C7"/>
    <w:rsid w:val="007C5D16"/>
    <w:rsid w:val="007C6460"/>
    <w:rsid w:val="007C6CB4"/>
    <w:rsid w:val="007C72FE"/>
    <w:rsid w:val="007D0673"/>
    <w:rsid w:val="007D09BC"/>
    <w:rsid w:val="007D0D9C"/>
    <w:rsid w:val="007D2806"/>
    <w:rsid w:val="007D2E93"/>
    <w:rsid w:val="007D5E96"/>
    <w:rsid w:val="007D6CAC"/>
    <w:rsid w:val="007D7CED"/>
    <w:rsid w:val="007D7FFD"/>
    <w:rsid w:val="007E180A"/>
    <w:rsid w:val="007E245C"/>
    <w:rsid w:val="007E300A"/>
    <w:rsid w:val="007E380B"/>
    <w:rsid w:val="007E47CC"/>
    <w:rsid w:val="007E4B9B"/>
    <w:rsid w:val="007E4E78"/>
    <w:rsid w:val="007E54BF"/>
    <w:rsid w:val="007E6520"/>
    <w:rsid w:val="007F076F"/>
    <w:rsid w:val="007F0B28"/>
    <w:rsid w:val="007F421A"/>
    <w:rsid w:val="007F4406"/>
    <w:rsid w:val="007F50E8"/>
    <w:rsid w:val="007F5249"/>
    <w:rsid w:val="007F56A0"/>
    <w:rsid w:val="007F5FBD"/>
    <w:rsid w:val="00802885"/>
    <w:rsid w:val="00805826"/>
    <w:rsid w:val="00805899"/>
    <w:rsid w:val="00807624"/>
    <w:rsid w:val="00811362"/>
    <w:rsid w:val="00811D27"/>
    <w:rsid w:val="00812344"/>
    <w:rsid w:val="00812B73"/>
    <w:rsid w:val="00812D0C"/>
    <w:rsid w:val="008147C7"/>
    <w:rsid w:val="00815544"/>
    <w:rsid w:val="0081666C"/>
    <w:rsid w:val="00817CC5"/>
    <w:rsid w:val="008210B0"/>
    <w:rsid w:val="00821C10"/>
    <w:rsid w:val="00821E28"/>
    <w:rsid w:val="00823CF0"/>
    <w:rsid w:val="00825C44"/>
    <w:rsid w:val="00825F11"/>
    <w:rsid w:val="008270C9"/>
    <w:rsid w:val="00830584"/>
    <w:rsid w:val="008309D7"/>
    <w:rsid w:val="00831130"/>
    <w:rsid w:val="0083173B"/>
    <w:rsid w:val="00832007"/>
    <w:rsid w:val="0083485D"/>
    <w:rsid w:val="00834F3B"/>
    <w:rsid w:val="00837B95"/>
    <w:rsid w:val="00837F41"/>
    <w:rsid w:val="00840F7A"/>
    <w:rsid w:val="0084122E"/>
    <w:rsid w:val="008415D6"/>
    <w:rsid w:val="00842FE1"/>
    <w:rsid w:val="00844002"/>
    <w:rsid w:val="008460B4"/>
    <w:rsid w:val="008465D1"/>
    <w:rsid w:val="00846D0F"/>
    <w:rsid w:val="008471D2"/>
    <w:rsid w:val="00847BA5"/>
    <w:rsid w:val="00847D2A"/>
    <w:rsid w:val="008541EB"/>
    <w:rsid w:val="00855E0C"/>
    <w:rsid w:val="00856145"/>
    <w:rsid w:val="008579DC"/>
    <w:rsid w:val="00857F51"/>
    <w:rsid w:val="008618A7"/>
    <w:rsid w:val="00861A48"/>
    <w:rsid w:val="00862A79"/>
    <w:rsid w:val="008646BB"/>
    <w:rsid w:val="00864790"/>
    <w:rsid w:val="00864CEC"/>
    <w:rsid w:val="00865472"/>
    <w:rsid w:val="00865499"/>
    <w:rsid w:val="00866874"/>
    <w:rsid w:val="00870563"/>
    <w:rsid w:val="00870BC0"/>
    <w:rsid w:val="00870F2E"/>
    <w:rsid w:val="00871C23"/>
    <w:rsid w:val="00871DDC"/>
    <w:rsid w:val="00872BD8"/>
    <w:rsid w:val="00872D3C"/>
    <w:rsid w:val="00873133"/>
    <w:rsid w:val="00875B7E"/>
    <w:rsid w:val="008762A2"/>
    <w:rsid w:val="008777D4"/>
    <w:rsid w:val="00881587"/>
    <w:rsid w:val="0088171E"/>
    <w:rsid w:val="00882557"/>
    <w:rsid w:val="008828B2"/>
    <w:rsid w:val="00883032"/>
    <w:rsid w:val="00883763"/>
    <w:rsid w:val="0088428B"/>
    <w:rsid w:val="00887C79"/>
    <w:rsid w:val="00890F75"/>
    <w:rsid w:val="00892180"/>
    <w:rsid w:val="0089218E"/>
    <w:rsid w:val="0089344B"/>
    <w:rsid w:val="00894BA0"/>
    <w:rsid w:val="00896670"/>
    <w:rsid w:val="008A0D76"/>
    <w:rsid w:val="008A140D"/>
    <w:rsid w:val="008A1DE4"/>
    <w:rsid w:val="008A28F0"/>
    <w:rsid w:val="008A46D8"/>
    <w:rsid w:val="008A5007"/>
    <w:rsid w:val="008A55C4"/>
    <w:rsid w:val="008B07E4"/>
    <w:rsid w:val="008B16A5"/>
    <w:rsid w:val="008B3D32"/>
    <w:rsid w:val="008B5853"/>
    <w:rsid w:val="008B61A5"/>
    <w:rsid w:val="008B7595"/>
    <w:rsid w:val="008B7B15"/>
    <w:rsid w:val="008C156E"/>
    <w:rsid w:val="008C2810"/>
    <w:rsid w:val="008C284D"/>
    <w:rsid w:val="008C29F2"/>
    <w:rsid w:val="008C3A2E"/>
    <w:rsid w:val="008C41FB"/>
    <w:rsid w:val="008C6BBE"/>
    <w:rsid w:val="008D035E"/>
    <w:rsid w:val="008D1478"/>
    <w:rsid w:val="008D227D"/>
    <w:rsid w:val="008D2C77"/>
    <w:rsid w:val="008D3E7B"/>
    <w:rsid w:val="008D4153"/>
    <w:rsid w:val="008D4339"/>
    <w:rsid w:val="008D58BC"/>
    <w:rsid w:val="008D5EC4"/>
    <w:rsid w:val="008D69B5"/>
    <w:rsid w:val="008D6E57"/>
    <w:rsid w:val="008D7402"/>
    <w:rsid w:val="008D76FD"/>
    <w:rsid w:val="008E0121"/>
    <w:rsid w:val="008E14D1"/>
    <w:rsid w:val="008E227D"/>
    <w:rsid w:val="008E2706"/>
    <w:rsid w:val="008E3F22"/>
    <w:rsid w:val="008E5435"/>
    <w:rsid w:val="008E5450"/>
    <w:rsid w:val="008E5695"/>
    <w:rsid w:val="008E679C"/>
    <w:rsid w:val="008E6C2F"/>
    <w:rsid w:val="008E75F4"/>
    <w:rsid w:val="008F0C2C"/>
    <w:rsid w:val="008F0D88"/>
    <w:rsid w:val="008F1052"/>
    <w:rsid w:val="008F2695"/>
    <w:rsid w:val="008F45B1"/>
    <w:rsid w:val="008F596F"/>
    <w:rsid w:val="008F77A9"/>
    <w:rsid w:val="00900E63"/>
    <w:rsid w:val="00901EF1"/>
    <w:rsid w:val="009040DB"/>
    <w:rsid w:val="00905A91"/>
    <w:rsid w:val="00905CA9"/>
    <w:rsid w:val="00910113"/>
    <w:rsid w:val="00910A18"/>
    <w:rsid w:val="009111B6"/>
    <w:rsid w:val="009147C0"/>
    <w:rsid w:val="00915125"/>
    <w:rsid w:val="00916384"/>
    <w:rsid w:val="00917B13"/>
    <w:rsid w:val="00921C2C"/>
    <w:rsid w:val="009221F7"/>
    <w:rsid w:val="00922A16"/>
    <w:rsid w:val="00924F8A"/>
    <w:rsid w:val="009252C3"/>
    <w:rsid w:val="00926471"/>
    <w:rsid w:val="00930BFD"/>
    <w:rsid w:val="00931697"/>
    <w:rsid w:val="00931FF2"/>
    <w:rsid w:val="009328CA"/>
    <w:rsid w:val="00932B7B"/>
    <w:rsid w:val="009350CB"/>
    <w:rsid w:val="009366CF"/>
    <w:rsid w:val="009369EB"/>
    <w:rsid w:val="009377E3"/>
    <w:rsid w:val="00940B09"/>
    <w:rsid w:val="009432D9"/>
    <w:rsid w:val="00943B71"/>
    <w:rsid w:val="00944618"/>
    <w:rsid w:val="00944E68"/>
    <w:rsid w:val="0095126C"/>
    <w:rsid w:val="00955429"/>
    <w:rsid w:val="0095567C"/>
    <w:rsid w:val="00955A43"/>
    <w:rsid w:val="0095768C"/>
    <w:rsid w:val="00957BC0"/>
    <w:rsid w:val="00957E32"/>
    <w:rsid w:val="009602EB"/>
    <w:rsid w:val="009628A3"/>
    <w:rsid w:val="00962B0F"/>
    <w:rsid w:val="00962F4D"/>
    <w:rsid w:val="00963C45"/>
    <w:rsid w:val="00963E32"/>
    <w:rsid w:val="00964141"/>
    <w:rsid w:val="0096415E"/>
    <w:rsid w:val="00964288"/>
    <w:rsid w:val="00965D93"/>
    <w:rsid w:val="00967201"/>
    <w:rsid w:val="009726A2"/>
    <w:rsid w:val="009728F6"/>
    <w:rsid w:val="00973309"/>
    <w:rsid w:val="0097352F"/>
    <w:rsid w:val="00974A5C"/>
    <w:rsid w:val="00974ED7"/>
    <w:rsid w:val="00975C51"/>
    <w:rsid w:val="00976977"/>
    <w:rsid w:val="00976AEB"/>
    <w:rsid w:val="00980647"/>
    <w:rsid w:val="00981D43"/>
    <w:rsid w:val="00981ED1"/>
    <w:rsid w:val="009821E4"/>
    <w:rsid w:val="00983E7C"/>
    <w:rsid w:val="009848C0"/>
    <w:rsid w:val="00985281"/>
    <w:rsid w:val="00986E8C"/>
    <w:rsid w:val="00987168"/>
    <w:rsid w:val="009935B3"/>
    <w:rsid w:val="0099784E"/>
    <w:rsid w:val="00997E02"/>
    <w:rsid w:val="009A11DB"/>
    <w:rsid w:val="009A290A"/>
    <w:rsid w:val="009A2994"/>
    <w:rsid w:val="009A2CE0"/>
    <w:rsid w:val="009A371E"/>
    <w:rsid w:val="009A40B8"/>
    <w:rsid w:val="009A56E8"/>
    <w:rsid w:val="009A6204"/>
    <w:rsid w:val="009A63E7"/>
    <w:rsid w:val="009A6B00"/>
    <w:rsid w:val="009B005A"/>
    <w:rsid w:val="009B1821"/>
    <w:rsid w:val="009B1E29"/>
    <w:rsid w:val="009B2A43"/>
    <w:rsid w:val="009B2E5F"/>
    <w:rsid w:val="009B3CBE"/>
    <w:rsid w:val="009B3D52"/>
    <w:rsid w:val="009B49A6"/>
    <w:rsid w:val="009B4D17"/>
    <w:rsid w:val="009B5ED2"/>
    <w:rsid w:val="009B62E2"/>
    <w:rsid w:val="009B7479"/>
    <w:rsid w:val="009C0BFC"/>
    <w:rsid w:val="009C1D95"/>
    <w:rsid w:val="009C2307"/>
    <w:rsid w:val="009C3BA6"/>
    <w:rsid w:val="009C55B7"/>
    <w:rsid w:val="009D0B20"/>
    <w:rsid w:val="009D10A8"/>
    <w:rsid w:val="009D1163"/>
    <w:rsid w:val="009D2A15"/>
    <w:rsid w:val="009D2ECE"/>
    <w:rsid w:val="009D31F6"/>
    <w:rsid w:val="009D451D"/>
    <w:rsid w:val="009D4922"/>
    <w:rsid w:val="009D5529"/>
    <w:rsid w:val="009D69C4"/>
    <w:rsid w:val="009D6D1F"/>
    <w:rsid w:val="009E0762"/>
    <w:rsid w:val="009E07A1"/>
    <w:rsid w:val="009E0E0A"/>
    <w:rsid w:val="009E24CD"/>
    <w:rsid w:val="009E2504"/>
    <w:rsid w:val="009E2571"/>
    <w:rsid w:val="009E3563"/>
    <w:rsid w:val="009E3CE8"/>
    <w:rsid w:val="009E41C4"/>
    <w:rsid w:val="009E4CA9"/>
    <w:rsid w:val="009E69C5"/>
    <w:rsid w:val="009F012F"/>
    <w:rsid w:val="009F0781"/>
    <w:rsid w:val="009F089C"/>
    <w:rsid w:val="009F0A41"/>
    <w:rsid w:val="009F0C1B"/>
    <w:rsid w:val="009F23EF"/>
    <w:rsid w:val="009F6102"/>
    <w:rsid w:val="00A02A23"/>
    <w:rsid w:val="00A02D43"/>
    <w:rsid w:val="00A03473"/>
    <w:rsid w:val="00A049AC"/>
    <w:rsid w:val="00A06428"/>
    <w:rsid w:val="00A0664A"/>
    <w:rsid w:val="00A111EE"/>
    <w:rsid w:val="00A124BB"/>
    <w:rsid w:val="00A12F2F"/>
    <w:rsid w:val="00A17A63"/>
    <w:rsid w:val="00A20D34"/>
    <w:rsid w:val="00A21198"/>
    <w:rsid w:val="00A21532"/>
    <w:rsid w:val="00A23BC4"/>
    <w:rsid w:val="00A24FD4"/>
    <w:rsid w:val="00A2664F"/>
    <w:rsid w:val="00A26902"/>
    <w:rsid w:val="00A26DAF"/>
    <w:rsid w:val="00A31C29"/>
    <w:rsid w:val="00A31FD9"/>
    <w:rsid w:val="00A32729"/>
    <w:rsid w:val="00A32C9B"/>
    <w:rsid w:val="00A33250"/>
    <w:rsid w:val="00A33329"/>
    <w:rsid w:val="00A33ABD"/>
    <w:rsid w:val="00A33D9E"/>
    <w:rsid w:val="00A35567"/>
    <w:rsid w:val="00A358DA"/>
    <w:rsid w:val="00A361E6"/>
    <w:rsid w:val="00A36A15"/>
    <w:rsid w:val="00A36A78"/>
    <w:rsid w:val="00A37E22"/>
    <w:rsid w:val="00A40A78"/>
    <w:rsid w:val="00A40AD1"/>
    <w:rsid w:val="00A41AEF"/>
    <w:rsid w:val="00A427B5"/>
    <w:rsid w:val="00A42E61"/>
    <w:rsid w:val="00A434A6"/>
    <w:rsid w:val="00A45F16"/>
    <w:rsid w:val="00A461B4"/>
    <w:rsid w:val="00A475DA"/>
    <w:rsid w:val="00A4769A"/>
    <w:rsid w:val="00A4784A"/>
    <w:rsid w:val="00A502FE"/>
    <w:rsid w:val="00A525B6"/>
    <w:rsid w:val="00A53D42"/>
    <w:rsid w:val="00A546D9"/>
    <w:rsid w:val="00A55F4D"/>
    <w:rsid w:val="00A577AE"/>
    <w:rsid w:val="00A57884"/>
    <w:rsid w:val="00A62F91"/>
    <w:rsid w:val="00A636DC"/>
    <w:rsid w:val="00A637A9"/>
    <w:rsid w:val="00A638DD"/>
    <w:rsid w:val="00A64C75"/>
    <w:rsid w:val="00A64CE3"/>
    <w:rsid w:val="00A64E47"/>
    <w:rsid w:val="00A66142"/>
    <w:rsid w:val="00A70161"/>
    <w:rsid w:val="00A708A8"/>
    <w:rsid w:val="00A71EB6"/>
    <w:rsid w:val="00A73B3C"/>
    <w:rsid w:val="00A742ED"/>
    <w:rsid w:val="00A74E21"/>
    <w:rsid w:val="00A75227"/>
    <w:rsid w:val="00A769D4"/>
    <w:rsid w:val="00A77A32"/>
    <w:rsid w:val="00A8196E"/>
    <w:rsid w:val="00A819B2"/>
    <w:rsid w:val="00A81DEA"/>
    <w:rsid w:val="00A823D0"/>
    <w:rsid w:val="00A8409F"/>
    <w:rsid w:val="00A8410B"/>
    <w:rsid w:val="00A84C76"/>
    <w:rsid w:val="00A86961"/>
    <w:rsid w:val="00A87465"/>
    <w:rsid w:val="00A91B56"/>
    <w:rsid w:val="00A91F12"/>
    <w:rsid w:val="00A9230F"/>
    <w:rsid w:val="00A938A0"/>
    <w:rsid w:val="00A94817"/>
    <w:rsid w:val="00A95229"/>
    <w:rsid w:val="00A9556E"/>
    <w:rsid w:val="00A95A83"/>
    <w:rsid w:val="00A96A3E"/>
    <w:rsid w:val="00A96EBC"/>
    <w:rsid w:val="00A97087"/>
    <w:rsid w:val="00A97DA8"/>
    <w:rsid w:val="00A97F12"/>
    <w:rsid w:val="00A97FEB"/>
    <w:rsid w:val="00AA14AE"/>
    <w:rsid w:val="00AA26C6"/>
    <w:rsid w:val="00AA284A"/>
    <w:rsid w:val="00AA2919"/>
    <w:rsid w:val="00AA2C85"/>
    <w:rsid w:val="00AA2DDE"/>
    <w:rsid w:val="00AA3509"/>
    <w:rsid w:val="00AA3F7B"/>
    <w:rsid w:val="00AA53CF"/>
    <w:rsid w:val="00AA67DC"/>
    <w:rsid w:val="00AA7267"/>
    <w:rsid w:val="00AA7965"/>
    <w:rsid w:val="00AA7C48"/>
    <w:rsid w:val="00AB02B4"/>
    <w:rsid w:val="00AB0782"/>
    <w:rsid w:val="00AB097F"/>
    <w:rsid w:val="00AB15A0"/>
    <w:rsid w:val="00AB15B4"/>
    <w:rsid w:val="00AB2693"/>
    <w:rsid w:val="00AB26B5"/>
    <w:rsid w:val="00AB434F"/>
    <w:rsid w:val="00AB58BA"/>
    <w:rsid w:val="00AB62D0"/>
    <w:rsid w:val="00AB7923"/>
    <w:rsid w:val="00AC078C"/>
    <w:rsid w:val="00AC18C0"/>
    <w:rsid w:val="00AC1E68"/>
    <w:rsid w:val="00AC5D09"/>
    <w:rsid w:val="00AD034B"/>
    <w:rsid w:val="00AD0528"/>
    <w:rsid w:val="00AD550B"/>
    <w:rsid w:val="00AD5A0C"/>
    <w:rsid w:val="00AD5D14"/>
    <w:rsid w:val="00AD5D83"/>
    <w:rsid w:val="00AD6692"/>
    <w:rsid w:val="00AD6841"/>
    <w:rsid w:val="00AE0C74"/>
    <w:rsid w:val="00AE104A"/>
    <w:rsid w:val="00AE2560"/>
    <w:rsid w:val="00AE2EA4"/>
    <w:rsid w:val="00AE46CD"/>
    <w:rsid w:val="00AE6C3F"/>
    <w:rsid w:val="00AE78D7"/>
    <w:rsid w:val="00AF09D7"/>
    <w:rsid w:val="00AF1E14"/>
    <w:rsid w:val="00AF3647"/>
    <w:rsid w:val="00AF4E0D"/>
    <w:rsid w:val="00AF57E6"/>
    <w:rsid w:val="00AF5B1F"/>
    <w:rsid w:val="00AF66BD"/>
    <w:rsid w:val="00AF711C"/>
    <w:rsid w:val="00B000BC"/>
    <w:rsid w:val="00B00258"/>
    <w:rsid w:val="00B0102E"/>
    <w:rsid w:val="00B0238E"/>
    <w:rsid w:val="00B032F0"/>
    <w:rsid w:val="00B03A1D"/>
    <w:rsid w:val="00B03E29"/>
    <w:rsid w:val="00B045D1"/>
    <w:rsid w:val="00B046D4"/>
    <w:rsid w:val="00B04ABE"/>
    <w:rsid w:val="00B06ABE"/>
    <w:rsid w:val="00B06DFA"/>
    <w:rsid w:val="00B071F1"/>
    <w:rsid w:val="00B07628"/>
    <w:rsid w:val="00B108D4"/>
    <w:rsid w:val="00B11438"/>
    <w:rsid w:val="00B1158B"/>
    <w:rsid w:val="00B11C00"/>
    <w:rsid w:val="00B13951"/>
    <w:rsid w:val="00B14049"/>
    <w:rsid w:val="00B1451F"/>
    <w:rsid w:val="00B168D4"/>
    <w:rsid w:val="00B20891"/>
    <w:rsid w:val="00B2098A"/>
    <w:rsid w:val="00B234FC"/>
    <w:rsid w:val="00B24E0C"/>
    <w:rsid w:val="00B25747"/>
    <w:rsid w:val="00B317B7"/>
    <w:rsid w:val="00B31BFC"/>
    <w:rsid w:val="00B33E8E"/>
    <w:rsid w:val="00B34752"/>
    <w:rsid w:val="00B35273"/>
    <w:rsid w:val="00B35660"/>
    <w:rsid w:val="00B362A3"/>
    <w:rsid w:val="00B405B6"/>
    <w:rsid w:val="00B409E7"/>
    <w:rsid w:val="00B40A82"/>
    <w:rsid w:val="00B40ED2"/>
    <w:rsid w:val="00B42032"/>
    <w:rsid w:val="00B43BD8"/>
    <w:rsid w:val="00B447CA"/>
    <w:rsid w:val="00B4551E"/>
    <w:rsid w:val="00B45E32"/>
    <w:rsid w:val="00B46062"/>
    <w:rsid w:val="00B4634D"/>
    <w:rsid w:val="00B469E4"/>
    <w:rsid w:val="00B472BF"/>
    <w:rsid w:val="00B47398"/>
    <w:rsid w:val="00B47F0A"/>
    <w:rsid w:val="00B53BDD"/>
    <w:rsid w:val="00B540BA"/>
    <w:rsid w:val="00B54297"/>
    <w:rsid w:val="00B54B7E"/>
    <w:rsid w:val="00B54F1C"/>
    <w:rsid w:val="00B55B53"/>
    <w:rsid w:val="00B5680D"/>
    <w:rsid w:val="00B60702"/>
    <w:rsid w:val="00B61C49"/>
    <w:rsid w:val="00B62E1B"/>
    <w:rsid w:val="00B63325"/>
    <w:rsid w:val="00B63639"/>
    <w:rsid w:val="00B63AF8"/>
    <w:rsid w:val="00B63D88"/>
    <w:rsid w:val="00B648BD"/>
    <w:rsid w:val="00B64D42"/>
    <w:rsid w:val="00B70243"/>
    <w:rsid w:val="00B702C7"/>
    <w:rsid w:val="00B70562"/>
    <w:rsid w:val="00B7096F"/>
    <w:rsid w:val="00B70DF0"/>
    <w:rsid w:val="00B714E9"/>
    <w:rsid w:val="00B715D6"/>
    <w:rsid w:val="00B716DF"/>
    <w:rsid w:val="00B765EB"/>
    <w:rsid w:val="00B768FC"/>
    <w:rsid w:val="00B7768C"/>
    <w:rsid w:val="00B81676"/>
    <w:rsid w:val="00B81C78"/>
    <w:rsid w:val="00B82B47"/>
    <w:rsid w:val="00B834C3"/>
    <w:rsid w:val="00B8409C"/>
    <w:rsid w:val="00B84ADB"/>
    <w:rsid w:val="00B84C8A"/>
    <w:rsid w:val="00B851AA"/>
    <w:rsid w:val="00B8520E"/>
    <w:rsid w:val="00B861D1"/>
    <w:rsid w:val="00B868AB"/>
    <w:rsid w:val="00B86C06"/>
    <w:rsid w:val="00B86E32"/>
    <w:rsid w:val="00B873BF"/>
    <w:rsid w:val="00B87FF3"/>
    <w:rsid w:val="00B90493"/>
    <w:rsid w:val="00B908E5"/>
    <w:rsid w:val="00B913FE"/>
    <w:rsid w:val="00B91BE2"/>
    <w:rsid w:val="00B91D4F"/>
    <w:rsid w:val="00B920DD"/>
    <w:rsid w:val="00B927A8"/>
    <w:rsid w:val="00B92802"/>
    <w:rsid w:val="00B9298B"/>
    <w:rsid w:val="00B949EA"/>
    <w:rsid w:val="00B94D97"/>
    <w:rsid w:val="00B94DAB"/>
    <w:rsid w:val="00B9534E"/>
    <w:rsid w:val="00B953CB"/>
    <w:rsid w:val="00B9674A"/>
    <w:rsid w:val="00BA286A"/>
    <w:rsid w:val="00BA421C"/>
    <w:rsid w:val="00BA462E"/>
    <w:rsid w:val="00BA4860"/>
    <w:rsid w:val="00BA513D"/>
    <w:rsid w:val="00BA6D1B"/>
    <w:rsid w:val="00BA74F2"/>
    <w:rsid w:val="00BB00ED"/>
    <w:rsid w:val="00BB0D39"/>
    <w:rsid w:val="00BB16BE"/>
    <w:rsid w:val="00BB26C7"/>
    <w:rsid w:val="00BB2C85"/>
    <w:rsid w:val="00BB3323"/>
    <w:rsid w:val="00BB39ED"/>
    <w:rsid w:val="00BB4AA9"/>
    <w:rsid w:val="00BB5492"/>
    <w:rsid w:val="00BB6AB4"/>
    <w:rsid w:val="00BC28A9"/>
    <w:rsid w:val="00BC4235"/>
    <w:rsid w:val="00BC431C"/>
    <w:rsid w:val="00BC5E12"/>
    <w:rsid w:val="00BC6C80"/>
    <w:rsid w:val="00BD0BA8"/>
    <w:rsid w:val="00BD27AE"/>
    <w:rsid w:val="00BD44C5"/>
    <w:rsid w:val="00BD4D89"/>
    <w:rsid w:val="00BD6C5B"/>
    <w:rsid w:val="00BD70E8"/>
    <w:rsid w:val="00BE26C8"/>
    <w:rsid w:val="00BE4BC1"/>
    <w:rsid w:val="00BE52EE"/>
    <w:rsid w:val="00BE6345"/>
    <w:rsid w:val="00BE7235"/>
    <w:rsid w:val="00BE7EB0"/>
    <w:rsid w:val="00BF20F0"/>
    <w:rsid w:val="00BF30E2"/>
    <w:rsid w:val="00BF4549"/>
    <w:rsid w:val="00BF4EB5"/>
    <w:rsid w:val="00BF585E"/>
    <w:rsid w:val="00BF6DCF"/>
    <w:rsid w:val="00BF75B1"/>
    <w:rsid w:val="00C0082B"/>
    <w:rsid w:val="00C01D80"/>
    <w:rsid w:val="00C028D1"/>
    <w:rsid w:val="00C02A0E"/>
    <w:rsid w:val="00C02C48"/>
    <w:rsid w:val="00C02D3D"/>
    <w:rsid w:val="00C06EFD"/>
    <w:rsid w:val="00C07607"/>
    <w:rsid w:val="00C07DE1"/>
    <w:rsid w:val="00C105D4"/>
    <w:rsid w:val="00C1191C"/>
    <w:rsid w:val="00C11B6C"/>
    <w:rsid w:val="00C11DA4"/>
    <w:rsid w:val="00C1340E"/>
    <w:rsid w:val="00C13480"/>
    <w:rsid w:val="00C144D2"/>
    <w:rsid w:val="00C14783"/>
    <w:rsid w:val="00C15527"/>
    <w:rsid w:val="00C15681"/>
    <w:rsid w:val="00C1781D"/>
    <w:rsid w:val="00C17BE7"/>
    <w:rsid w:val="00C2038A"/>
    <w:rsid w:val="00C21917"/>
    <w:rsid w:val="00C227B0"/>
    <w:rsid w:val="00C239B4"/>
    <w:rsid w:val="00C24FBF"/>
    <w:rsid w:val="00C25DA0"/>
    <w:rsid w:val="00C25F7A"/>
    <w:rsid w:val="00C26800"/>
    <w:rsid w:val="00C273D3"/>
    <w:rsid w:val="00C273F8"/>
    <w:rsid w:val="00C32C46"/>
    <w:rsid w:val="00C332C3"/>
    <w:rsid w:val="00C33DB7"/>
    <w:rsid w:val="00C349ED"/>
    <w:rsid w:val="00C35216"/>
    <w:rsid w:val="00C35727"/>
    <w:rsid w:val="00C364F7"/>
    <w:rsid w:val="00C37E2F"/>
    <w:rsid w:val="00C4171F"/>
    <w:rsid w:val="00C41F7A"/>
    <w:rsid w:val="00C421CF"/>
    <w:rsid w:val="00C45825"/>
    <w:rsid w:val="00C462BA"/>
    <w:rsid w:val="00C46E61"/>
    <w:rsid w:val="00C5075F"/>
    <w:rsid w:val="00C5167C"/>
    <w:rsid w:val="00C52028"/>
    <w:rsid w:val="00C526C0"/>
    <w:rsid w:val="00C53ADF"/>
    <w:rsid w:val="00C53E20"/>
    <w:rsid w:val="00C54B57"/>
    <w:rsid w:val="00C54E6A"/>
    <w:rsid w:val="00C55236"/>
    <w:rsid w:val="00C55A45"/>
    <w:rsid w:val="00C55EA4"/>
    <w:rsid w:val="00C570FA"/>
    <w:rsid w:val="00C600A4"/>
    <w:rsid w:val="00C60666"/>
    <w:rsid w:val="00C60D67"/>
    <w:rsid w:val="00C61112"/>
    <w:rsid w:val="00C61D91"/>
    <w:rsid w:val="00C623AF"/>
    <w:rsid w:val="00C624DB"/>
    <w:rsid w:val="00C62EDD"/>
    <w:rsid w:val="00C635C8"/>
    <w:rsid w:val="00C65CDF"/>
    <w:rsid w:val="00C6681F"/>
    <w:rsid w:val="00C67C08"/>
    <w:rsid w:val="00C70A7D"/>
    <w:rsid w:val="00C70AB0"/>
    <w:rsid w:val="00C717A1"/>
    <w:rsid w:val="00C72AB4"/>
    <w:rsid w:val="00C73DF2"/>
    <w:rsid w:val="00C746F7"/>
    <w:rsid w:val="00C76533"/>
    <w:rsid w:val="00C767FC"/>
    <w:rsid w:val="00C76DCF"/>
    <w:rsid w:val="00C804DC"/>
    <w:rsid w:val="00C82FAE"/>
    <w:rsid w:val="00C83E2C"/>
    <w:rsid w:val="00C86675"/>
    <w:rsid w:val="00C86A81"/>
    <w:rsid w:val="00C90447"/>
    <w:rsid w:val="00C9259E"/>
    <w:rsid w:val="00C951D2"/>
    <w:rsid w:val="00C96084"/>
    <w:rsid w:val="00C96BA0"/>
    <w:rsid w:val="00C96DB5"/>
    <w:rsid w:val="00CA03AC"/>
    <w:rsid w:val="00CA0A2B"/>
    <w:rsid w:val="00CA147A"/>
    <w:rsid w:val="00CA151F"/>
    <w:rsid w:val="00CA255C"/>
    <w:rsid w:val="00CA271E"/>
    <w:rsid w:val="00CA3379"/>
    <w:rsid w:val="00CA3A93"/>
    <w:rsid w:val="00CA4ED0"/>
    <w:rsid w:val="00CA5471"/>
    <w:rsid w:val="00CA5B7F"/>
    <w:rsid w:val="00CA7175"/>
    <w:rsid w:val="00CA7F46"/>
    <w:rsid w:val="00CB1EE0"/>
    <w:rsid w:val="00CB1F51"/>
    <w:rsid w:val="00CB227F"/>
    <w:rsid w:val="00CB283D"/>
    <w:rsid w:val="00CB28B2"/>
    <w:rsid w:val="00CB3663"/>
    <w:rsid w:val="00CB5785"/>
    <w:rsid w:val="00CB5EC0"/>
    <w:rsid w:val="00CB5F3B"/>
    <w:rsid w:val="00CB73A1"/>
    <w:rsid w:val="00CC1509"/>
    <w:rsid w:val="00CC2492"/>
    <w:rsid w:val="00CC46B0"/>
    <w:rsid w:val="00CC4BEF"/>
    <w:rsid w:val="00CC669F"/>
    <w:rsid w:val="00CC7F55"/>
    <w:rsid w:val="00CD0477"/>
    <w:rsid w:val="00CD1323"/>
    <w:rsid w:val="00CD173A"/>
    <w:rsid w:val="00CD1944"/>
    <w:rsid w:val="00CD35D7"/>
    <w:rsid w:val="00CD3B3D"/>
    <w:rsid w:val="00CD42B4"/>
    <w:rsid w:val="00CD430B"/>
    <w:rsid w:val="00CD4693"/>
    <w:rsid w:val="00CD5170"/>
    <w:rsid w:val="00CD5B83"/>
    <w:rsid w:val="00CD5E07"/>
    <w:rsid w:val="00CD6BF4"/>
    <w:rsid w:val="00CD79FD"/>
    <w:rsid w:val="00CD7CA8"/>
    <w:rsid w:val="00CE1594"/>
    <w:rsid w:val="00CE267F"/>
    <w:rsid w:val="00CE41B3"/>
    <w:rsid w:val="00CE463E"/>
    <w:rsid w:val="00CE60EC"/>
    <w:rsid w:val="00CE6299"/>
    <w:rsid w:val="00CE72BE"/>
    <w:rsid w:val="00CE76C3"/>
    <w:rsid w:val="00CF36A9"/>
    <w:rsid w:val="00CF3895"/>
    <w:rsid w:val="00CF3C51"/>
    <w:rsid w:val="00CF41B3"/>
    <w:rsid w:val="00CF42F6"/>
    <w:rsid w:val="00CF55F9"/>
    <w:rsid w:val="00CF6EA8"/>
    <w:rsid w:val="00CF7745"/>
    <w:rsid w:val="00CF7A21"/>
    <w:rsid w:val="00D00082"/>
    <w:rsid w:val="00D00F87"/>
    <w:rsid w:val="00D027D1"/>
    <w:rsid w:val="00D02CC8"/>
    <w:rsid w:val="00D02F61"/>
    <w:rsid w:val="00D03EA2"/>
    <w:rsid w:val="00D06525"/>
    <w:rsid w:val="00D074F9"/>
    <w:rsid w:val="00D07B5C"/>
    <w:rsid w:val="00D100E6"/>
    <w:rsid w:val="00D11970"/>
    <w:rsid w:val="00D12318"/>
    <w:rsid w:val="00D12F34"/>
    <w:rsid w:val="00D131C0"/>
    <w:rsid w:val="00D1402F"/>
    <w:rsid w:val="00D145E9"/>
    <w:rsid w:val="00D166FE"/>
    <w:rsid w:val="00D17D75"/>
    <w:rsid w:val="00D200FA"/>
    <w:rsid w:val="00D21284"/>
    <w:rsid w:val="00D23A40"/>
    <w:rsid w:val="00D242D4"/>
    <w:rsid w:val="00D276AC"/>
    <w:rsid w:val="00D31A33"/>
    <w:rsid w:val="00D31CFC"/>
    <w:rsid w:val="00D3398E"/>
    <w:rsid w:val="00D3597E"/>
    <w:rsid w:val="00D36906"/>
    <w:rsid w:val="00D36E16"/>
    <w:rsid w:val="00D37044"/>
    <w:rsid w:val="00D41F45"/>
    <w:rsid w:val="00D44A06"/>
    <w:rsid w:val="00D4682D"/>
    <w:rsid w:val="00D4790B"/>
    <w:rsid w:val="00D50C1B"/>
    <w:rsid w:val="00D518BE"/>
    <w:rsid w:val="00D51B27"/>
    <w:rsid w:val="00D51BD0"/>
    <w:rsid w:val="00D53985"/>
    <w:rsid w:val="00D53E91"/>
    <w:rsid w:val="00D54D2A"/>
    <w:rsid w:val="00D55206"/>
    <w:rsid w:val="00D556E2"/>
    <w:rsid w:val="00D568A5"/>
    <w:rsid w:val="00D5749B"/>
    <w:rsid w:val="00D5766E"/>
    <w:rsid w:val="00D60582"/>
    <w:rsid w:val="00D610AC"/>
    <w:rsid w:val="00D612E5"/>
    <w:rsid w:val="00D62E6B"/>
    <w:rsid w:val="00D645FF"/>
    <w:rsid w:val="00D649D2"/>
    <w:rsid w:val="00D65440"/>
    <w:rsid w:val="00D701F7"/>
    <w:rsid w:val="00D711A4"/>
    <w:rsid w:val="00D7172E"/>
    <w:rsid w:val="00D71ACA"/>
    <w:rsid w:val="00D724A8"/>
    <w:rsid w:val="00D7292A"/>
    <w:rsid w:val="00D73C12"/>
    <w:rsid w:val="00D744DD"/>
    <w:rsid w:val="00D7565B"/>
    <w:rsid w:val="00D77BB5"/>
    <w:rsid w:val="00D80119"/>
    <w:rsid w:val="00D804CD"/>
    <w:rsid w:val="00D826B2"/>
    <w:rsid w:val="00D82CEB"/>
    <w:rsid w:val="00D8363F"/>
    <w:rsid w:val="00D83A67"/>
    <w:rsid w:val="00D841C9"/>
    <w:rsid w:val="00D85E6A"/>
    <w:rsid w:val="00D906F7"/>
    <w:rsid w:val="00D91824"/>
    <w:rsid w:val="00D91994"/>
    <w:rsid w:val="00D942DD"/>
    <w:rsid w:val="00D94551"/>
    <w:rsid w:val="00D94DFE"/>
    <w:rsid w:val="00D961C0"/>
    <w:rsid w:val="00D977CE"/>
    <w:rsid w:val="00DA20D7"/>
    <w:rsid w:val="00DA264F"/>
    <w:rsid w:val="00DA2C32"/>
    <w:rsid w:val="00DA3108"/>
    <w:rsid w:val="00DA48B7"/>
    <w:rsid w:val="00DA4CA4"/>
    <w:rsid w:val="00DA5940"/>
    <w:rsid w:val="00DA60C3"/>
    <w:rsid w:val="00DA6DDA"/>
    <w:rsid w:val="00DB079F"/>
    <w:rsid w:val="00DB2C5B"/>
    <w:rsid w:val="00DB2DDF"/>
    <w:rsid w:val="00DB34AE"/>
    <w:rsid w:val="00DB3902"/>
    <w:rsid w:val="00DB4ADA"/>
    <w:rsid w:val="00DB5088"/>
    <w:rsid w:val="00DB66C0"/>
    <w:rsid w:val="00DB7DAA"/>
    <w:rsid w:val="00DC2A9A"/>
    <w:rsid w:val="00DC2FBD"/>
    <w:rsid w:val="00DC47D1"/>
    <w:rsid w:val="00DC6715"/>
    <w:rsid w:val="00DD09D0"/>
    <w:rsid w:val="00DD2C35"/>
    <w:rsid w:val="00DD3D08"/>
    <w:rsid w:val="00DD4D08"/>
    <w:rsid w:val="00DD4D8E"/>
    <w:rsid w:val="00DD6D0F"/>
    <w:rsid w:val="00DE29CC"/>
    <w:rsid w:val="00DE3700"/>
    <w:rsid w:val="00DE37E8"/>
    <w:rsid w:val="00DF0109"/>
    <w:rsid w:val="00DF03E6"/>
    <w:rsid w:val="00DF2300"/>
    <w:rsid w:val="00DF3326"/>
    <w:rsid w:val="00DF3466"/>
    <w:rsid w:val="00DF3AF6"/>
    <w:rsid w:val="00DF3DA4"/>
    <w:rsid w:val="00DF48D4"/>
    <w:rsid w:val="00DF5D34"/>
    <w:rsid w:val="00DF5D6B"/>
    <w:rsid w:val="00DF6E60"/>
    <w:rsid w:val="00E00344"/>
    <w:rsid w:val="00E015AE"/>
    <w:rsid w:val="00E01A48"/>
    <w:rsid w:val="00E01C2F"/>
    <w:rsid w:val="00E041D6"/>
    <w:rsid w:val="00E056D9"/>
    <w:rsid w:val="00E064C9"/>
    <w:rsid w:val="00E071EB"/>
    <w:rsid w:val="00E11287"/>
    <w:rsid w:val="00E122F9"/>
    <w:rsid w:val="00E12326"/>
    <w:rsid w:val="00E12727"/>
    <w:rsid w:val="00E13890"/>
    <w:rsid w:val="00E13D1D"/>
    <w:rsid w:val="00E16199"/>
    <w:rsid w:val="00E170AA"/>
    <w:rsid w:val="00E17966"/>
    <w:rsid w:val="00E20503"/>
    <w:rsid w:val="00E20909"/>
    <w:rsid w:val="00E2167C"/>
    <w:rsid w:val="00E21A46"/>
    <w:rsid w:val="00E2209B"/>
    <w:rsid w:val="00E23F3B"/>
    <w:rsid w:val="00E24094"/>
    <w:rsid w:val="00E25F9E"/>
    <w:rsid w:val="00E301F8"/>
    <w:rsid w:val="00E302C3"/>
    <w:rsid w:val="00E30922"/>
    <w:rsid w:val="00E30CDE"/>
    <w:rsid w:val="00E30D3F"/>
    <w:rsid w:val="00E31822"/>
    <w:rsid w:val="00E3274A"/>
    <w:rsid w:val="00E32C68"/>
    <w:rsid w:val="00E3322D"/>
    <w:rsid w:val="00E33CE6"/>
    <w:rsid w:val="00E33F5C"/>
    <w:rsid w:val="00E34938"/>
    <w:rsid w:val="00E35CE1"/>
    <w:rsid w:val="00E37298"/>
    <w:rsid w:val="00E37BE7"/>
    <w:rsid w:val="00E37E50"/>
    <w:rsid w:val="00E37EB2"/>
    <w:rsid w:val="00E41A23"/>
    <w:rsid w:val="00E41BBF"/>
    <w:rsid w:val="00E430FC"/>
    <w:rsid w:val="00E43383"/>
    <w:rsid w:val="00E445CA"/>
    <w:rsid w:val="00E44D7B"/>
    <w:rsid w:val="00E477EF"/>
    <w:rsid w:val="00E47F9C"/>
    <w:rsid w:val="00E508C9"/>
    <w:rsid w:val="00E5147C"/>
    <w:rsid w:val="00E51DEB"/>
    <w:rsid w:val="00E5228D"/>
    <w:rsid w:val="00E529DD"/>
    <w:rsid w:val="00E5419F"/>
    <w:rsid w:val="00E54B8E"/>
    <w:rsid w:val="00E5545B"/>
    <w:rsid w:val="00E55CA6"/>
    <w:rsid w:val="00E56C24"/>
    <w:rsid w:val="00E60460"/>
    <w:rsid w:val="00E61EDC"/>
    <w:rsid w:val="00E62112"/>
    <w:rsid w:val="00E6247A"/>
    <w:rsid w:val="00E64006"/>
    <w:rsid w:val="00E66B47"/>
    <w:rsid w:val="00E70915"/>
    <w:rsid w:val="00E70D39"/>
    <w:rsid w:val="00E711EB"/>
    <w:rsid w:val="00E7120D"/>
    <w:rsid w:val="00E73875"/>
    <w:rsid w:val="00E73B2F"/>
    <w:rsid w:val="00E745CD"/>
    <w:rsid w:val="00E74607"/>
    <w:rsid w:val="00E74C39"/>
    <w:rsid w:val="00E76541"/>
    <w:rsid w:val="00E8003F"/>
    <w:rsid w:val="00E800EA"/>
    <w:rsid w:val="00E80258"/>
    <w:rsid w:val="00E80DAE"/>
    <w:rsid w:val="00E8182E"/>
    <w:rsid w:val="00E82B19"/>
    <w:rsid w:val="00E835C9"/>
    <w:rsid w:val="00E84D45"/>
    <w:rsid w:val="00E8503E"/>
    <w:rsid w:val="00E87B4F"/>
    <w:rsid w:val="00E916B6"/>
    <w:rsid w:val="00E91826"/>
    <w:rsid w:val="00E9321B"/>
    <w:rsid w:val="00E94412"/>
    <w:rsid w:val="00E947F2"/>
    <w:rsid w:val="00E9689E"/>
    <w:rsid w:val="00E97CFE"/>
    <w:rsid w:val="00EA0117"/>
    <w:rsid w:val="00EA0AF0"/>
    <w:rsid w:val="00EA12B2"/>
    <w:rsid w:val="00EA1366"/>
    <w:rsid w:val="00EA1458"/>
    <w:rsid w:val="00EA1A30"/>
    <w:rsid w:val="00EA3286"/>
    <w:rsid w:val="00EA58A3"/>
    <w:rsid w:val="00EA7749"/>
    <w:rsid w:val="00EB0AFD"/>
    <w:rsid w:val="00EB1D98"/>
    <w:rsid w:val="00EB216A"/>
    <w:rsid w:val="00EB31DE"/>
    <w:rsid w:val="00EB3C50"/>
    <w:rsid w:val="00EB3F25"/>
    <w:rsid w:val="00EB4116"/>
    <w:rsid w:val="00EB44AE"/>
    <w:rsid w:val="00EB4AE1"/>
    <w:rsid w:val="00EB6DB4"/>
    <w:rsid w:val="00EB7272"/>
    <w:rsid w:val="00EC23C8"/>
    <w:rsid w:val="00EC2C5A"/>
    <w:rsid w:val="00EC3768"/>
    <w:rsid w:val="00EC68C1"/>
    <w:rsid w:val="00EC77F3"/>
    <w:rsid w:val="00EC7A11"/>
    <w:rsid w:val="00EC7BA3"/>
    <w:rsid w:val="00ED0422"/>
    <w:rsid w:val="00ED05EF"/>
    <w:rsid w:val="00ED0F8F"/>
    <w:rsid w:val="00ED17C8"/>
    <w:rsid w:val="00ED2DE5"/>
    <w:rsid w:val="00ED37AA"/>
    <w:rsid w:val="00ED4DFB"/>
    <w:rsid w:val="00ED54A8"/>
    <w:rsid w:val="00ED5C2C"/>
    <w:rsid w:val="00EE0B40"/>
    <w:rsid w:val="00EE44DE"/>
    <w:rsid w:val="00EE49F9"/>
    <w:rsid w:val="00EE5D04"/>
    <w:rsid w:val="00EF1B6F"/>
    <w:rsid w:val="00EF2FC7"/>
    <w:rsid w:val="00EF35E4"/>
    <w:rsid w:val="00EF3694"/>
    <w:rsid w:val="00EF3B3D"/>
    <w:rsid w:val="00EF411B"/>
    <w:rsid w:val="00EF512C"/>
    <w:rsid w:val="00EF5F11"/>
    <w:rsid w:val="00EF62E2"/>
    <w:rsid w:val="00F0225D"/>
    <w:rsid w:val="00F023BD"/>
    <w:rsid w:val="00F02E30"/>
    <w:rsid w:val="00F03C8E"/>
    <w:rsid w:val="00F03DC6"/>
    <w:rsid w:val="00F040C0"/>
    <w:rsid w:val="00F05E74"/>
    <w:rsid w:val="00F05FF9"/>
    <w:rsid w:val="00F06F1D"/>
    <w:rsid w:val="00F07B32"/>
    <w:rsid w:val="00F11205"/>
    <w:rsid w:val="00F14B0F"/>
    <w:rsid w:val="00F14C5B"/>
    <w:rsid w:val="00F1510A"/>
    <w:rsid w:val="00F15BC2"/>
    <w:rsid w:val="00F162AA"/>
    <w:rsid w:val="00F16631"/>
    <w:rsid w:val="00F21AA1"/>
    <w:rsid w:val="00F22258"/>
    <w:rsid w:val="00F22BB4"/>
    <w:rsid w:val="00F23567"/>
    <w:rsid w:val="00F23C48"/>
    <w:rsid w:val="00F259EA"/>
    <w:rsid w:val="00F26B3E"/>
    <w:rsid w:val="00F26E8E"/>
    <w:rsid w:val="00F26F02"/>
    <w:rsid w:val="00F27410"/>
    <w:rsid w:val="00F27528"/>
    <w:rsid w:val="00F27C72"/>
    <w:rsid w:val="00F30331"/>
    <w:rsid w:val="00F30F72"/>
    <w:rsid w:val="00F30FC5"/>
    <w:rsid w:val="00F31CCD"/>
    <w:rsid w:val="00F31F09"/>
    <w:rsid w:val="00F328D3"/>
    <w:rsid w:val="00F32A85"/>
    <w:rsid w:val="00F34697"/>
    <w:rsid w:val="00F37616"/>
    <w:rsid w:val="00F40198"/>
    <w:rsid w:val="00F42572"/>
    <w:rsid w:val="00F42B9C"/>
    <w:rsid w:val="00F43265"/>
    <w:rsid w:val="00F460C3"/>
    <w:rsid w:val="00F47408"/>
    <w:rsid w:val="00F4796D"/>
    <w:rsid w:val="00F479C9"/>
    <w:rsid w:val="00F51850"/>
    <w:rsid w:val="00F52208"/>
    <w:rsid w:val="00F52252"/>
    <w:rsid w:val="00F53160"/>
    <w:rsid w:val="00F536F5"/>
    <w:rsid w:val="00F53F20"/>
    <w:rsid w:val="00F5461C"/>
    <w:rsid w:val="00F5605E"/>
    <w:rsid w:val="00F56978"/>
    <w:rsid w:val="00F6036B"/>
    <w:rsid w:val="00F607C2"/>
    <w:rsid w:val="00F61924"/>
    <w:rsid w:val="00F641DC"/>
    <w:rsid w:val="00F641F4"/>
    <w:rsid w:val="00F648E3"/>
    <w:rsid w:val="00F66A68"/>
    <w:rsid w:val="00F70987"/>
    <w:rsid w:val="00F712E9"/>
    <w:rsid w:val="00F73D61"/>
    <w:rsid w:val="00F740C3"/>
    <w:rsid w:val="00F748A6"/>
    <w:rsid w:val="00F74EAE"/>
    <w:rsid w:val="00F758BA"/>
    <w:rsid w:val="00F76D61"/>
    <w:rsid w:val="00F77105"/>
    <w:rsid w:val="00F7791E"/>
    <w:rsid w:val="00F80423"/>
    <w:rsid w:val="00F811BD"/>
    <w:rsid w:val="00F822A9"/>
    <w:rsid w:val="00F8242B"/>
    <w:rsid w:val="00F825DB"/>
    <w:rsid w:val="00F82D7E"/>
    <w:rsid w:val="00F8339D"/>
    <w:rsid w:val="00F8392F"/>
    <w:rsid w:val="00F85F51"/>
    <w:rsid w:val="00F86641"/>
    <w:rsid w:val="00F8722E"/>
    <w:rsid w:val="00F876BB"/>
    <w:rsid w:val="00F878BA"/>
    <w:rsid w:val="00F87A14"/>
    <w:rsid w:val="00F87AFA"/>
    <w:rsid w:val="00F908D2"/>
    <w:rsid w:val="00F91540"/>
    <w:rsid w:val="00F922BE"/>
    <w:rsid w:val="00F933B7"/>
    <w:rsid w:val="00F935BC"/>
    <w:rsid w:val="00F95314"/>
    <w:rsid w:val="00F954EC"/>
    <w:rsid w:val="00F96D77"/>
    <w:rsid w:val="00FA07B7"/>
    <w:rsid w:val="00FA113E"/>
    <w:rsid w:val="00FA1556"/>
    <w:rsid w:val="00FA22B5"/>
    <w:rsid w:val="00FA239B"/>
    <w:rsid w:val="00FA27EA"/>
    <w:rsid w:val="00FA2C97"/>
    <w:rsid w:val="00FA47E3"/>
    <w:rsid w:val="00FA539B"/>
    <w:rsid w:val="00FA6483"/>
    <w:rsid w:val="00FA71A2"/>
    <w:rsid w:val="00FA787A"/>
    <w:rsid w:val="00FA7A83"/>
    <w:rsid w:val="00FB13E4"/>
    <w:rsid w:val="00FB1B8D"/>
    <w:rsid w:val="00FB27BF"/>
    <w:rsid w:val="00FB3406"/>
    <w:rsid w:val="00FB3E97"/>
    <w:rsid w:val="00FB415B"/>
    <w:rsid w:val="00FB4278"/>
    <w:rsid w:val="00FB46B5"/>
    <w:rsid w:val="00FB4BFC"/>
    <w:rsid w:val="00FB4D32"/>
    <w:rsid w:val="00FB661D"/>
    <w:rsid w:val="00FB6E48"/>
    <w:rsid w:val="00FB6FF1"/>
    <w:rsid w:val="00FB76B7"/>
    <w:rsid w:val="00FC0060"/>
    <w:rsid w:val="00FC0396"/>
    <w:rsid w:val="00FC1104"/>
    <w:rsid w:val="00FC2C82"/>
    <w:rsid w:val="00FC3615"/>
    <w:rsid w:val="00FC4172"/>
    <w:rsid w:val="00FC458C"/>
    <w:rsid w:val="00FC6DBD"/>
    <w:rsid w:val="00FD1180"/>
    <w:rsid w:val="00FD1F4D"/>
    <w:rsid w:val="00FD4241"/>
    <w:rsid w:val="00FD5832"/>
    <w:rsid w:val="00FD5F2B"/>
    <w:rsid w:val="00FD62A3"/>
    <w:rsid w:val="00FD6572"/>
    <w:rsid w:val="00FD7ACA"/>
    <w:rsid w:val="00FE080A"/>
    <w:rsid w:val="00FE0D4B"/>
    <w:rsid w:val="00FE3220"/>
    <w:rsid w:val="00FE4F7C"/>
    <w:rsid w:val="00FE51BD"/>
    <w:rsid w:val="00FE5441"/>
    <w:rsid w:val="00FE5DD0"/>
    <w:rsid w:val="00FE6C67"/>
    <w:rsid w:val="00FE7740"/>
    <w:rsid w:val="00FE7BD4"/>
    <w:rsid w:val="00FF15A5"/>
    <w:rsid w:val="00FF3136"/>
    <w:rsid w:val="00FF3E53"/>
    <w:rsid w:val="00FF4826"/>
    <w:rsid w:val="00FF58CC"/>
    <w:rsid w:val="00FF5A8F"/>
    <w:rsid w:val="00FF64D8"/>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A178"/>
  <w15:chartTrackingRefBased/>
  <w15:docId w15:val="{E249EF32-863C-4B84-90E8-53F36C6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45"/>
    <w:pPr>
      <w:spacing w:after="0" w:line="240" w:lineRule="auto"/>
    </w:pPr>
    <w:rPr>
      <w:rFonts w:ascii="Arial" w:hAnsi="Arial"/>
      <w:sz w:val="20"/>
      <w:szCs w:val="20"/>
    </w:rPr>
  </w:style>
  <w:style w:type="paragraph" w:styleId="Ttulo1">
    <w:name w:val="heading 1"/>
    <w:basedOn w:val="Normal"/>
    <w:next w:val="Normal"/>
    <w:link w:val="Ttulo1Car"/>
    <w:uiPriority w:val="9"/>
    <w:qFormat/>
    <w:rsid w:val="002E2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30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41F45"/>
    <w:pPr>
      <w:tabs>
        <w:tab w:val="center" w:pos="4252"/>
        <w:tab w:val="right" w:pos="8504"/>
      </w:tabs>
    </w:pPr>
  </w:style>
  <w:style w:type="character" w:customStyle="1" w:styleId="EncabezadoCar">
    <w:name w:val="Encabezado Car"/>
    <w:basedOn w:val="Fuentedeprrafopredeter"/>
    <w:link w:val="Encabezado"/>
    <w:rsid w:val="00D41F45"/>
    <w:rPr>
      <w:rFonts w:ascii="Arial" w:hAnsi="Arial"/>
      <w:sz w:val="20"/>
      <w:szCs w:val="20"/>
    </w:rPr>
  </w:style>
  <w:style w:type="paragraph" w:styleId="Piedepgina">
    <w:name w:val="footer"/>
    <w:basedOn w:val="Normal"/>
    <w:link w:val="PiedepginaCar"/>
    <w:uiPriority w:val="99"/>
    <w:rsid w:val="00D41F45"/>
    <w:pPr>
      <w:tabs>
        <w:tab w:val="center" w:pos="4252"/>
        <w:tab w:val="right" w:pos="8504"/>
      </w:tabs>
    </w:pPr>
  </w:style>
  <w:style w:type="character" w:customStyle="1" w:styleId="PiedepginaCar">
    <w:name w:val="Pie de página Car"/>
    <w:basedOn w:val="Fuentedeprrafopredeter"/>
    <w:link w:val="Piedepgina"/>
    <w:uiPriority w:val="99"/>
    <w:rsid w:val="00D41F45"/>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uiPriority w:val="99"/>
    <w:qFormat/>
    <w:rsid w:val="00D41F4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D41F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41F45"/>
    <w:rPr>
      <w:rFonts w:ascii="Arial" w:hAnsi="Arial"/>
      <w:sz w:val="20"/>
      <w:szCs w:val="20"/>
    </w:rPr>
  </w:style>
  <w:style w:type="table" w:styleId="Tablaconcuadrcula">
    <w:name w:val="Table Grid"/>
    <w:basedOn w:val="Tablanormal"/>
    <w:uiPriority w:val="39"/>
    <w:rsid w:val="00D41F4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Footnote,List Paragraph2,List Paragraph1,Colorful List - Accent 11,Lista vistosa - Énfasis 11,Parrafo 1,Lista multicolor - Énfasis 11,Cuadrícula media 1 - Énfasis 21,Cita texto,List Paragraph-Thesis"/>
    <w:basedOn w:val="Normal"/>
    <w:link w:val="PrrafodelistaCar"/>
    <w:uiPriority w:val="34"/>
    <w:qFormat/>
    <w:rsid w:val="00D41F45"/>
    <w:pPr>
      <w:ind w:left="708"/>
    </w:pPr>
  </w:style>
  <w:style w:type="paragraph" w:customStyle="1" w:styleId="NUMERADO">
    <w:name w:val="NUMERADO"/>
    <w:basedOn w:val="Normal"/>
    <w:autoRedefine/>
    <w:qFormat/>
    <w:rsid w:val="00870F2E"/>
    <w:pPr>
      <w:numPr>
        <w:numId w:val="2"/>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4C7265"/>
  </w:style>
  <w:style w:type="paragraph" w:styleId="Textodeglobo">
    <w:name w:val="Balloon Text"/>
    <w:basedOn w:val="Normal"/>
    <w:link w:val="TextodegloboCar"/>
    <w:uiPriority w:val="99"/>
    <w:semiHidden/>
    <w:unhideWhenUsed/>
    <w:rsid w:val="00FA11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13E"/>
    <w:rPr>
      <w:rFonts w:ascii="Segoe UI" w:hAnsi="Segoe UI" w:cs="Segoe UI"/>
      <w:sz w:val="18"/>
      <w:szCs w:val="18"/>
    </w:rPr>
  </w:style>
  <w:style w:type="table" w:customStyle="1" w:styleId="Tablaconcuadrcula3">
    <w:name w:val="Tabla con cuadrícula3"/>
    <w:basedOn w:val="Tablanormal"/>
    <w:next w:val="Tablaconcuadrcula"/>
    <w:uiPriority w:val="39"/>
    <w:rsid w:val="008647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E2FC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E2FC4"/>
    <w:pPr>
      <w:spacing w:line="259" w:lineRule="auto"/>
      <w:outlineLvl w:val="9"/>
    </w:pPr>
    <w:rPr>
      <w:lang w:eastAsia="es-MX"/>
    </w:rPr>
  </w:style>
  <w:style w:type="character" w:customStyle="1" w:styleId="Ttulo2Car">
    <w:name w:val="Título 2 Car"/>
    <w:basedOn w:val="Fuentedeprrafopredeter"/>
    <w:link w:val="Ttulo2"/>
    <w:uiPriority w:val="9"/>
    <w:rsid w:val="007E300A"/>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56399C"/>
    <w:pPr>
      <w:tabs>
        <w:tab w:val="right" w:leader="dot" w:pos="7694"/>
      </w:tabs>
    </w:pPr>
    <w:rPr>
      <w:sz w:val="18"/>
      <w:szCs w:val="18"/>
    </w:rPr>
  </w:style>
  <w:style w:type="paragraph" w:styleId="TDC2">
    <w:name w:val="toc 2"/>
    <w:basedOn w:val="Normal"/>
    <w:next w:val="Normal"/>
    <w:autoRedefine/>
    <w:uiPriority w:val="39"/>
    <w:unhideWhenUsed/>
    <w:rsid w:val="007E300A"/>
    <w:pPr>
      <w:spacing w:after="100"/>
      <w:ind w:left="200"/>
    </w:pPr>
  </w:style>
  <w:style w:type="character" w:styleId="Hipervnculo">
    <w:name w:val="Hyperlink"/>
    <w:basedOn w:val="Fuentedeprrafopredeter"/>
    <w:uiPriority w:val="99"/>
    <w:unhideWhenUsed/>
    <w:rsid w:val="007E300A"/>
    <w:rPr>
      <w:color w:val="0563C1" w:themeColor="hyperlink"/>
      <w:u w:val="single"/>
    </w:rPr>
  </w:style>
  <w:style w:type="paragraph" w:customStyle="1" w:styleId="numerados">
    <w:name w:val="numerados"/>
    <w:basedOn w:val="Normal"/>
    <w:qFormat/>
    <w:rsid w:val="00965D93"/>
    <w:pPr>
      <w:numPr>
        <w:numId w:val="4"/>
      </w:numPr>
      <w:spacing w:after="240" w:line="360" w:lineRule="auto"/>
      <w:ind w:left="0" w:firstLine="0"/>
      <w:jc w:val="both"/>
    </w:pPr>
    <w:rPr>
      <w:rFonts w:ascii="Univers" w:eastAsia="Times New Roman" w:hAnsi="Univers" w:cs="Times New Roman"/>
      <w:sz w:val="28"/>
      <w:szCs w:val="28"/>
    </w:rPr>
  </w:style>
  <w:style w:type="table" w:customStyle="1" w:styleId="Tablaconcuadrcula1">
    <w:name w:val="Tabla con cuadrícula1"/>
    <w:basedOn w:val="Tablanormal"/>
    <w:next w:val="Tablaconcuadrcula"/>
    <w:uiPriority w:val="39"/>
    <w:rsid w:val="00097C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F4C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w:basedOn w:val="Normal"/>
    <w:link w:val="NormalWebCar"/>
    <w:uiPriority w:val="99"/>
    <w:unhideWhenUsed/>
    <w:qFormat/>
    <w:rsid w:val="00F8339D"/>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32">
    <w:name w:val="Tabla con cuadrícula32"/>
    <w:basedOn w:val="Tablanormal"/>
    <w:next w:val="Tablaconcuadrcula"/>
    <w:uiPriority w:val="39"/>
    <w:rsid w:val="00B702C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link w:val="NormalWeb"/>
    <w:uiPriority w:val="99"/>
    <w:rsid w:val="001D582D"/>
    <w:rPr>
      <w:rFonts w:ascii="Times New Roman" w:eastAsia="Times New Roman" w:hAnsi="Times New Roman" w:cs="Times New Roman"/>
      <w:sz w:val="24"/>
      <w:szCs w:val="24"/>
      <w:lang w:eastAsia="es-MX"/>
    </w:rPr>
  </w:style>
  <w:style w:type="paragraph" w:customStyle="1" w:styleId="Normalsentencia">
    <w:name w:val="Normal sentencia"/>
    <w:basedOn w:val="Normal"/>
    <w:link w:val="NormalsentenciaCar"/>
    <w:qFormat/>
    <w:rsid w:val="000D257D"/>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0D257D"/>
    <w:rPr>
      <w:rFonts w:ascii="Univers" w:eastAsia="Times New Roman" w:hAnsi="Univers" w:cs="Arial"/>
      <w:sz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1FD9"/>
    <w:pPr>
      <w:jc w:val="both"/>
    </w:pPr>
    <w:rPr>
      <w:rFonts w:asciiTheme="minorHAnsi" w:hAnsiTheme="minorHAnsi"/>
      <w:sz w:val="22"/>
      <w:szCs w:val="22"/>
      <w:vertAlign w:val="superscript"/>
    </w:rPr>
  </w:style>
  <w:style w:type="character" w:styleId="Refdecomentario">
    <w:name w:val="annotation reference"/>
    <w:basedOn w:val="Fuentedeprrafopredeter"/>
    <w:uiPriority w:val="99"/>
    <w:semiHidden/>
    <w:unhideWhenUsed/>
    <w:rsid w:val="00087DE1"/>
    <w:rPr>
      <w:sz w:val="16"/>
      <w:szCs w:val="16"/>
    </w:rPr>
  </w:style>
  <w:style w:type="paragraph" w:styleId="Textocomentario">
    <w:name w:val="annotation text"/>
    <w:basedOn w:val="Normal"/>
    <w:link w:val="TextocomentarioCar"/>
    <w:uiPriority w:val="99"/>
    <w:semiHidden/>
    <w:unhideWhenUsed/>
    <w:rsid w:val="00087DE1"/>
  </w:style>
  <w:style w:type="character" w:customStyle="1" w:styleId="TextocomentarioCar">
    <w:name w:val="Texto comentario Car"/>
    <w:basedOn w:val="Fuentedeprrafopredeter"/>
    <w:link w:val="Textocomentario"/>
    <w:uiPriority w:val="99"/>
    <w:semiHidden/>
    <w:rsid w:val="00087DE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87DE1"/>
    <w:rPr>
      <w:b/>
      <w:bCs/>
    </w:rPr>
  </w:style>
  <w:style w:type="character" w:customStyle="1" w:styleId="AsuntodelcomentarioCar">
    <w:name w:val="Asunto del comentario Car"/>
    <w:basedOn w:val="TextocomentarioCar"/>
    <w:link w:val="Asuntodelcomentario"/>
    <w:uiPriority w:val="99"/>
    <w:semiHidden/>
    <w:rsid w:val="00087DE1"/>
    <w:rPr>
      <w:rFonts w:ascii="Arial" w:hAnsi="Arial"/>
      <w:b/>
      <w:bCs/>
      <w:sz w:val="20"/>
      <w:szCs w:val="20"/>
    </w:rPr>
  </w:style>
  <w:style w:type="character" w:customStyle="1" w:styleId="PrrafodelistaCar">
    <w:name w:val="Párrafo de lista Car"/>
    <w:aliases w:val="CNBV Parrafo1 Car,Párrafo de lista1 Car,Footnote Car,List Paragraph2 Car,List Paragraph1 Car,Colorful List - Accent 11 Car,Lista vistosa - Énfasis 11 Car,Parrafo 1 Car,Lista multicolor - Énfasis 11 Car,Cita texto Car"/>
    <w:link w:val="Prrafodelista"/>
    <w:uiPriority w:val="34"/>
    <w:qFormat/>
    <w:rsid w:val="00477427"/>
    <w:rPr>
      <w:rFonts w:ascii="Arial" w:hAnsi="Arial"/>
      <w:sz w:val="20"/>
      <w:szCs w:val="20"/>
    </w:rPr>
  </w:style>
  <w:style w:type="character" w:styleId="Textoennegrita">
    <w:name w:val="Strong"/>
    <w:basedOn w:val="Fuentedeprrafopredeter"/>
    <w:uiPriority w:val="22"/>
    <w:qFormat/>
    <w:rsid w:val="00D37044"/>
    <w:rPr>
      <w:b/>
      <w:bCs/>
    </w:rPr>
  </w:style>
  <w:style w:type="paragraph" w:styleId="Textonotaalfinal">
    <w:name w:val="endnote text"/>
    <w:basedOn w:val="Normal"/>
    <w:link w:val="TextonotaalfinalCar"/>
    <w:uiPriority w:val="99"/>
    <w:semiHidden/>
    <w:unhideWhenUsed/>
    <w:rsid w:val="0018035E"/>
  </w:style>
  <w:style w:type="character" w:customStyle="1" w:styleId="TextonotaalfinalCar">
    <w:name w:val="Texto nota al final Car"/>
    <w:basedOn w:val="Fuentedeprrafopredeter"/>
    <w:link w:val="Textonotaalfinal"/>
    <w:uiPriority w:val="99"/>
    <w:semiHidden/>
    <w:rsid w:val="0018035E"/>
    <w:rPr>
      <w:rFonts w:ascii="Arial" w:hAnsi="Arial"/>
      <w:sz w:val="20"/>
      <w:szCs w:val="20"/>
    </w:rPr>
  </w:style>
  <w:style w:type="character" w:styleId="Refdenotaalfinal">
    <w:name w:val="endnote reference"/>
    <w:basedOn w:val="Fuentedeprrafopredeter"/>
    <w:uiPriority w:val="99"/>
    <w:semiHidden/>
    <w:unhideWhenUsed/>
    <w:rsid w:val="0018035E"/>
    <w:rPr>
      <w:vertAlign w:val="superscript"/>
    </w:rPr>
  </w:style>
  <w:style w:type="character" w:styleId="Mencinsinresolver">
    <w:name w:val="Unresolved Mention"/>
    <w:basedOn w:val="Fuentedeprrafopredeter"/>
    <w:uiPriority w:val="99"/>
    <w:semiHidden/>
    <w:unhideWhenUsed/>
    <w:rsid w:val="00BF75B1"/>
    <w:rPr>
      <w:color w:val="605E5C"/>
      <w:shd w:val="clear" w:color="auto" w:fill="E1DFDD"/>
    </w:rPr>
  </w:style>
  <w:style w:type="character" w:styleId="Hipervnculovisitado">
    <w:name w:val="FollowedHyperlink"/>
    <w:basedOn w:val="Fuentedeprrafopredeter"/>
    <w:uiPriority w:val="99"/>
    <w:semiHidden/>
    <w:unhideWhenUsed/>
    <w:rsid w:val="002D5925"/>
    <w:rPr>
      <w:color w:val="954F72" w:themeColor="followedHyperlink"/>
      <w:u w:val="single"/>
    </w:rPr>
  </w:style>
  <w:style w:type="paragraph" w:customStyle="1" w:styleId="Estilo">
    <w:name w:val="Estilo"/>
    <w:basedOn w:val="Sinespaciado"/>
    <w:link w:val="EstiloCar"/>
    <w:qFormat/>
    <w:rsid w:val="00811D27"/>
    <w:pPr>
      <w:jc w:val="both"/>
    </w:pPr>
    <w:rPr>
      <w:sz w:val="24"/>
      <w:szCs w:val="22"/>
    </w:rPr>
  </w:style>
  <w:style w:type="character" w:customStyle="1" w:styleId="EstiloCar">
    <w:name w:val="Estilo Car"/>
    <w:basedOn w:val="Fuentedeprrafopredeter"/>
    <w:link w:val="Estilo"/>
    <w:rsid w:val="00811D27"/>
    <w:rPr>
      <w:rFonts w:ascii="Arial" w:hAnsi="Arial"/>
      <w:sz w:val="24"/>
    </w:rPr>
  </w:style>
  <w:style w:type="paragraph" w:styleId="Sinespaciado">
    <w:name w:val="No Spacing"/>
    <w:uiPriority w:val="1"/>
    <w:qFormat/>
    <w:rsid w:val="00811D27"/>
    <w:pPr>
      <w:spacing w:after="0" w:line="240" w:lineRule="auto"/>
    </w:pPr>
    <w:rPr>
      <w:rFonts w:ascii="Arial" w:hAnsi="Arial"/>
      <w:sz w:val="20"/>
      <w:szCs w:val="20"/>
    </w:rPr>
  </w:style>
  <w:style w:type="character" w:customStyle="1" w:styleId="red">
    <w:name w:val="red"/>
    <w:basedOn w:val="Fuentedeprrafopredeter"/>
    <w:rsid w:val="002347E4"/>
  </w:style>
  <w:style w:type="paragraph" w:customStyle="1" w:styleId="corte4fondo">
    <w:name w:val="corte4 fondo"/>
    <w:basedOn w:val="Normal"/>
    <w:link w:val="corte4fondoCar1"/>
    <w:qFormat/>
    <w:rsid w:val="00AA67DC"/>
    <w:pPr>
      <w:spacing w:line="360" w:lineRule="auto"/>
      <w:ind w:firstLine="709"/>
      <w:jc w:val="both"/>
    </w:pPr>
    <w:rPr>
      <w:rFonts w:eastAsia="Times New Roman" w:cs="Times New Roman"/>
      <w:sz w:val="30"/>
      <w:lang w:val="es-ES_tradnl" w:eastAsia="es-MX"/>
    </w:rPr>
  </w:style>
  <w:style w:type="character" w:customStyle="1" w:styleId="corte4fondoCar1">
    <w:name w:val="corte4 fondo Car1"/>
    <w:link w:val="corte4fondo"/>
    <w:rsid w:val="00AA67DC"/>
    <w:rPr>
      <w:rFonts w:ascii="Arial" w:eastAsia="Times New Roman" w:hAnsi="Arial" w:cs="Times New Roman"/>
      <w:sz w:val="30"/>
      <w:szCs w:val="20"/>
      <w:lang w:val="es-ES_tradnl" w:eastAsia="es-MX"/>
    </w:rPr>
  </w:style>
  <w:style w:type="paragraph" w:styleId="TDC3">
    <w:name w:val="toc 3"/>
    <w:basedOn w:val="Normal"/>
    <w:next w:val="Normal"/>
    <w:autoRedefine/>
    <w:uiPriority w:val="39"/>
    <w:unhideWhenUsed/>
    <w:rsid w:val="00F30331"/>
    <w:pPr>
      <w:spacing w:after="100"/>
      <w:ind w:left="400"/>
    </w:pPr>
  </w:style>
  <w:style w:type="paragraph" w:styleId="Revisin">
    <w:name w:val="Revision"/>
    <w:hidden/>
    <w:uiPriority w:val="99"/>
    <w:semiHidden/>
    <w:rsid w:val="009F089C"/>
    <w:pPr>
      <w:spacing w:after="0" w:line="240" w:lineRule="auto"/>
    </w:pPr>
    <w:rPr>
      <w:rFonts w:ascii="Arial" w:hAnsi="Arial"/>
      <w:sz w:val="20"/>
      <w:szCs w:val="20"/>
    </w:rPr>
  </w:style>
  <w:style w:type="character" w:customStyle="1" w:styleId="lbl-encabezado-negro">
    <w:name w:val="lbl-encabezado-negro"/>
    <w:basedOn w:val="Fuentedeprrafopredeter"/>
    <w:rsid w:val="007B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332">
      <w:bodyDiv w:val="1"/>
      <w:marLeft w:val="0"/>
      <w:marRight w:val="0"/>
      <w:marTop w:val="0"/>
      <w:marBottom w:val="0"/>
      <w:divBdr>
        <w:top w:val="none" w:sz="0" w:space="0" w:color="auto"/>
        <w:left w:val="none" w:sz="0" w:space="0" w:color="auto"/>
        <w:bottom w:val="none" w:sz="0" w:space="0" w:color="auto"/>
        <w:right w:val="none" w:sz="0" w:space="0" w:color="auto"/>
      </w:divBdr>
    </w:div>
    <w:div w:id="50229296">
      <w:bodyDiv w:val="1"/>
      <w:marLeft w:val="0"/>
      <w:marRight w:val="0"/>
      <w:marTop w:val="0"/>
      <w:marBottom w:val="0"/>
      <w:divBdr>
        <w:top w:val="none" w:sz="0" w:space="0" w:color="auto"/>
        <w:left w:val="none" w:sz="0" w:space="0" w:color="auto"/>
        <w:bottom w:val="none" w:sz="0" w:space="0" w:color="auto"/>
        <w:right w:val="none" w:sz="0" w:space="0" w:color="auto"/>
      </w:divBdr>
    </w:div>
    <w:div w:id="57872551">
      <w:bodyDiv w:val="1"/>
      <w:marLeft w:val="0"/>
      <w:marRight w:val="0"/>
      <w:marTop w:val="0"/>
      <w:marBottom w:val="0"/>
      <w:divBdr>
        <w:top w:val="none" w:sz="0" w:space="0" w:color="auto"/>
        <w:left w:val="none" w:sz="0" w:space="0" w:color="auto"/>
        <w:bottom w:val="none" w:sz="0" w:space="0" w:color="auto"/>
        <w:right w:val="none" w:sz="0" w:space="0" w:color="auto"/>
      </w:divBdr>
    </w:div>
    <w:div w:id="89588731">
      <w:bodyDiv w:val="1"/>
      <w:marLeft w:val="0"/>
      <w:marRight w:val="0"/>
      <w:marTop w:val="0"/>
      <w:marBottom w:val="0"/>
      <w:divBdr>
        <w:top w:val="none" w:sz="0" w:space="0" w:color="auto"/>
        <w:left w:val="none" w:sz="0" w:space="0" w:color="auto"/>
        <w:bottom w:val="none" w:sz="0" w:space="0" w:color="auto"/>
        <w:right w:val="none" w:sz="0" w:space="0" w:color="auto"/>
      </w:divBdr>
    </w:div>
    <w:div w:id="121926721">
      <w:bodyDiv w:val="1"/>
      <w:marLeft w:val="0"/>
      <w:marRight w:val="0"/>
      <w:marTop w:val="0"/>
      <w:marBottom w:val="0"/>
      <w:divBdr>
        <w:top w:val="none" w:sz="0" w:space="0" w:color="auto"/>
        <w:left w:val="none" w:sz="0" w:space="0" w:color="auto"/>
        <w:bottom w:val="none" w:sz="0" w:space="0" w:color="auto"/>
        <w:right w:val="none" w:sz="0" w:space="0" w:color="auto"/>
      </w:divBdr>
    </w:div>
    <w:div w:id="128596118">
      <w:bodyDiv w:val="1"/>
      <w:marLeft w:val="0"/>
      <w:marRight w:val="0"/>
      <w:marTop w:val="0"/>
      <w:marBottom w:val="0"/>
      <w:divBdr>
        <w:top w:val="none" w:sz="0" w:space="0" w:color="auto"/>
        <w:left w:val="none" w:sz="0" w:space="0" w:color="auto"/>
        <w:bottom w:val="none" w:sz="0" w:space="0" w:color="auto"/>
        <w:right w:val="none" w:sz="0" w:space="0" w:color="auto"/>
      </w:divBdr>
    </w:div>
    <w:div w:id="292173420">
      <w:bodyDiv w:val="1"/>
      <w:marLeft w:val="0"/>
      <w:marRight w:val="0"/>
      <w:marTop w:val="0"/>
      <w:marBottom w:val="0"/>
      <w:divBdr>
        <w:top w:val="none" w:sz="0" w:space="0" w:color="auto"/>
        <w:left w:val="none" w:sz="0" w:space="0" w:color="auto"/>
        <w:bottom w:val="none" w:sz="0" w:space="0" w:color="auto"/>
        <w:right w:val="none" w:sz="0" w:space="0" w:color="auto"/>
      </w:divBdr>
    </w:div>
    <w:div w:id="354814719">
      <w:bodyDiv w:val="1"/>
      <w:marLeft w:val="0"/>
      <w:marRight w:val="0"/>
      <w:marTop w:val="0"/>
      <w:marBottom w:val="0"/>
      <w:divBdr>
        <w:top w:val="none" w:sz="0" w:space="0" w:color="auto"/>
        <w:left w:val="none" w:sz="0" w:space="0" w:color="auto"/>
        <w:bottom w:val="none" w:sz="0" w:space="0" w:color="auto"/>
        <w:right w:val="none" w:sz="0" w:space="0" w:color="auto"/>
      </w:divBdr>
    </w:div>
    <w:div w:id="365300947">
      <w:bodyDiv w:val="1"/>
      <w:marLeft w:val="0"/>
      <w:marRight w:val="0"/>
      <w:marTop w:val="0"/>
      <w:marBottom w:val="0"/>
      <w:divBdr>
        <w:top w:val="none" w:sz="0" w:space="0" w:color="auto"/>
        <w:left w:val="none" w:sz="0" w:space="0" w:color="auto"/>
        <w:bottom w:val="none" w:sz="0" w:space="0" w:color="auto"/>
        <w:right w:val="none" w:sz="0" w:space="0" w:color="auto"/>
      </w:divBdr>
    </w:div>
    <w:div w:id="500896441">
      <w:bodyDiv w:val="1"/>
      <w:marLeft w:val="0"/>
      <w:marRight w:val="0"/>
      <w:marTop w:val="0"/>
      <w:marBottom w:val="0"/>
      <w:divBdr>
        <w:top w:val="none" w:sz="0" w:space="0" w:color="auto"/>
        <w:left w:val="none" w:sz="0" w:space="0" w:color="auto"/>
        <w:bottom w:val="none" w:sz="0" w:space="0" w:color="auto"/>
        <w:right w:val="none" w:sz="0" w:space="0" w:color="auto"/>
      </w:divBdr>
    </w:div>
    <w:div w:id="523129562">
      <w:bodyDiv w:val="1"/>
      <w:marLeft w:val="0"/>
      <w:marRight w:val="0"/>
      <w:marTop w:val="0"/>
      <w:marBottom w:val="0"/>
      <w:divBdr>
        <w:top w:val="none" w:sz="0" w:space="0" w:color="auto"/>
        <w:left w:val="none" w:sz="0" w:space="0" w:color="auto"/>
        <w:bottom w:val="none" w:sz="0" w:space="0" w:color="auto"/>
        <w:right w:val="none" w:sz="0" w:space="0" w:color="auto"/>
      </w:divBdr>
    </w:div>
    <w:div w:id="553270801">
      <w:bodyDiv w:val="1"/>
      <w:marLeft w:val="0"/>
      <w:marRight w:val="0"/>
      <w:marTop w:val="0"/>
      <w:marBottom w:val="0"/>
      <w:divBdr>
        <w:top w:val="none" w:sz="0" w:space="0" w:color="auto"/>
        <w:left w:val="none" w:sz="0" w:space="0" w:color="auto"/>
        <w:bottom w:val="none" w:sz="0" w:space="0" w:color="auto"/>
        <w:right w:val="none" w:sz="0" w:space="0" w:color="auto"/>
      </w:divBdr>
    </w:div>
    <w:div w:id="553859349">
      <w:bodyDiv w:val="1"/>
      <w:marLeft w:val="0"/>
      <w:marRight w:val="0"/>
      <w:marTop w:val="0"/>
      <w:marBottom w:val="0"/>
      <w:divBdr>
        <w:top w:val="none" w:sz="0" w:space="0" w:color="auto"/>
        <w:left w:val="none" w:sz="0" w:space="0" w:color="auto"/>
        <w:bottom w:val="none" w:sz="0" w:space="0" w:color="auto"/>
        <w:right w:val="none" w:sz="0" w:space="0" w:color="auto"/>
      </w:divBdr>
      <w:divsChild>
        <w:div w:id="306863807">
          <w:marLeft w:val="0"/>
          <w:marRight w:val="0"/>
          <w:marTop w:val="0"/>
          <w:marBottom w:val="101"/>
          <w:divBdr>
            <w:top w:val="none" w:sz="0" w:space="0" w:color="auto"/>
            <w:left w:val="none" w:sz="0" w:space="0" w:color="auto"/>
            <w:bottom w:val="none" w:sz="0" w:space="0" w:color="auto"/>
            <w:right w:val="none" w:sz="0" w:space="0" w:color="auto"/>
          </w:divBdr>
        </w:div>
        <w:div w:id="768353738">
          <w:marLeft w:val="0"/>
          <w:marRight w:val="0"/>
          <w:marTop w:val="0"/>
          <w:marBottom w:val="101"/>
          <w:divBdr>
            <w:top w:val="none" w:sz="0" w:space="0" w:color="auto"/>
            <w:left w:val="none" w:sz="0" w:space="0" w:color="auto"/>
            <w:bottom w:val="none" w:sz="0" w:space="0" w:color="auto"/>
            <w:right w:val="none" w:sz="0" w:space="0" w:color="auto"/>
          </w:divBdr>
        </w:div>
        <w:div w:id="840585419">
          <w:marLeft w:val="0"/>
          <w:marRight w:val="0"/>
          <w:marTop w:val="0"/>
          <w:marBottom w:val="101"/>
          <w:divBdr>
            <w:top w:val="none" w:sz="0" w:space="0" w:color="auto"/>
            <w:left w:val="none" w:sz="0" w:space="0" w:color="auto"/>
            <w:bottom w:val="none" w:sz="0" w:space="0" w:color="auto"/>
            <w:right w:val="none" w:sz="0" w:space="0" w:color="auto"/>
          </w:divBdr>
        </w:div>
        <w:div w:id="1031297280">
          <w:marLeft w:val="0"/>
          <w:marRight w:val="0"/>
          <w:marTop w:val="0"/>
          <w:marBottom w:val="101"/>
          <w:divBdr>
            <w:top w:val="none" w:sz="0" w:space="0" w:color="auto"/>
            <w:left w:val="none" w:sz="0" w:space="0" w:color="auto"/>
            <w:bottom w:val="none" w:sz="0" w:space="0" w:color="auto"/>
            <w:right w:val="none" w:sz="0" w:space="0" w:color="auto"/>
          </w:divBdr>
        </w:div>
        <w:div w:id="1053773611">
          <w:marLeft w:val="0"/>
          <w:marRight w:val="0"/>
          <w:marTop w:val="0"/>
          <w:marBottom w:val="101"/>
          <w:divBdr>
            <w:top w:val="none" w:sz="0" w:space="0" w:color="auto"/>
            <w:left w:val="none" w:sz="0" w:space="0" w:color="auto"/>
            <w:bottom w:val="none" w:sz="0" w:space="0" w:color="auto"/>
            <w:right w:val="none" w:sz="0" w:space="0" w:color="auto"/>
          </w:divBdr>
        </w:div>
        <w:div w:id="1143888216">
          <w:marLeft w:val="0"/>
          <w:marRight w:val="0"/>
          <w:marTop w:val="0"/>
          <w:marBottom w:val="101"/>
          <w:divBdr>
            <w:top w:val="none" w:sz="0" w:space="0" w:color="auto"/>
            <w:left w:val="none" w:sz="0" w:space="0" w:color="auto"/>
            <w:bottom w:val="none" w:sz="0" w:space="0" w:color="auto"/>
            <w:right w:val="none" w:sz="0" w:space="0" w:color="auto"/>
          </w:divBdr>
        </w:div>
        <w:div w:id="1264146099">
          <w:marLeft w:val="0"/>
          <w:marRight w:val="0"/>
          <w:marTop w:val="0"/>
          <w:marBottom w:val="101"/>
          <w:divBdr>
            <w:top w:val="none" w:sz="0" w:space="0" w:color="auto"/>
            <w:left w:val="none" w:sz="0" w:space="0" w:color="auto"/>
            <w:bottom w:val="none" w:sz="0" w:space="0" w:color="auto"/>
            <w:right w:val="none" w:sz="0" w:space="0" w:color="auto"/>
          </w:divBdr>
        </w:div>
        <w:div w:id="1759599250">
          <w:marLeft w:val="0"/>
          <w:marRight w:val="0"/>
          <w:marTop w:val="0"/>
          <w:marBottom w:val="101"/>
          <w:divBdr>
            <w:top w:val="none" w:sz="0" w:space="0" w:color="auto"/>
            <w:left w:val="none" w:sz="0" w:space="0" w:color="auto"/>
            <w:bottom w:val="none" w:sz="0" w:space="0" w:color="auto"/>
            <w:right w:val="none" w:sz="0" w:space="0" w:color="auto"/>
          </w:divBdr>
        </w:div>
        <w:div w:id="2078354871">
          <w:marLeft w:val="0"/>
          <w:marRight w:val="0"/>
          <w:marTop w:val="0"/>
          <w:marBottom w:val="101"/>
          <w:divBdr>
            <w:top w:val="none" w:sz="0" w:space="0" w:color="auto"/>
            <w:left w:val="none" w:sz="0" w:space="0" w:color="auto"/>
            <w:bottom w:val="none" w:sz="0" w:space="0" w:color="auto"/>
            <w:right w:val="none" w:sz="0" w:space="0" w:color="auto"/>
          </w:divBdr>
        </w:div>
      </w:divsChild>
    </w:div>
    <w:div w:id="562374822">
      <w:bodyDiv w:val="1"/>
      <w:marLeft w:val="0"/>
      <w:marRight w:val="0"/>
      <w:marTop w:val="0"/>
      <w:marBottom w:val="0"/>
      <w:divBdr>
        <w:top w:val="none" w:sz="0" w:space="0" w:color="auto"/>
        <w:left w:val="none" w:sz="0" w:space="0" w:color="auto"/>
        <w:bottom w:val="none" w:sz="0" w:space="0" w:color="auto"/>
        <w:right w:val="none" w:sz="0" w:space="0" w:color="auto"/>
      </w:divBdr>
    </w:div>
    <w:div w:id="589704372">
      <w:bodyDiv w:val="1"/>
      <w:marLeft w:val="0"/>
      <w:marRight w:val="0"/>
      <w:marTop w:val="0"/>
      <w:marBottom w:val="0"/>
      <w:divBdr>
        <w:top w:val="none" w:sz="0" w:space="0" w:color="auto"/>
        <w:left w:val="none" w:sz="0" w:space="0" w:color="auto"/>
        <w:bottom w:val="none" w:sz="0" w:space="0" w:color="auto"/>
        <w:right w:val="none" w:sz="0" w:space="0" w:color="auto"/>
      </w:divBdr>
      <w:divsChild>
        <w:div w:id="537085308">
          <w:marLeft w:val="0"/>
          <w:marRight w:val="0"/>
          <w:marTop w:val="0"/>
          <w:marBottom w:val="101"/>
          <w:divBdr>
            <w:top w:val="none" w:sz="0" w:space="0" w:color="auto"/>
            <w:left w:val="none" w:sz="0" w:space="0" w:color="auto"/>
            <w:bottom w:val="none" w:sz="0" w:space="0" w:color="auto"/>
            <w:right w:val="none" w:sz="0" w:space="0" w:color="auto"/>
          </w:divBdr>
        </w:div>
        <w:div w:id="813105900">
          <w:marLeft w:val="0"/>
          <w:marRight w:val="0"/>
          <w:marTop w:val="0"/>
          <w:marBottom w:val="101"/>
          <w:divBdr>
            <w:top w:val="none" w:sz="0" w:space="0" w:color="auto"/>
            <w:left w:val="none" w:sz="0" w:space="0" w:color="auto"/>
            <w:bottom w:val="none" w:sz="0" w:space="0" w:color="auto"/>
            <w:right w:val="none" w:sz="0" w:space="0" w:color="auto"/>
          </w:divBdr>
        </w:div>
        <w:div w:id="1678770787">
          <w:marLeft w:val="0"/>
          <w:marRight w:val="0"/>
          <w:marTop w:val="0"/>
          <w:marBottom w:val="80"/>
          <w:divBdr>
            <w:top w:val="none" w:sz="0" w:space="0" w:color="auto"/>
            <w:left w:val="none" w:sz="0" w:space="0" w:color="auto"/>
            <w:bottom w:val="none" w:sz="0" w:space="0" w:color="auto"/>
            <w:right w:val="none" w:sz="0" w:space="0" w:color="auto"/>
          </w:divBdr>
        </w:div>
      </w:divsChild>
    </w:div>
    <w:div w:id="718476745">
      <w:bodyDiv w:val="1"/>
      <w:marLeft w:val="0"/>
      <w:marRight w:val="0"/>
      <w:marTop w:val="0"/>
      <w:marBottom w:val="0"/>
      <w:divBdr>
        <w:top w:val="none" w:sz="0" w:space="0" w:color="auto"/>
        <w:left w:val="none" w:sz="0" w:space="0" w:color="auto"/>
        <w:bottom w:val="none" w:sz="0" w:space="0" w:color="auto"/>
        <w:right w:val="none" w:sz="0" w:space="0" w:color="auto"/>
      </w:divBdr>
    </w:div>
    <w:div w:id="841554188">
      <w:bodyDiv w:val="1"/>
      <w:marLeft w:val="0"/>
      <w:marRight w:val="0"/>
      <w:marTop w:val="0"/>
      <w:marBottom w:val="0"/>
      <w:divBdr>
        <w:top w:val="none" w:sz="0" w:space="0" w:color="auto"/>
        <w:left w:val="none" w:sz="0" w:space="0" w:color="auto"/>
        <w:bottom w:val="none" w:sz="0" w:space="0" w:color="auto"/>
        <w:right w:val="none" w:sz="0" w:space="0" w:color="auto"/>
      </w:divBdr>
    </w:div>
    <w:div w:id="908077528">
      <w:bodyDiv w:val="1"/>
      <w:marLeft w:val="0"/>
      <w:marRight w:val="0"/>
      <w:marTop w:val="0"/>
      <w:marBottom w:val="0"/>
      <w:divBdr>
        <w:top w:val="none" w:sz="0" w:space="0" w:color="auto"/>
        <w:left w:val="none" w:sz="0" w:space="0" w:color="auto"/>
        <w:bottom w:val="none" w:sz="0" w:space="0" w:color="auto"/>
        <w:right w:val="none" w:sz="0" w:space="0" w:color="auto"/>
      </w:divBdr>
    </w:div>
    <w:div w:id="936406941">
      <w:bodyDiv w:val="1"/>
      <w:marLeft w:val="0"/>
      <w:marRight w:val="0"/>
      <w:marTop w:val="0"/>
      <w:marBottom w:val="0"/>
      <w:divBdr>
        <w:top w:val="none" w:sz="0" w:space="0" w:color="auto"/>
        <w:left w:val="none" w:sz="0" w:space="0" w:color="auto"/>
        <w:bottom w:val="none" w:sz="0" w:space="0" w:color="auto"/>
        <w:right w:val="none" w:sz="0" w:space="0" w:color="auto"/>
      </w:divBdr>
      <w:divsChild>
        <w:div w:id="1323849630">
          <w:marLeft w:val="0"/>
          <w:marRight w:val="0"/>
          <w:marTop w:val="0"/>
          <w:marBottom w:val="101"/>
          <w:divBdr>
            <w:top w:val="none" w:sz="0" w:space="0" w:color="auto"/>
            <w:left w:val="none" w:sz="0" w:space="0" w:color="auto"/>
            <w:bottom w:val="none" w:sz="0" w:space="0" w:color="auto"/>
            <w:right w:val="none" w:sz="0" w:space="0" w:color="auto"/>
          </w:divBdr>
        </w:div>
        <w:div w:id="1672488454">
          <w:marLeft w:val="0"/>
          <w:marRight w:val="0"/>
          <w:marTop w:val="0"/>
          <w:marBottom w:val="101"/>
          <w:divBdr>
            <w:top w:val="none" w:sz="0" w:space="0" w:color="auto"/>
            <w:left w:val="none" w:sz="0" w:space="0" w:color="auto"/>
            <w:bottom w:val="none" w:sz="0" w:space="0" w:color="auto"/>
            <w:right w:val="none" w:sz="0" w:space="0" w:color="auto"/>
          </w:divBdr>
        </w:div>
        <w:div w:id="1799061397">
          <w:marLeft w:val="0"/>
          <w:marRight w:val="0"/>
          <w:marTop w:val="0"/>
          <w:marBottom w:val="101"/>
          <w:divBdr>
            <w:top w:val="none" w:sz="0" w:space="0" w:color="auto"/>
            <w:left w:val="none" w:sz="0" w:space="0" w:color="auto"/>
            <w:bottom w:val="none" w:sz="0" w:space="0" w:color="auto"/>
            <w:right w:val="none" w:sz="0" w:space="0" w:color="auto"/>
          </w:divBdr>
        </w:div>
      </w:divsChild>
    </w:div>
    <w:div w:id="990400203">
      <w:bodyDiv w:val="1"/>
      <w:marLeft w:val="0"/>
      <w:marRight w:val="0"/>
      <w:marTop w:val="0"/>
      <w:marBottom w:val="0"/>
      <w:divBdr>
        <w:top w:val="none" w:sz="0" w:space="0" w:color="auto"/>
        <w:left w:val="none" w:sz="0" w:space="0" w:color="auto"/>
        <w:bottom w:val="none" w:sz="0" w:space="0" w:color="auto"/>
        <w:right w:val="none" w:sz="0" w:space="0" w:color="auto"/>
      </w:divBdr>
    </w:div>
    <w:div w:id="1049308788">
      <w:bodyDiv w:val="1"/>
      <w:marLeft w:val="0"/>
      <w:marRight w:val="0"/>
      <w:marTop w:val="0"/>
      <w:marBottom w:val="0"/>
      <w:divBdr>
        <w:top w:val="none" w:sz="0" w:space="0" w:color="auto"/>
        <w:left w:val="none" w:sz="0" w:space="0" w:color="auto"/>
        <w:bottom w:val="none" w:sz="0" w:space="0" w:color="auto"/>
        <w:right w:val="none" w:sz="0" w:space="0" w:color="auto"/>
      </w:divBdr>
    </w:div>
    <w:div w:id="1053045724">
      <w:bodyDiv w:val="1"/>
      <w:marLeft w:val="0"/>
      <w:marRight w:val="0"/>
      <w:marTop w:val="0"/>
      <w:marBottom w:val="0"/>
      <w:divBdr>
        <w:top w:val="none" w:sz="0" w:space="0" w:color="auto"/>
        <w:left w:val="none" w:sz="0" w:space="0" w:color="auto"/>
        <w:bottom w:val="none" w:sz="0" w:space="0" w:color="auto"/>
        <w:right w:val="none" w:sz="0" w:space="0" w:color="auto"/>
      </w:divBdr>
    </w:div>
    <w:div w:id="1116173526">
      <w:bodyDiv w:val="1"/>
      <w:marLeft w:val="0"/>
      <w:marRight w:val="0"/>
      <w:marTop w:val="0"/>
      <w:marBottom w:val="0"/>
      <w:divBdr>
        <w:top w:val="none" w:sz="0" w:space="0" w:color="auto"/>
        <w:left w:val="none" w:sz="0" w:space="0" w:color="auto"/>
        <w:bottom w:val="none" w:sz="0" w:space="0" w:color="auto"/>
        <w:right w:val="none" w:sz="0" w:space="0" w:color="auto"/>
      </w:divBdr>
    </w:div>
    <w:div w:id="1160391049">
      <w:bodyDiv w:val="1"/>
      <w:marLeft w:val="0"/>
      <w:marRight w:val="0"/>
      <w:marTop w:val="0"/>
      <w:marBottom w:val="0"/>
      <w:divBdr>
        <w:top w:val="none" w:sz="0" w:space="0" w:color="auto"/>
        <w:left w:val="none" w:sz="0" w:space="0" w:color="auto"/>
        <w:bottom w:val="none" w:sz="0" w:space="0" w:color="auto"/>
        <w:right w:val="none" w:sz="0" w:space="0" w:color="auto"/>
      </w:divBdr>
    </w:div>
    <w:div w:id="1408383276">
      <w:bodyDiv w:val="1"/>
      <w:marLeft w:val="0"/>
      <w:marRight w:val="0"/>
      <w:marTop w:val="0"/>
      <w:marBottom w:val="0"/>
      <w:divBdr>
        <w:top w:val="none" w:sz="0" w:space="0" w:color="auto"/>
        <w:left w:val="none" w:sz="0" w:space="0" w:color="auto"/>
        <w:bottom w:val="none" w:sz="0" w:space="0" w:color="auto"/>
        <w:right w:val="none" w:sz="0" w:space="0" w:color="auto"/>
      </w:divBdr>
    </w:div>
    <w:div w:id="1715808569">
      <w:bodyDiv w:val="1"/>
      <w:marLeft w:val="0"/>
      <w:marRight w:val="0"/>
      <w:marTop w:val="0"/>
      <w:marBottom w:val="0"/>
      <w:divBdr>
        <w:top w:val="none" w:sz="0" w:space="0" w:color="auto"/>
        <w:left w:val="none" w:sz="0" w:space="0" w:color="auto"/>
        <w:bottom w:val="none" w:sz="0" w:space="0" w:color="auto"/>
        <w:right w:val="none" w:sz="0" w:space="0" w:color="auto"/>
      </w:divBdr>
    </w:div>
    <w:div w:id="1716539585">
      <w:bodyDiv w:val="1"/>
      <w:marLeft w:val="0"/>
      <w:marRight w:val="0"/>
      <w:marTop w:val="0"/>
      <w:marBottom w:val="0"/>
      <w:divBdr>
        <w:top w:val="none" w:sz="0" w:space="0" w:color="auto"/>
        <w:left w:val="none" w:sz="0" w:space="0" w:color="auto"/>
        <w:bottom w:val="none" w:sz="0" w:space="0" w:color="auto"/>
        <w:right w:val="none" w:sz="0" w:space="0" w:color="auto"/>
      </w:divBdr>
      <w:divsChild>
        <w:div w:id="39209391">
          <w:marLeft w:val="0"/>
          <w:marRight w:val="0"/>
          <w:marTop w:val="0"/>
          <w:marBottom w:val="80"/>
          <w:divBdr>
            <w:top w:val="none" w:sz="0" w:space="0" w:color="auto"/>
            <w:left w:val="none" w:sz="0" w:space="0" w:color="auto"/>
            <w:bottom w:val="none" w:sz="0" w:space="0" w:color="auto"/>
            <w:right w:val="none" w:sz="0" w:space="0" w:color="auto"/>
          </w:divBdr>
        </w:div>
        <w:div w:id="82802826">
          <w:marLeft w:val="0"/>
          <w:marRight w:val="0"/>
          <w:marTop w:val="0"/>
          <w:marBottom w:val="101"/>
          <w:divBdr>
            <w:top w:val="none" w:sz="0" w:space="0" w:color="auto"/>
            <w:left w:val="none" w:sz="0" w:space="0" w:color="auto"/>
            <w:bottom w:val="none" w:sz="0" w:space="0" w:color="auto"/>
            <w:right w:val="none" w:sz="0" w:space="0" w:color="auto"/>
          </w:divBdr>
        </w:div>
        <w:div w:id="180513915">
          <w:marLeft w:val="0"/>
          <w:marRight w:val="0"/>
          <w:marTop w:val="0"/>
          <w:marBottom w:val="101"/>
          <w:divBdr>
            <w:top w:val="none" w:sz="0" w:space="0" w:color="auto"/>
            <w:left w:val="none" w:sz="0" w:space="0" w:color="auto"/>
            <w:bottom w:val="none" w:sz="0" w:space="0" w:color="auto"/>
            <w:right w:val="none" w:sz="0" w:space="0" w:color="auto"/>
          </w:divBdr>
        </w:div>
        <w:div w:id="184943563">
          <w:marLeft w:val="0"/>
          <w:marRight w:val="0"/>
          <w:marTop w:val="0"/>
          <w:marBottom w:val="101"/>
          <w:divBdr>
            <w:top w:val="none" w:sz="0" w:space="0" w:color="auto"/>
            <w:left w:val="none" w:sz="0" w:space="0" w:color="auto"/>
            <w:bottom w:val="none" w:sz="0" w:space="0" w:color="auto"/>
            <w:right w:val="none" w:sz="0" w:space="0" w:color="auto"/>
          </w:divBdr>
        </w:div>
        <w:div w:id="324283676">
          <w:marLeft w:val="0"/>
          <w:marRight w:val="0"/>
          <w:marTop w:val="0"/>
          <w:marBottom w:val="86"/>
          <w:divBdr>
            <w:top w:val="none" w:sz="0" w:space="0" w:color="auto"/>
            <w:left w:val="none" w:sz="0" w:space="0" w:color="auto"/>
            <w:bottom w:val="none" w:sz="0" w:space="0" w:color="auto"/>
            <w:right w:val="none" w:sz="0" w:space="0" w:color="auto"/>
          </w:divBdr>
        </w:div>
        <w:div w:id="418872260">
          <w:marLeft w:val="0"/>
          <w:marRight w:val="0"/>
          <w:marTop w:val="0"/>
          <w:marBottom w:val="101"/>
          <w:divBdr>
            <w:top w:val="none" w:sz="0" w:space="0" w:color="auto"/>
            <w:left w:val="none" w:sz="0" w:space="0" w:color="auto"/>
            <w:bottom w:val="none" w:sz="0" w:space="0" w:color="auto"/>
            <w:right w:val="none" w:sz="0" w:space="0" w:color="auto"/>
          </w:divBdr>
        </w:div>
        <w:div w:id="446631569">
          <w:marLeft w:val="0"/>
          <w:marRight w:val="0"/>
          <w:marTop w:val="0"/>
          <w:marBottom w:val="101"/>
          <w:divBdr>
            <w:top w:val="none" w:sz="0" w:space="0" w:color="auto"/>
            <w:left w:val="none" w:sz="0" w:space="0" w:color="auto"/>
            <w:bottom w:val="none" w:sz="0" w:space="0" w:color="auto"/>
            <w:right w:val="none" w:sz="0" w:space="0" w:color="auto"/>
          </w:divBdr>
        </w:div>
        <w:div w:id="466361017">
          <w:marLeft w:val="0"/>
          <w:marRight w:val="0"/>
          <w:marTop w:val="0"/>
          <w:marBottom w:val="101"/>
          <w:divBdr>
            <w:top w:val="none" w:sz="0" w:space="0" w:color="auto"/>
            <w:left w:val="none" w:sz="0" w:space="0" w:color="auto"/>
            <w:bottom w:val="none" w:sz="0" w:space="0" w:color="auto"/>
            <w:right w:val="none" w:sz="0" w:space="0" w:color="auto"/>
          </w:divBdr>
        </w:div>
        <w:div w:id="479931240">
          <w:marLeft w:val="0"/>
          <w:marRight w:val="0"/>
          <w:marTop w:val="0"/>
          <w:marBottom w:val="80"/>
          <w:divBdr>
            <w:top w:val="none" w:sz="0" w:space="0" w:color="auto"/>
            <w:left w:val="none" w:sz="0" w:space="0" w:color="auto"/>
            <w:bottom w:val="none" w:sz="0" w:space="0" w:color="auto"/>
            <w:right w:val="none" w:sz="0" w:space="0" w:color="auto"/>
          </w:divBdr>
        </w:div>
        <w:div w:id="499122878">
          <w:marLeft w:val="0"/>
          <w:marRight w:val="0"/>
          <w:marTop w:val="0"/>
          <w:marBottom w:val="80"/>
          <w:divBdr>
            <w:top w:val="none" w:sz="0" w:space="0" w:color="auto"/>
            <w:left w:val="none" w:sz="0" w:space="0" w:color="auto"/>
            <w:bottom w:val="none" w:sz="0" w:space="0" w:color="auto"/>
            <w:right w:val="none" w:sz="0" w:space="0" w:color="auto"/>
          </w:divBdr>
        </w:div>
        <w:div w:id="591428605">
          <w:marLeft w:val="0"/>
          <w:marRight w:val="0"/>
          <w:marTop w:val="0"/>
          <w:marBottom w:val="80"/>
          <w:divBdr>
            <w:top w:val="none" w:sz="0" w:space="0" w:color="auto"/>
            <w:left w:val="none" w:sz="0" w:space="0" w:color="auto"/>
            <w:bottom w:val="none" w:sz="0" w:space="0" w:color="auto"/>
            <w:right w:val="none" w:sz="0" w:space="0" w:color="auto"/>
          </w:divBdr>
        </w:div>
        <w:div w:id="645477502">
          <w:marLeft w:val="0"/>
          <w:marRight w:val="0"/>
          <w:marTop w:val="0"/>
          <w:marBottom w:val="101"/>
          <w:divBdr>
            <w:top w:val="none" w:sz="0" w:space="0" w:color="auto"/>
            <w:left w:val="none" w:sz="0" w:space="0" w:color="auto"/>
            <w:bottom w:val="none" w:sz="0" w:space="0" w:color="auto"/>
            <w:right w:val="none" w:sz="0" w:space="0" w:color="auto"/>
          </w:divBdr>
        </w:div>
        <w:div w:id="677855530">
          <w:marLeft w:val="0"/>
          <w:marRight w:val="0"/>
          <w:marTop w:val="0"/>
          <w:marBottom w:val="101"/>
          <w:divBdr>
            <w:top w:val="none" w:sz="0" w:space="0" w:color="auto"/>
            <w:left w:val="none" w:sz="0" w:space="0" w:color="auto"/>
            <w:bottom w:val="none" w:sz="0" w:space="0" w:color="auto"/>
            <w:right w:val="none" w:sz="0" w:space="0" w:color="auto"/>
          </w:divBdr>
        </w:div>
        <w:div w:id="681518194">
          <w:marLeft w:val="0"/>
          <w:marRight w:val="0"/>
          <w:marTop w:val="0"/>
          <w:marBottom w:val="80"/>
          <w:divBdr>
            <w:top w:val="none" w:sz="0" w:space="0" w:color="auto"/>
            <w:left w:val="none" w:sz="0" w:space="0" w:color="auto"/>
            <w:bottom w:val="none" w:sz="0" w:space="0" w:color="auto"/>
            <w:right w:val="none" w:sz="0" w:space="0" w:color="auto"/>
          </w:divBdr>
        </w:div>
        <w:div w:id="758527274">
          <w:marLeft w:val="0"/>
          <w:marRight w:val="0"/>
          <w:marTop w:val="101"/>
          <w:marBottom w:val="80"/>
          <w:divBdr>
            <w:top w:val="none" w:sz="0" w:space="0" w:color="auto"/>
            <w:left w:val="none" w:sz="0" w:space="0" w:color="auto"/>
            <w:bottom w:val="none" w:sz="0" w:space="0" w:color="auto"/>
            <w:right w:val="none" w:sz="0" w:space="0" w:color="auto"/>
          </w:divBdr>
        </w:div>
        <w:div w:id="805046860">
          <w:marLeft w:val="0"/>
          <w:marRight w:val="0"/>
          <w:marTop w:val="0"/>
          <w:marBottom w:val="101"/>
          <w:divBdr>
            <w:top w:val="none" w:sz="0" w:space="0" w:color="auto"/>
            <w:left w:val="none" w:sz="0" w:space="0" w:color="auto"/>
            <w:bottom w:val="none" w:sz="0" w:space="0" w:color="auto"/>
            <w:right w:val="none" w:sz="0" w:space="0" w:color="auto"/>
          </w:divBdr>
        </w:div>
        <w:div w:id="813058739">
          <w:marLeft w:val="0"/>
          <w:marRight w:val="0"/>
          <w:marTop w:val="0"/>
          <w:marBottom w:val="101"/>
          <w:divBdr>
            <w:top w:val="none" w:sz="0" w:space="0" w:color="auto"/>
            <w:left w:val="none" w:sz="0" w:space="0" w:color="auto"/>
            <w:bottom w:val="none" w:sz="0" w:space="0" w:color="auto"/>
            <w:right w:val="none" w:sz="0" w:space="0" w:color="auto"/>
          </w:divBdr>
        </w:div>
        <w:div w:id="845905147">
          <w:marLeft w:val="0"/>
          <w:marRight w:val="0"/>
          <w:marTop w:val="0"/>
          <w:marBottom w:val="101"/>
          <w:divBdr>
            <w:top w:val="none" w:sz="0" w:space="0" w:color="auto"/>
            <w:left w:val="none" w:sz="0" w:space="0" w:color="auto"/>
            <w:bottom w:val="none" w:sz="0" w:space="0" w:color="auto"/>
            <w:right w:val="none" w:sz="0" w:space="0" w:color="auto"/>
          </w:divBdr>
        </w:div>
        <w:div w:id="943734956">
          <w:marLeft w:val="0"/>
          <w:marRight w:val="0"/>
          <w:marTop w:val="0"/>
          <w:marBottom w:val="101"/>
          <w:divBdr>
            <w:top w:val="none" w:sz="0" w:space="0" w:color="auto"/>
            <w:left w:val="none" w:sz="0" w:space="0" w:color="auto"/>
            <w:bottom w:val="none" w:sz="0" w:space="0" w:color="auto"/>
            <w:right w:val="none" w:sz="0" w:space="0" w:color="auto"/>
          </w:divBdr>
        </w:div>
        <w:div w:id="968513770">
          <w:marLeft w:val="0"/>
          <w:marRight w:val="0"/>
          <w:marTop w:val="0"/>
          <w:marBottom w:val="80"/>
          <w:divBdr>
            <w:top w:val="none" w:sz="0" w:space="0" w:color="auto"/>
            <w:left w:val="none" w:sz="0" w:space="0" w:color="auto"/>
            <w:bottom w:val="none" w:sz="0" w:space="0" w:color="auto"/>
            <w:right w:val="none" w:sz="0" w:space="0" w:color="auto"/>
          </w:divBdr>
        </w:div>
        <w:div w:id="972371927">
          <w:marLeft w:val="0"/>
          <w:marRight w:val="0"/>
          <w:marTop w:val="0"/>
          <w:marBottom w:val="80"/>
          <w:divBdr>
            <w:top w:val="none" w:sz="0" w:space="0" w:color="auto"/>
            <w:left w:val="none" w:sz="0" w:space="0" w:color="auto"/>
            <w:bottom w:val="none" w:sz="0" w:space="0" w:color="auto"/>
            <w:right w:val="none" w:sz="0" w:space="0" w:color="auto"/>
          </w:divBdr>
        </w:div>
        <w:div w:id="1067263404">
          <w:marLeft w:val="0"/>
          <w:marRight w:val="0"/>
          <w:marTop w:val="0"/>
          <w:marBottom w:val="101"/>
          <w:divBdr>
            <w:top w:val="none" w:sz="0" w:space="0" w:color="auto"/>
            <w:left w:val="none" w:sz="0" w:space="0" w:color="auto"/>
            <w:bottom w:val="none" w:sz="0" w:space="0" w:color="auto"/>
            <w:right w:val="none" w:sz="0" w:space="0" w:color="auto"/>
          </w:divBdr>
        </w:div>
        <w:div w:id="1212115314">
          <w:marLeft w:val="0"/>
          <w:marRight w:val="0"/>
          <w:marTop w:val="0"/>
          <w:marBottom w:val="101"/>
          <w:divBdr>
            <w:top w:val="none" w:sz="0" w:space="0" w:color="auto"/>
            <w:left w:val="none" w:sz="0" w:space="0" w:color="auto"/>
            <w:bottom w:val="none" w:sz="0" w:space="0" w:color="auto"/>
            <w:right w:val="none" w:sz="0" w:space="0" w:color="auto"/>
          </w:divBdr>
        </w:div>
        <w:div w:id="1225606350">
          <w:marLeft w:val="0"/>
          <w:marRight w:val="0"/>
          <w:marTop w:val="0"/>
          <w:marBottom w:val="80"/>
          <w:divBdr>
            <w:top w:val="none" w:sz="0" w:space="0" w:color="auto"/>
            <w:left w:val="none" w:sz="0" w:space="0" w:color="auto"/>
            <w:bottom w:val="none" w:sz="0" w:space="0" w:color="auto"/>
            <w:right w:val="none" w:sz="0" w:space="0" w:color="auto"/>
          </w:divBdr>
        </w:div>
        <w:div w:id="1268122732">
          <w:marLeft w:val="0"/>
          <w:marRight w:val="0"/>
          <w:marTop w:val="0"/>
          <w:marBottom w:val="101"/>
          <w:divBdr>
            <w:top w:val="none" w:sz="0" w:space="0" w:color="auto"/>
            <w:left w:val="none" w:sz="0" w:space="0" w:color="auto"/>
            <w:bottom w:val="none" w:sz="0" w:space="0" w:color="auto"/>
            <w:right w:val="none" w:sz="0" w:space="0" w:color="auto"/>
          </w:divBdr>
        </w:div>
        <w:div w:id="1276863498">
          <w:marLeft w:val="0"/>
          <w:marRight w:val="0"/>
          <w:marTop w:val="0"/>
          <w:marBottom w:val="80"/>
          <w:divBdr>
            <w:top w:val="none" w:sz="0" w:space="0" w:color="auto"/>
            <w:left w:val="none" w:sz="0" w:space="0" w:color="auto"/>
            <w:bottom w:val="none" w:sz="0" w:space="0" w:color="auto"/>
            <w:right w:val="none" w:sz="0" w:space="0" w:color="auto"/>
          </w:divBdr>
        </w:div>
        <w:div w:id="1443837176">
          <w:marLeft w:val="0"/>
          <w:marRight w:val="0"/>
          <w:marTop w:val="0"/>
          <w:marBottom w:val="101"/>
          <w:divBdr>
            <w:top w:val="none" w:sz="0" w:space="0" w:color="auto"/>
            <w:left w:val="none" w:sz="0" w:space="0" w:color="auto"/>
            <w:bottom w:val="none" w:sz="0" w:space="0" w:color="auto"/>
            <w:right w:val="none" w:sz="0" w:space="0" w:color="auto"/>
          </w:divBdr>
        </w:div>
        <w:div w:id="1518495645">
          <w:marLeft w:val="0"/>
          <w:marRight w:val="0"/>
          <w:marTop w:val="0"/>
          <w:marBottom w:val="80"/>
          <w:divBdr>
            <w:top w:val="none" w:sz="0" w:space="0" w:color="auto"/>
            <w:left w:val="none" w:sz="0" w:space="0" w:color="auto"/>
            <w:bottom w:val="none" w:sz="0" w:space="0" w:color="auto"/>
            <w:right w:val="none" w:sz="0" w:space="0" w:color="auto"/>
          </w:divBdr>
        </w:div>
        <w:div w:id="1585988507">
          <w:marLeft w:val="0"/>
          <w:marRight w:val="0"/>
          <w:marTop w:val="0"/>
          <w:marBottom w:val="101"/>
          <w:divBdr>
            <w:top w:val="none" w:sz="0" w:space="0" w:color="auto"/>
            <w:left w:val="none" w:sz="0" w:space="0" w:color="auto"/>
            <w:bottom w:val="none" w:sz="0" w:space="0" w:color="auto"/>
            <w:right w:val="none" w:sz="0" w:space="0" w:color="auto"/>
          </w:divBdr>
        </w:div>
        <w:div w:id="1630629916">
          <w:marLeft w:val="0"/>
          <w:marRight w:val="0"/>
          <w:marTop w:val="0"/>
          <w:marBottom w:val="101"/>
          <w:divBdr>
            <w:top w:val="none" w:sz="0" w:space="0" w:color="auto"/>
            <w:left w:val="none" w:sz="0" w:space="0" w:color="auto"/>
            <w:bottom w:val="none" w:sz="0" w:space="0" w:color="auto"/>
            <w:right w:val="none" w:sz="0" w:space="0" w:color="auto"/>
          </w:divBdr>
        </w:div>
        <w:div w:id="1639454509">
          <w:marLeft w:val="0"/>
          <w:marRight w:val="0"/>
          <w:marTop w:val="0"/>
          <w:marBottom w:val="101"/>
          <w:divBdr>
            <w:top w:val="none" w:sz="0" w:space="0" w:color="auto"/>
            <w:left w:val="none" w:sz="0" w:space="0" w:color="auto"/>
            <w:bottom w:val="none" w:sz="0" w:space="0" w:color="auto"/>
            <w:right w:val="none" w:sz="0" w:space="0" w:color="auto"/>
          </w:divBdr>
        </w:div>
        <w:div w:id="1772356358">
          <w:marLeft w:val="0"/>
          <w:marRight w:val="0"/>
          <w:marTop w:val="0"/>
          <w:marBottom w:val="80"/>
          <w:divBdr>
            <w:top w:val="none" w:sz="0" w:space="0" w:color="auto"/>
            <w:left w:val="none" w:sz="0" w:space="0" w:color="auto"/>
            <w:bottom w:val="none" w:sz="0" w:space="0" w:color="auto"/>
            <w:right w:val="none" w:sz="0" w:space="0" w:color="auto"/>
          </w:divBdr>
        </w:div>
        <w:div w:id="1817989240">
          <w:marLeft w:val="0"/>
          <w:marRight w:val="0"/>
          <w:marTop w:val="0"/>
          <w:marBottom w:val="101"/>
          <w:divBdr>
            <w:top w:val="none" w:sz="0" w:space="0" w:color="auto"/>
            <w:left w:val="none" w:sz="0" w:space="0" w:color="auto"/>
            <w:bottom w:val="none" w:sz="0" w:space="0" w:color="auto"/>
            <w:right w:val="none" w:sz="0" w:space="0" w:color="auto"/>
          </w:divBdr>
        </w:div>
        <w:div w:id="2075809339">
          <w:marLeft w:val="0"/>
          <w:marRight w:val="0"/>
          <w:marTop w:val="0"/>
          <w:marBottom w:val="101"/>
          <w:divBdr>
            <w:top w:val="none" w:sz="0" w:space="0" w:color="auto"/>
            <w:left w:val="none" w:sz="0" w:space="0" w:color="auto"/>
            <w:bottom w:val="none" w:sz="0" w:space="0" w:color="auto"/>
            <w:right w:val="none" w:sz="0" w:space="0" w:color="auto"/>
          </w:divBdr>
        </w:div>
        <w:div w:id="2145586580">
          <w:marLeft w:val="0"/>
          <w:marRight w:val="0"/>
          <w:marTop w:val="0"/>
          <w:marBottom w:val="80"/>
          <w:divBdr>
            <w:top w:val="none" w:sz="0" w:space="0" w:color="auto"/>
            <w:left w:val="none" w:sz="0" w:space="0" w:color="auto"/>
            <w:bottom w:val="none" w:sz="0" w:space="0" w:color="auto"/>
            <w:right w:val="none" w:sz="0" w:space="0" w:color="auto"/>
          </w:divBdr>
        </w:div>
      </w:divsChild>
    </w:div>
    <w:div w:id="1720934668">
      <w:bodyDiv w:val="1"/>
      <w:marLeft w:val="0"/>
      <w:marRight w:val="0"/>
      <w:marTop w:val="0"/>
      <w:marBottom w:val="0"/>
      <w:divBdr>
        <w:top w:val="none" w:sz="0" w:space="0" w:color="auto"/>
        <w:left w:val="none" w:sz="0" w:space="0" w:color="auto"/>
        <w:bottom w:val="none" w:sz="0" w:space="0" w:color="auto"/>
        <w:right w:val="none" w:sz="0" w:space="0" w:color="auto"/>
      </w:divBdr>
    </w:div>
    <w:div w:id="1740396703">
      <w:bodyDiv w:val="1"/>
      <w:marLeft w:val="0"/>
      <w:marRight w:val="0"/>
      <w:marTop w:val="0"/>
      <w:marBottom w:val="0"/>
      <w:divBdr>
        <w:top w:val="none" w:sz="0" w:space="0" w:color="auto"/>
        <w:left w:val="none" w:sz="0" w:space="0" w:color="auto"/>
        <w:bottom w:val="none" w:sz="0" w:space="0" w:color="auto"/>
        <w:right w:val="none" w:sz="0" w:space="0" w:color="auto"/>
      </w:divBdr>
    </w:div>
    <w:div w:id="1797868863">
      <w:bodyDiv w:val="1"/>
      <w:marLeft w:val="0"/>
      <w:marRight w:val="0"/>
      <w:marTop w:val="0"/>
      <w:marBottom w:val="0"/>
      <w:divBdr>
        <w:top w:val="none" w:sz="0" w:space="0" w:color="auto"/>
        <w:left w:val="none" w:sz="0" w:space="0" w:color="auto"/>
        <w:bottom w:val="none" w:sz="0" w:space="0" w:color="auto"/>
        <w:right w:val="none" w:sz="0" w:space="0" w:color="auto"/>
      </w:divBdr>
      <w:divsChild>
        <w:div w:id="444542638">
          <w:marLeft w:val="0"/>
          <w:marRight w:val="0"/>
          <w:marTop w:val="0"/>
          <w:marBottom w:val="0"/>
          <w:divBdr>
            <w:top w:val="none" w:sz="0" w:space="0" w:color="auto"/>
            <w:left w:val="none" w:sz="0" w:space="0" w:color="auto"/>
            <w:bottom w:val="none" w:sz="0" w:space="0" w:color="auto"/>
            <w:right w:val="none" w:sz="0" w:space="0" w:color="auto"/>
          </w:divBdr>
        </w:div>
      </w:divsChild>
    </w:div>
    <w:div w:id="1843465726">
      <w:bodyDiv w:val="1"/>
      <w:marLeft w:val="0"/>
      <w:marRight w:val="0"/>
      <w:marTop w:val="0"/>
      <w:marBottom w:val="0"/>
      <w:divBdr>
        <w:top w:val="none" w:sz="0" w:space="0" w:color="auto"/>
        <w:left w:val="none" w:sz="0" w:space="0" w:color="auto"/>
        <w:bottom w:val="none" w:sz="0" w:space="0" w:color="auto"/>
        <w:right w:val="none" w:sz="0" w:space="0" w:color="auto"/>
      </w:divBdr>
    </w:div>
    <w:div w:id="1961960773">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 w:id="1977637322">
      <w:bodyDiv w:val="1"/>
      <w:marLeft w:val="0"/>
      <w:marRight w:val="0"/>
      <w:marTop w:val="0"/>
      <w:marBottom w:val="0"/>
      <w:divBdr>
        <w:top w:val="none" w:sz="0" w:space="0" w:color="auto"/>
        <w:left w:val="none" w:sz="0" w:space="0" w:color="auto"/>
        <w:bottom w:val="none" w:sz="0" w:space="0" w:color="auto"/>
        <w:right w:val="none" w:sz="0" w:space="0" w:color="auto"/>
      </w:divBdr>
      <w:divsChild>
        <w:div w:id="1075323209">
          <w:marLeft w:val="0"/>
          <w:marRight w:val="0"/>
          <w:marTop w:val="0"/>
          <w:marBottom w:val="0"/>
          <w:divBdr>
            <w:top w:val="none" w:sz="0" w:space="0" w:color="auto"/>
            <w:left w:val="none" w:sz="0" w:space="0" w:color="auto"/>
            <w:bottom w:val="none" w:sz="0" w:space="0" w:color="auto"/>
            <w:right w:val="none" w:sz="0" w:space="0" w:color="auto"/>
          </w:divBdr>
        </w:div>
      </w:divsChild>
    </w:div>
    <w:div w:id="2027100838">
      <w:bodyDiv w:val="1"/>
      <w:marLeft w:val="0"/>
      <w:marRight w:val="0"/>
      <w:marTop w:val="0"/>
      <w:marBottom w:val="0"/>
      <w:divBdr>
        <w:top w:val="none" w:sz="0" w:space="0" w:color="auto"/>
        <w:left w:val="none" w:sz="0" w:space="0" w:color="auto"/>
        <w:bottom w:val="none" w:sz="0" w:space="0" w:color="auto"/>
        <w:right w:val="none" w:sz="0" w:space="0" w:color="auto"/>
      </w:divBdr>
      <w:divsChild>
        <w:div w:id="194513489">
          <w:marLeft w:val="0"/>
          <w:marRight w:val="0"/>
          <w:marTop w:val="0"/>
          <w:marBottom w:val="60"/>
          <w:divBdr>
            <w:top w:val="none" w:sz="0" w:space="0" w:color="auto"/>
            <w:left w:val="none" w:sz="0" w:space="0" w:color="auto"/>
            <w:bottom w:val="none" w:sz="0" w:space="0" w:color="auto"/>
            <w:right w:val="none" w:sz="0" w:space="0" w:color="auto"/>
          </w:divBdr>
        </w:div>
        <w:div w:id="318579380">
          <w:marLeft w:val="0"/>
          <w:marRight w:val="0"/>
          <w:marTop w:val="0"/>
          <w:marBottom w:val="86"/>
          <w:divBdr>
            <w:top w:val="none" w:sz="0" w:space="0" w:color="auto"/>
            <w:left w:val="none" w:sz="0" w:space="0" w:color="auto"/>
            <w:bottom w:val="none" w:sz="0" w:space="0" w:color="auto"/>
            <w:right w:val="none" w:sz="0" w:space="0" w:color="auto"/>
          </w:divBdr>
        </w:div>
        <w:div w:id="437261000">
          <w:marLeft w:val="0"/>
          <w:marRight w:val="0"/>
          <w:marTop w:val="0"/>
          <w:marBottom w:val="60"/>
          <w:divBdr>
            <w:top w:val="none" w:sz="0" w:space="0" w:color="auto"/>
            <w:left w:val="none" w:sz="0" w:space="0" w:color="auto"/>
            <w:bottom w:val="none" w:sz="0" w:space="0" w:color="auto"/>
            <w:right w:val="none" w:sz="0" w:space="0" w:color="auto"/>
          </w:divBdr>
        </w:div>
        <w:div w:id="446511572">
          <w:marLeft w:val="0"/>
          <w:marRight w:val="0"/>
          <w:marTop w:val="0"/>
          <w:marBottom w:val="86"/>
          <w:divBdr>
            <w:top w:val="none" w:sz="0" w:space="0" w:color="auto"/>
            <w:left w:val="none" w:sz="0" w:space="0" w:color="auto"/>
            <w:bottom w:val="none" w:sz="0" w:space="0" w:color="auto"/>
            <w:right w:val="none" w:sz="0" w:space="0" w:color="auto"/>
          </w:divBdr>
        </w:div>
        <w:div w:id="761995352">
          <w:marLeft w:val="0"/>
          <w:marRight w:val="0"/>
          <w:marTop w:val="0"/>
          <w:marBottom w:val="86"/>
          <w:divBdr>
            <w:top w:val="none" w:sz="0" w:space="0" w:color="auto"/>
            <w:left w:val="none" w:sz="0" w:space="0" w:color="auto"/>
            <w:bottom w:val="none" w:sz="0" w:space="0" w:color="auto"/>
            <w:right w:val="none" w:sz="0" w:space="0" w:color="auto"/>
          </w:divBdr>
        </w:div>
        <w:div w:id="858466947">
          <w:marLeft w:val="1008"/>
          <w:marRight w:val="720"/>
          <w:marTop w:val="0"/>
          <w:marBottom w:val="60"/>
          <w:divBdr>
            <w:top w:val="none" w:sz="0" w:space="0" w:color="auto"/>
            <w:left w:val="none" w:sz="0" w:space="0" w:color="auto"/>
            <w:bottom w:val="none" w:sz="0" w:space="0" w:color="auto"/>
            <w:right w:val="none" w:sz="0" w:space="0" w:color="auto"/>
          </w:divBdr>
        </w:div>
        <w:div w:id="1349213495">
          <w:marLeft w:val="1008"/>
          <w:marRight w:val="720"/>
          <w:marTop w:val="0"/>
          <w:marBottom w:val="60"/>
          <w:divBdr>
            <w:top w:val="none" w:sz="0" w:space="0" w:color="auto"/>
            <w:left w:val="none" w:sz="0" w:space="0" w:color="auto"/>
            <w:bottom w:val="none" w:sz="0" w:space="0" w:color="auto"/>
            <w:right w:val="none" w:sz="0" w:space="0" w:color="auto"/>
          </w:divBdr>
        </w:div>
        <w:div w:id="1501583379">
          <w:marLeft w:val="0"/>
          <w:marRight w:val="0"/>
          <w:marTop w:val="0"/>
          <w:marBottom w:val="86"/>
          <w:divBdr>
            <w:top w:val="none" w:sz="0" w:space="0" w:color="auto"/>
            <w:left w:val="none" w:sz="0" w:space="0" w:color="auto"/>
            <w:bottom w:val="none" w:sz="0" w:space="0" w:color="auto"/>
            <w:right w:val="none" w:sz="0" w:space="0" w:color="auto"/>
          </w:divBdr>
        </w:div>
        <w:div w:id="1600720461">
          <w:marLeft w:val="0"/>
          <w:marRight w:val="0"/>
          <w:marTop w:val="0"/>
          <w:marBottom w:val="60"/>
          <w:divBdr>
            <w:top w:val="none" w:sz="0" w:space="0" w:color="auto"/>
            <w:left w:val="none" w:sz="0" w:space="0" w:color="auto"/>
            <w:bottom w:val="none" w:sz="0" w:space="0" w:color="auto"/>
            <w:right w:val="none" w:sz="0" w:space="0" w:color="auto"/>
          </w:divBdr>
        </w:div>
        <w:div w:id="1814984491">
          <w:marLeft w:val="0"/>
          <w:marRight w:val="0"/>
          <w:marTop w:val="0"/>
          <w:marBottom w:val="60"/>
          <w:divBdr>
            <w:top w:val="none" w:sz="0" w:space="0" w:color="auto"/>
            <w:left w:val="none" w:sz="0" w:space="0" w:color="auto"/>
            <w:bottom w:val="none" w:sz="0" w:space="0" w:color="auto"/>
            <w:right w:val="none" w:sz="0" w:space="0" w:color="auto"/>
          </w:divBdr>
        </w:div>
        <w:div w:id="1818498450">
          <w:marLeft w:val="0"/>
          <w:marRight w:val="0"/>
          <w:marTop w:val="0"/>
          <w:marBottom w:val="86"/>
          <w:divBdr>
            <w:top w:val="none" w:sz="0" w:space="0" w:color="auto"/>
            <w:left w:val="none" w:sz="0" w:space="0" w:color="auto"/>
            <w:bottom w:val="none" w:sz="0" w:space="0" w:color="auto"/>
            <w:right w:val="none" w:sz="0" w:space="0" w:color="auto"/>
          </w:divBdr>
        </w:div>
      </w:divsChild>
    </w:div>
    <w:div w:id="2045710242">
      <w:bodyDiv w:val="1"/>
      <w:marLeft w:val="0"/>
      <w:marRight w:val="0"/>
      <w:marTop w:val="0"/>
      <w:marBottom w:val="0"/>
      <w:divBdr>
        <w:top w:val="none" w:sz="0" w:space="0" w:color="auto"/>
        <w:left w:val="none" w:sz="0" w:space="0" w:color="auto"/>
        <w:bottom w:val="none" w:sz="0" w:space="0" w:color="auto"/>
        <w:right w:val="none" w:sz="0" w:space="0" w:color="auto"/>
      </w:divBdr>
    </w:div>
    <w:div w:id="2051490686">
      <w:bodyDiv w:val="1"/>
      <w:marLeft w:val="0"/>
      <w:marRight w:val="0"/>
      <w:marTop w:val="0"/>
      <w:marBottom w:val="0"/>
      <w:divBdr>
        <w:top w:val="none" w:sz="0" w:space="0" w:color="auto"/>
        <w:left w:val="none" w:sz="0" w:space="0" w:color="auto"/>
        <w:bottom w:val="none" w:sz="0" w:space="0" w:color="auto"/>
        <w:right w:val="none" w:sz="0" w:space="0" w:color="auto"/>
      </w:divBdr>
    </w:div>
    <w:div w:id="2063408769">
      <w:bodyDiv w:val="1"/>
      <w:marLeft w:val="0"/>
      <w:marRight w:val="0"/>
      <w:marTop w:val="0"/>
      <w:marBottom w:val="0"/>
      <w:divBdr>
        <w:top w:val="none" w:sz="0" w:space="0" w:color="auto"/>
        <w:left w:val="none" w:sz="0" w:space="0" w:color="auto"/>
        <w:bottom w:val="none" w:sz="0" w:space="0" w:color="auto"/>
        <w:right w:val="none" w:sz="0" w:space="0" w:color="auto"/>
      </w:divBdr>
    </w:div>
    <w:div w:id="21239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4F833D66A9C441BEFFDF660CDCC106" ma:contentTypeVersion="8" ma:contentTypeDescription="Crear nuevo documento." ma:contentTypeScope="" ma:versionID="c7ad63613a925e3035ce97c41e06bed1">
  <xsd:schema xmlns:xsd="http://www.w3.org/2001/XMLSchema" xmlns:xs="http://www.w3.org/2001/XMLSchema" xmlns:p="http://schemas.microsoft.com/office/2006/metadata/properties" xmlns:ns3="9561dc8d-92e6-47b3-8a46-2e17c6a1fdeb" targetNamespace="http://schemas.microsoft.com/office/2006/metadata/properties" ma:root="true" ma:fieldsID="0379d0c4a5a31fc4cee23efd7cb273ba" ns3:_="">
    <xsd:import namespace="9561dc8d-92e6-47b3-8a46-2e17c6a1f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dc8d-92e6-47b3-8a46-2e17c6a1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AE33-CCF8-4527-8D10-F73F99F94E37}">
  <ds:schemaRefs>
    <ds:schemaRef ds:uri="http://schemas.microsoft.com/sharepoint/v3/contenttype/forms"/>
  </ds:schemaRefs>
</ds:datastoreItem>
</file>

<file path=customXml/itemProps2.xml><?xml version="1.0" encoding="utf-8"?>
<ds:datastoreItem xmlns:ds="http://schemas.openxmlformats.org/officeDocument/2006/customXml" ds:itemID="{659B0B90-81E4-454D-B428-9E334540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dc8d-92e6-47b3-8a46-2e17c6a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2B2F7-94F8-49A4-B42C-B131643726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403879-4305-47F1-AC61-F41CBB40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14929</Words>
  <Characters>82110</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Isaías Trejo Sánchez</dc:creator>
  <cp:keywords/>
  <dc:description/>
  <cp:lastModifiedBy>Brissa Martínez Sánchez</cp:lastModifiedBy>
  <cp:revision>5</cp:revision>
  <cp:lastPrinted>2020-04-16T23:48:00Z</cp:lastPrinted>
  <dcterms:created xsi:type="dcterms:W3CDTF">2020-06-26T02:34:00Z</dcterms:created>
  <dcterms:modified xsi:type="dcterms:W3CDTF">2020-06-26T23:29:00Z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0x0101004E4F833D66A9C441BEFFDF660CDCC106</vt:lpwstr>
  </property>
</Properties>
</file>