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BB27" w14:textId="77777777" w:rsidR="0017788D" w:rsidRPr="00F37FAD" w:rsidRDefault="0017788D" w:rsidP="0017788D">
      <w:pPr>
        <w:spacing w:before="240" w:after="240"/>
        <w:ind w:left="3119"/>
        <w:jc w:val="both"/>
        <w:rPr>
          <w:rFonts w:ascii="Arial" w:hAnsi="Arial" w:cs="Arial"/>
          <w:b/>
          <w:bCs/>
          <w:caps/>
        </w:rPr>
      </w:pPr>
      <w:r w:rsidRPr="00F37FAD">
        <w:rPr>
          <w:rFonts w:ascii="Arial" w:hAnsi="Arial" w:cs="Arial"/>
          <w:b/>
          <w:bCs/>
          <w:caps/>
        </w:rPr>
        <w:t>RECURSO DE RECONSIDERACIÓN</w:t>
      </w:r>
    </w:p>
    <w:p w14:paraId="67138D86" w14:textId="77777777" w:rsidR="0017788D" w:rsidRPr="00F37FAD" w:rsidRDefault="0017788D" w:rsidP="0017788D">
      <w:pPr>
        <w:spacing w:before="240" w:after="240"/>
        <w:ind w:left="3119"/>
        <w:jc w:val="both"/>
        <w:rPr>
          <w:rFonts w:ascii="Arial" w:hAnsi="Arial" w:cs="Arial"/>
          <w:caps/>
        </w:rPr>
      </w:pPr>
      <w:r w:rsidRPr="00F37FAD">
        <w:rPr>
          <w:rFonts w:ascii="Arial" w:hAnsi="Arial" w:cs="Arial"/>
          <w:b/>
          <w:bCs/>
          <w:caps/>
        </w:rPr>
        <w:t xml:space="preserve">EXPEDIENTE: </w:t>
      </w:r>
      <w:r w:rsidRPr="00F37FAD">
        <w:rPr>
          <w:rFonts w:ascii="Arial" w:hAnsi="Arial" w:cs="Arial"/>
          <w:caps/>
        </w:rPr>
        <w:t>SUP-REC-211/2020</w:t>
      </w:r>
    </w:p>
    <w:p w14:paraId="74293D05" w14:textId="77777777" w:rsidR="0017788D" w:rsidRPr="00F37FAD" w:rsidRDefault="0017788D" w:rsidP="0017788D">
      <w:pPr>
        <w:spacing w:before="240" w:after="240"/>
        <w:ind w:left="3119"/>
        <w:jc w:val="both"/>
        <w:rPr>
          <w:rFonts w:ascii="Arial" w:hAnsi="Arial" w:cs="Arial"/>
          <w:b/>
          <w:bCs/>
          <w:caps/>
        </w:rPr>
      </w:pPr>
      <w:r w:rsidRPr="00F37FAD">
        <w:rPr>
          <w:rFonts w:ascii="Arial" w:hAnsi="Arial" w:cs="Arial"/>
          <w:b/>
          <w:bCs/>
          <w:caps/>
        </w:rPr>
        <w:t xml:space="preserve">RECURRENTES: </w:t>
      </w:r>
      <w:r w:rsidRPr="00F37FAD">
        <w:rPr>
          <w:rFonts w:ascii="Arial" w:hAnsi="Arial" w:cs="Arial"/>
          <w:caps/>
        </w:rPr>
        <w:t>ÁNGEL CARRILLO MUÑOZ Y OTROS</w:t>
      </w:r>
    </w:p>
    <w:p w14:paraId="6D16E5DF" w14:textId="77777777" w:rsidR="0017788D" w:rsidRPr="00F37FAD" w:rsidRDefault="0017788D" w:rsidP="0017788D">
      <w:pPr>
        <w:spacing w:before="240" w:after="240"/>
        <w:ind w:left="3119"/>
        <w:jc w:val="both"/>
        <w:rPr>
          <w:rFonts w:ascii="Arial" w:hAnsi="Arial" w:cs="Arial"/>
          <w:bCs/>
          <w:caps/>
        </w:rPr>
      </w:pPr>
      <w:r w:rsidRPr="00F37FAD">
        <w:rPr>
          <w:rFonts w:ascii="Arial" w:hAnsi="Arial" w:cs="Arial"/>
          <w:b/>
          <w:bCs/>
          <w:caps/>
        </w:rPr>
        <w:t xml:space="preserve">RESPONSABLE: </w:t>
      </w:r>
      <w:r w:rsidRPr="00F37FAD">
        <w:rPr>
          <w:rFonts w:ascii="Arial" w:hAnsi="Arial" w:cs="Arial"/>
          <w:caps/>
        </w:rPr>
        <w:t>SALA REGIONAL DEL TRIBUNAL ELECTORAL DEL PODER JUDICIAL DE LA FEDERACIÓN, CORRESPONDIENTE A LA PRIMERA CIRCUNSCRIPCIÓN PLURINOMINAL, CON SEDE EN GUADALAJARA, JALISCO</w:t>
      </w:r>
      <w:r w:rsidRPr="00F37FAD">
        <w:rPr>
          <w:rStyle w:val="Refdenotaalpie"/>
          <w:rFonts w:ascii="Arial" w:hAnsi="Arial" w:cs="Arial"/>
          <w:bCs/>
          <w:caps/>
        </w:rPr>
        <w:footnoteReference w:id="1"/>
      </w:r>
    </w:p>
    <w:p w14:paraId="227D7BFF" w14:textId="77777777" w:rsidR="0017788D" w:rsidRPr="00F37FAD" w:rsidRDefault="0017788D" w:rsidP="0017788D">
      <w:pPr>
        <w:spacing w:before="240" w:after="240"/>
        <w:ind w:left="3119"/>
        <w:jc w:val="both"/>
        <w:rPr>
          <w:rFonts w:ascii="Arial" w:hAnsi="Arial" w:cs="Arial"/>
          <w:bCs/>
          <w:caps/>
        </w:rPr>
      </w:pPr>
      <w:r w:rsidRPr="00F37FAD">
        <w:rPr>
          <w:rFonts w:ascii="Arial" w:hAnsi="Arial" w:cs="Arial"/>
          <w:b/>
          <w:bCs/>
          <w:caps/>
          <w:color w:val="000000" w:themeColor="text1"/>
        </w:rPr>
        <w:t>MAGISTRADA PONENTE:</w:t>
      </w:r>
      <w:r w:rsidRPr="00F37FAD">
        <w:rPr>
          <w:rFonts w:ascii="Arial" w:hAnsi="Arial" w:cs="Arial"/>
          <w:bCs/>
          <w:caps/>
          <w:color w:val="000000" w:themeColor="text1"/>
        </w:rPr>
        <w:t xml:space="preserve"> JANINE M. OTÁLORA MALASSIS</w:t>
      </w:r>
    </w:p>
    <w:p w14:paraId="430AB356" w14:textId="77777777" w:rsidR="0017788D" w:rsidRPr="00F37FAD" w:rsidRDefault="0017788D" w:rsidP="0017788D">
      <w:pPr>
        <w:spacing w:before="240" w:after="240"/>
        <w:ind w:left="3119"/>
        <w:jc w:val="both"/>
        <w:rPr>
          <w:rFonts w:ascii="Arial" w:hAnsi="Arial" w:cs="Arial"/>
          <w:bCs/>
          <w:caps/>
        </w:rPr>
      </w:pPr>
      <w:r w:rsidRPr="00F37FAD">
        <w:rPr>
          <w:rFonts w:ascii="Arial" w:hAnsi="Arial" w:cs="Arial"/>
          <w:b/>
          <w:bCs/>
          <w:caps/>
        </w:rPr>
        <w:t>SECRETARIo:</w:t>
      </w:r>
      <w:r w:rsidRPr="00F37FAD">
        <w:rPr>
          <w:rFonts w:ascii="Arial" w:hAnsi="Arial" w:cs="Arial"/>
          <w:bCs/>
          <w:caps/>
        </w:rPr>
        <w:t xml:space="preserve"> sergio moreno trujillo </w:t>
      </w:r>
    </w:p>
    <w:p w14:paraId="0C8ED1F2" w14:textId="242B3ECB" w:rsidR="0017788D" w:rsidRPr="00F37FAD" w:rsidRDefault="0017788D" w:rsidP="0017788D">
      <w:pPr>
        <w:tabs>
          <w:tab w:val="left" w:pos="1215"/>
        </w:tabs>
        <w:spacing w:before="240" w:after="240" w:line="360" w:lineRule="auto"/>
        <w:jc w:val="both"/>
        <w:rPr>
          <w:rFonts w:ascii="Arial" w:hAnsi="Arial" w:cs="Arial"/>
          <w:bCs/>
          <w:lang w:val="es-MX"/>
        </w:rPr>
      </w:pPr>
      <w:r w:rsidRPr="00F37FAD">
        <w:rPr>
          <w:rFonts w:ascii="Arial" w:hAnsi="Arial" w:cs="Arial"/>
          <w:bCs/>
          <w:lang w:val="es-MX"/>
        </w:rPr>
        <w:t xml:space="preserve">Ciudad de México, a </w:t>
      </w:r>
      <w:r w:rsidR="00D83964">
        <w:rPr>
          <w:rFonts w:ascii="Arial" w:hAnsi="Arial" w:cs="Arial"/>
          <w:bCs/>
          <w:lang w:val="es-MX"/>
        </w:rPr>
        <w:t>once</w:t>
      </w:r>
      <w:r w:rsidRPr="00F37FAD">
        <w:rPr>
          <w:rFonts w:ascii="Arial" w:hAnsi="Arial" w:cs="Arial"/>
          <w:bCs/>
          <w:lang w:val="es-MX"/>
        </w:rPr>
        <w:t xml:space="preserve"> de </w:t>
      </w:r>
      <w:r w:rsidR="00842C14">
        <w:rPr>
          <w:rFonts w:ascii="Arial" w:hAnsi="Arial" w:cs="Arial"/>
          <w:bCs/>
          <w:lang w:val="es-MX"/>
        </w:rPr>
        <w:t xml:space="preserve">noviembre </w:t>
      </w:r>
      <w:r w:rsidRPr="00F37FAD">
        <w:rPr>
          <w:rFonts w:ascii="Arial" w:hAnsi="Arial" w:cs="Arial"/>
          <w:bCs/>
          <w:lang w:val="es-MX"/>
        </w:rPr>
        <w:t>de dos mil veinte.</w:t>
      </w:r>
    </w:p>
    <w:p w14:paraId="5E3406BE" w14:textId="35FCC64E" w:rsidR="00BA119E" w:rsidRPr="00F37FAD" w:rsidRDefault="0017788D" w:rsidP="00D42254">
      <w:pPr>
        <w:tabs>
          <w:tab w:val="left" w:pos="1215"/>
        </w:tabs>
        <w:spacing w:before="240" w:after="240" w:line="360" w:lineRule="auto"/>
        <w:jc w:val="both"/>
        <w:rPr>
          <w:rFonts w:ascii="Arial" w:eastAsia="Calibri" w:hAnsi="Arial" w:cs="Arial"/>
          <w:bCs/>
        </w:rPr>
      </w:pPr>
      <w:r w:rsidRPr="00F37FAD">
        <w:rPr>
          <w:rFonts w:ascii="Arial" w:hAnsi="Arial" w:cs="Arial"/>
          <w:lang w:val="es-MX"/>
        </w:rPr>
        <w:t>La Sala Superior del Tribunal Electoral del Poder Judicial de la Federación</w:t>
      </w:r>
      <w:r w:rsidRPr="00F37FAD">
        <w:rPr>
          <w:rStyle w:val="Refdenotaalpie"/>
          <w:rFonts w:ascii="Arial" w:hAnsi="Arial" w:cs="Arial"/>
          <w:lang w:val="es-MX"/>
        </w:rPr>
        <w:footnoteReference w:id="2"/>
      </w:r>
      <w:r w:rsidRPr="00F37FAD">
        <w:rPr>
          <w:rFonts w:ascii="Arial" w:hAnsi="Arial" w:cs="Arial"/>
          <w:lang w:val="es-MX"/>
        </w:rPr>
        <w:t xml:space="preserve"> dicta sentencia en el sentido de </w:t>
      </w:r>
      <w:r w:rsidR="002E6E1A">
        <w:rPr>
          <w:rFonts w:ascii="Arial" w:hAnsi="Arial" w:cs="Arial"/>
          <w:b/>
          <w:bCs/>
          <w:lang w:val="es-MX"/>
        </w:rPr>
        <w:t xml:space="preserve">confirmar </w:t>
      </w:r>
      <w:r w:rsidRPr="00F37FAD">
        <w:rPr>
          <w:rFonts w:ascii="Arial" w:hAnsi="Arial" w:cs="Arial"/>
          <w:lang w:val="es-MX"/>
        </w:rPr>
        <w:t xml:space="preserve">la resolución emitida por la Sala </w:t>
      </w:r>
      <w:r w:rsidR="009034D7" w:rsidRPr="00F37FAD">
        <w:rPr>
          <w:rFonts w:ascii="Arial" w:hAnsi="Arial" w:cs="Arial"/>
          <w:lang w:val="es-MX"/>
        </w:rPr>
        <w:t xml:space="preserve">responsable </w:t>
      </w:r>
      <w:r w:rsidR="00BA79A2" w:rsidRPr="00F37FAD">
        <w:rPr>
          <w:rFonts w:ascii="Arial" w:hAnsi="Arial" w:cs="Arial"/>
          <w:lang w:val="es-MX"/>
        </w:rPr>
        <w:t xml:space="preserve">en el juicio electoral </w:t>
      </w:r>
      <w:r w:rsidR="00362D83" w:rsidRPr="00F37FAD">
        <w:rPr>
          <w:rFonts w:ascii="Arial" w:eastAsia="Calibri" w:hAnsi="Arial" w:cs="Arial"/>
          <w:bCs/>
        </w:rPr>
        <w:t>SG-JE-48/2020 y acumulados</w:t>
      </w:r>
      <w:r w:rsidR="00D42254" w:rsidRPr="00F37FAD">
        <w:rPr>
          <w:rFonts w:ascii="Arial" w:eastAsia="Calibri" w:hAnsi="Arial" w:cs="Arial"/>
          <w:bCs/>
        </w:rPr>
        <w:t xml:space="preserve">, </w:t>
      </w:r>
      <w:r w:rsidR="0002400F" w:rsidRPr="00F37FAD">
        <w:rPr>
          <w:rFonts w:ascii="Arial" w:eastAsia="Calibri" w:hAnsi="Arial" w:cs="Arial"/>
          <w:bCs/>
        </w:rPr>
        <w:t>en la</w:t>
      </w:r>
      <w:r w:rsidR="002E6E1A">
        <w:rPr>
          <w:rFonts w:ascii="Arial" w:eastAsia="Calibri" w:hAnsi="Arial" w:cs="Arial"/>
          <w:bCs/>
        </w:rPr>
        <w:t xml:space="preserve"> que </w:t>
      </w:r>
      <w:r w:rsidR="0002400F" w:rsidRPr="00F37FAD">
        <w:rPr>
          <w:rFonts w:ascii="Arial" w:eastAsia="Calibri" w:hAnsi="Arial" w:cs="Arial"/>
          <w:bCs/>
        </w:rPr>
        <w:t>se suspendió de manera t</w:t>
      </w:r>
      <w:r w:rsidR="00B809AF" w:rsidRPr="00F37FAD">
        <w:rPr>
          <w:rFonts w:ascii="Arial" w:eastAsia="Calibri" w:hAnsi="Arial" w:cs="Arial"/>
          <w:bCs/>
        </w:rPr>
        <w:t xml:space="preserve">emporal </w:t>
      </w:r>
      <w:r w:rsidR="00D42254" w:rsidRPr="00F37FAD">
        <w:rPr>
          <w:rFonts w:ascii="Arial" w:eastAsia="Calibri" w:hAnsi="Arial" w:cs="Arial"/>
          <w:bCs/>
        </w:rPr>
        <w:t xml:space="preserve">el proceso consultivo a los pueblos y comunidades indígenas de Nayarit, </w:t>
      </w:r>
      <w:r w:rsidR="00E919CD" w:rsidRPr="00F37FAD">
        <w:rPr>
          <w:rFonts w:ascii="Arial" w:eastAsia="Calibri" w:hAnsi="Arial" w:cs="Arial"/>
          <w:bCs/>
        </w:rPr>
        <w:t xml:space="preserve">respecto </w:t>
      </w:r>
      <w:r w:rsidR="006F4AEE" w:rsidRPr="00F37FAD">
        <w:rPr>
          <w:rFonts w:ascii="Arial" w:eastAsia="Calibri" w:hAnsi="Arial" w:cs="Arial"/>
          <w:bCs/>
        </w:rPr>
        <w:t xml:space="preserve">a la implementación de </w:t>
      </w:r>
      <w:r w:rsidR="00D42254" w:rsidRPr="00F37FAD">
        <w:rPr>
          <w:rFonts w:ascii="Arial" w:eastAsia="Calibri" w:hAnsi="Arial" w:cs="Arial"/>
          <w:bCs/>
        </w:rPr>
        <w:t>medidas afirmativas para el</w:t>
      </w:r>
      <w:r w:rsidR="006F4AEE" w:rsidRPr="00F37FAD">
        <w:rPr>
          <w:rFonts w:ascii="Arial" w:eastAsia="Calibri" w:hAnsi="Arial" w:cs="Arial"/>
          <w:bCs/>
        </w:rPr>
        <w:t xml:space="preserve"> próximo</w:t>
      </w:r>
      <w:r w:rsidR="00D42254" w:rsidRPr="00F37FAD">
        <w:rPr>
          <w:rFonts w:ascii="Arial" w:eastAsia="Calibri" w:hAnsi="Arial" w:cs="Arial"/>
          <w:bCs/>
        </w:rPr>
        <w:t xml:space="preserve"> proceso electoral. </w:t>
      </w:r>
    </w:p>
    <w:p w14:paraId="3318BB92" w14:textId="77777777" w:rsidR="002E6E1A" w:rsidRPr="00AA72AC" w:rsidRDefault="002E6E1A" w:rsidP="002E6E1A">
      <w:pPr>
        <w:tabs>
          <w:tab w:val="left" w:pos="1215"/>
        </w:tabs>
        <w:spacing w:before="240" w:after="240" w:line="360" w:lineRule="auto"/>
        <w:jc w:val="both"/>
        <w:rPr>
          <w:rFonts w:ascii="Arial" w:hAnsi="Arial" w:cs="Arial"/>
          <w:lang w:val="es-MX"/>
        </w:rPr>
      </w:pPr>
      <w:r>
        <w:rPr>
          <w:rFonts w:ascii="Arial" w:eastAsia="Calibri" w:hAnsi="Arial" w:cs="Arial"/>
          <w:bCs/>
        </w:rPr>
        <w:t xml:space="preserve">Lo anterior, porque la realización de la consulta necesariamente implica un acercamiento con sus autoridades representativas y éstas con sus comunidades, lo cual, refleja una situación de especial vulnerabilidad. </w:t>
      </w:r>
    </w:p>
    <w:p w14:paraId="7E3D8822" w14:textId="77777777" w:rsidR="0017788D" w:rsidRPr="00F37FAD" w:rsidRDefault="0017788D" w:rsidP="0017788D">
      <w:pPr>
        <w:tabs>
          <w:tab w:val="left" w:pos="1215"/>
        </w:tabs>
        <w:spacing w:before="240" w:after="240" w:line="360" w:lineRule="auto"/>
        <w:jc w:val="center"/>
        <w:rPr>
          <w:rFonts w:ascii="Arial" w:hAnsi="Arial" w:cs="Arial"/>
          <w:b/>
          <w:bCs/>
        </w:rPr>
      </w:pPr>
      <w:r w:rsidRPr="00F37FAD">
        <w:rPr>
          <w:rFonts w:ascii="Arial" w:hAnsi="Arial" w:cs="Arial"/>
          <w:b/>
          <w:bCs/>
        </w:rPr>
        <w:t>ANTECEDENTES</w:t>
      </w:r>
    </w:p>
    <w:p w14:paraId="4FF27342" w14:textId="362E1311" w:rsidR="003208E7" w:rsidRPr="00F37FAD" w:rsidRDefault="003208E7" w:rsidP="003208E7">
      <w:pPr>
        <w:spacing w:before="240" w:after="240" w:line="360" w:lineRule="auto"/>
        <w:jc w:val="both"/>
        <w:rPr>
          <w:rFonts w:ascii="Arial" w:hAnsi="Arial" w:cs="Arial"/>
          <w:bCs/>
        </w:rPr>
      </w:pPr>
      <w:r w:rsidRPr="00F37FAD">
        <w:rPr>
          <w:rFonts w:ascii="Arial" w:hAnsi="Arial" w:cs="Arial"/>
          <w:b/>
        </w:rPr>
        <w:t>1. Solicitud de medidas compensatorias</w:t>
      </w:r>
      <w:r w:rsidRPr="00F37FAD">
        <w:rPr>
          <w:rFonts w:ascii="Arial" w:hAnsi="Arial" w:cs="Arial"/>
          <w:bCs/>
        </w:rPr>
        <w:t>. El nueve de julio de dos mil diecinueve, ante el</w:t>
      </w:r>
      <w:r w:rsidR="007213DE" w:rsidRPr="00F37FAD">
        <w:rPr>
          <w:rFonts w:ascii="Arial" w:hAnsi="Arial" w:cs="Arial"/>
          <w:bCs/>
        </w:rPr>
        <w:t xml:space="preserve"> </w:t>
      </w:r>
      <w:r w:rsidR="002E6E1A" w:rsidRPr="00F37FAD">
        <w:rPr>
          <w:rFonts w:ascii="Arial" w:eastAsia="Calibri" w:hAnsi="Arial" w:cs="Arial"/>
          <w:bCs/>
        </w:rPr>
        <w:t>Instituto Estatal Electoral de Nayarit</w:t>
      </w:r>
      <w:r w:rsidR="002E6E1A" w:rsidRPr="00F37FAD">
        <w:rPr>
          <w:rStyle w:val="Refdenotaalpie"/>
          <w:rFonts w:ascii="Arial" w:hAnsi="Arial"/>
          <w:bCs/>
        </w:rPr>
        <w:footnoteReference w:id="3"/>
      </w:r>
      <w:r w:rsidRPr="00F37FAD">
        <w:rPr>
          <w:rFonts w:ascii="Arial" w:hAnsi="Arial" w:cs="Arial"/>
          <w:bCs/>
        </w:rPr>
        <w:t xml:space="preserve">, </w:t>
      </w:r>
      <w:r w:rsidR="00731094" w:rsidRPr="00F37FAD">
        <w:rPr>
          <w:rFonts w:ascii="Arial" w:hAnsi="Arial" w:cs="Arial"/>
          <w:bCs/>
        </w:rPr>
        <w:t xml:space="preserve">personas </w:t>
      </w:r>
      <w:r w:rsidRPr="00F37FAD">
        <w:rPr>
          <w:rFonts w:ascii="Arial" w:hAnsi="Arial" w:cs="Arial"/>
          <w:bCs/>
        </w:rPr>
        <w:t xml:space="preserve">pertenecientes al pueblo Wixárika solicitaron información respecto de las medidas compensatorias que serían aplicadas </w:t>
      </w:r>
      <w:r w:rsidR="00773C49" w:rsidRPr="00F37FAD">
        <w:rPr>
          <w:rFonts w:ascii="Arial" w:hAnsi="Arial" w:cs="Arial"/>
          <w:bCs/>
        </w:rPr>
        <w:t xml:space="preserve">a </w:t>
      </w:r>
      <w:r w:rsidRPr="00F37FAD">
        <w:rPr>
          <w:rFonts w:ascii="Arial" w:hAnsi="Arial" w:cs="Arial"/>
          <w:bCs/>
        </w:rPr>
        <w:t>los pueblos y comunidades indígenas de</w:t>
      </w:r>
      <w:r w:rsidR="00731094" w:rsidRPr="00F37FAD">
        <w:rPr>
          <w:rFonts w:ascii="Arial" w:hAnsi="Arial" w:cs="Arial"/>
          <w:bCs/>
        </w:rPr>
        <w:t xml:space="preserve"> la entidad federativa</w:t>
      </w:r>
      <w:r w:rsidRPr="00F37FAD">
        <w:rPr>
          <w:rFonts w:ascii="Arial" w:hAnsi="Arial" w:cs="Arial"/>
          <w:bCs/>
        </w:rPr>
        <w:t xml:space="preserve"> para el proceso electoral 2020-2021</w:t>
      </w:r>
      <w:r w:rsidR="000E7954" w:rsidRPr="00F37FAD">
        <w:rPr>
          <w:rFonts w:ascii="Arial" w:hAnsi="Arial" w:cs="Arial"/>
          <w:bCs/>
        </w:rPr>
        <w:t xml:space="preserve">. </w:t>
      </w:r>
      <w:r w:rsidR="000E7954" w:rsidRPr="00F37FAD">
        <w:rPr>
          <w:rFonts w:ascii="Arial" w:hAnsi="Arial" w:cs="Arial"/>
          <w:bCs/>
        </w:rPr>
        <w:lastRenderedPageBreak/>
        <w:t>Además,</w:t>
      </w:r>
      <w:r w:rsidRPr="00F37FAD">
        <w:rPr>
          <w:rFonts w:ascii="Arial" w:hAnsi="Arial" w:cs="Arial"/>
          <w:bCs/>
        </w:rPr>
        <w:t xml:space="preserve"> solicitaron </w:t>
      </w:r>
      <w:r w:rsidR="00C367AD" w:rsidRPr="00F37FAD">
        <w:rPr>
          <w:rFonts w:ascii="Arial" w:hAnsi="Arial" w:cs="Arial"/>
          <w:bCs/>
        </w:rPr>
        <w:t>su implementación para</w:t>
      </w:r>
      <w:r w:rsidRPr="00F37FAD">
        <w:rPr>
          <w:rFonts w:ascii="Arial" w:hAnsi="Arial" w:cs="Arial"/>
          <w:bCs/>
        </w:rPr>
        <w:t xml:space="preserve"> garantizar la representación indígena.</w:t>
      </w:r>
    </w:p>
    <w:p w14:paraId="6504E8FB" w14:textId="0F2564B1" w:rsidR="003208E7" w:rsidRPr="00F37FAD" w:rsidRDefault="003208E7" w:rsidP="003208E7">
      <w:pPr>
        <w:spacing w:before="240" w:after="240" w:line="360" w:lineRule="auto"/>
        <w:jc w:val="both"/>
        <w:rPr>
          <w:rFonts w:ascii="Arial" w:hAnsi="Arial" w:cs="Arial"/>
          <w:bCs/>
        </w:rPr>
      </w:pPr>
      <w:r w:rsidRPr="00F37FAD">
        <w:rPr>
          <w:rFonts w:ascii="Arial" w:hAnsi="Arial" w:cs="Arial"/>
          <w:b/>
        </w:rPr>
        <w:t>2.</w:t>
      </w:r>
      <w:r w:rsidR="00C367AD" w:rsidRPr="00F37FAD">
        <w:rPr>
          <w:rFonts w:ascii="Arial" w:hAnsi="Arial" w:cs="Arial"/>
          <w:b/>
        </w:rPr>
        <w:t xml:space="preserve"> </w:t>
      </w:r>
      <w:r w:rsidRPr="00F37FAD">
        <w:rPr>
          <w:rFonts w:ascii="Arial" w:hAnsi="Arial" w:cs="Arial"/>
          <w:b/>
        </w:rPr>
        <w:t>Juicio</w:t>
      </w:r>
      <w:r w:rsidR="006A5B93" w:rsidRPr="00F37FAD">
        <w:rPr>
          <w:rFonts w:ascii="Arial" w:hAnsi="Arial" w:cs="Arial"/>
          <w:b/>
        </w:rPr>
        <w:t xml:space="preserve"> local</w:t>
      </w:r>
      <w:r w:rsidR="00646BAC" w:rsidRPr="00F37FAD">
        <w:rPr>
          <w:rFonts w:ascii="Arial" w:hAnsi="Arial" w:cs="Arial"/>
          <w:b/>
        </w:rPr>
        <w:t xml:space="preserve"> </w:t>
      </w:r>
      <w:r w:rsidRPr="00F37FAD">
        <w:rPr>
          <w:rFonts w:ascii="Arial" w:hAnsi="Arial" w:cs="Arial"/>
          <w:b/>
        </w:rPr>
        <w:t>TEE-JDCN-12/2019.</w:t>
      </w:r>
      <w:r w:rsidRPr="00F37FAD">
        <w:rPr>
          <w:rFonts w:ascii="Arial" w:hAnsi="Arial" w:cs="Arial"/>
          <w:bCs/>
        </w:rPr>
        <w:t xml:space="preserve"> El veintiuno de agosto</w:t>
      </w:r>
      <w:r w:rsidR="00AC359C" w:rsidRPr="00F37FAD">
        <w:rPr>
          <w:rFonts w:ascii="Arial" w:hAnsi="Arial" w:cs="Arial"/>
          <w:bCs/>
        </w:rPr>
        <w:t xml:space="preserve"> de dos mil diecinueve</w:t>
      </w:r>
      <w:r w:rsidR="006A5B93" w:rsidRPr="00F37FAD">
        <w:rPr>
          <w:rFonts w:ascii="Arial" w:hAnsi="Arial" w:cs="Arial"/>
          <w:bCs/>
        </w:rPr>
        <w:t xml:space="preserve">, </w:t>
      </w:r>
      <w:r w:rsidRPr="00F37FAD">
        <w:rPr>
          <w:rFonts w:ascii="Arial" w:hAnsi="Arial" w:cs="Arial"/>
          <w:bCs/>
        </w:rPr>
        <w:t>promovieron juicio ciudadano aduciendo la omisión del</w:t>
      </w:r>
      <w:r w:rsidR="00AF1DE7" w:rsidRPr="00F37FAD">
        <w:rPr>
          <w:rFonts w:ascii="Arial" w:hAnsi="Arial" w:cs="Arial"/>
          <w:bCs/>
        </w:rPr>
        <w:t xml:space="preserve"> Instituto local</w:t>
      </w:r>
      <w:r w:rsidRPr="00F37FAD">
        <w:rPr>
          <w:rFonts w:ascii="Arial" w:hAnsi="Arial" w:cs="Arial"/>
          <w:bCs/>
        </w:rPr>
        <w:t xml:space="preserve"> de dar respuesta a su escrito. </w:t>
      </w:r>
    </w:p>
    <w:p w14:paraId="07118299" w14:textId="234F5A7E" w:rsidR="003208E7" w:rsidRPr="00F37FAD" w:rsidRDefault="003208E7" w:rsidP="003208E7">
      <w:pPr>
        <w:spacing w:before="240" w:after="240" w:line="360" w:lineRule="auto"/>
        <w:jc w:val="both"/>
        <w:rPr>
          <w:rFonts w:ascii="Arial" w:hAnsi="Arial" w:cs="Arial"/>
          <w:bCs/>
        </w:rPr>
      </w:pPr>
      <w:r w:rsidRPr="00F37FAD">
        <w:rPr>
          <w:rFonts w:ascii="Arial" w:hAnsi="Arial" w:cs="Arial"/>
          <w:b/>
        </w:rPr>
        <w:t>3.</w:t>
      </w:r>
      <w:r w:rsidR="00646BAC" w:rsidRPr="00F37FAD">
        <w:rPr>
          <w:rFonts w:ascii="Arial" w:hAnsi="Arial" w:cs="Arial"/>
          <w:b/>
        </w:rPr>
        <w:t xml:space="preserve"> </w:t>
      </w:r>
      <w:r w:rsidRPr="00F37FAD">
        <w:rPr>
          <w:rFonts w:ascii="Arial" w:hAnsi="Arial" w:cs="Arial"/>
          <w:b/>
        </w:rPr>
        <w:t xml:space="preserve">Respuesta del </w:t>
      </w:r>
      <w:r w:rsidR="00DC05DF" w:rsidRPr="00F37FAD">
        <w:rPr>
          <w:rFonts w:ascii="Arial" w:hAnsi="Arial" w:cs="Arial"/>
          <w:b/>
        </w:rPr>
        <w:t>Instituto local</w:t>
      </w:r>
      <w:r w:rsidRPr="00F37FAD">
        <w:rPr>
          <w:rFonts w:ascii="Arial" w:hAnsi="Arial" w:cs="Arial"/>
          <w:b/>
        </w:rPr>
        <w:t>.</w:t>
      </w:r>
      <w:r w:rsidRPr="00F37FAD">
        <w:rPr>
          <w:rFonts w:ascii="Arial" w:hAnsi="Arial" w:cs="Arial"/>
          <w:bCs/>
        </w:rPr>
        <w:t xml:space="preserve"> El dieciocho de septiembre</w:t>
      </w:r>
      <w:r w:rsidR="00B21D31" w:rsidRPr="00F37FAD">
        <w:rPr>
          <w:rFonts w:ascii="Arial" w:hAnsi="Arial" w:cs="Arial"/>
          <w:bCs/>
        </w:rPr>
        <w:t xml:space="preserve"> </w:t>
      </w:r>
      <w:r w:rsidR="00AC359C" w:rsidRPr="00F37FAD">
        <w:rPr>
          <w:rFonts w:ascii="Arial" w:hAnsi="Arial" w:cs="Arial"/>
          <w:bCs/>
        </w:rPr>
        <w:t>de dos mil diecinueve</w:t>
      </w:r>
      <w:r w:rsidRPr="00F37FAD">
        <w:rPr>
          <w:rFonts w:ascii="Arial" w:hAnsi="Arial" w:cs="Arial"/>
          <w:bCs/>
        </w:rPr>
        <w:t xml:space="preserve">, el Consejo </w:t>
      </w:r>
      <w:r w:rsidR="00B21D31" w:rsidRPr="00F37FAD">
        <w:rPr>
          <w:rFonts w:ascii="Arial" w:hAnsi="Arial" w:cs="Arial"/>
          <w:bCs/>
        </w:rPr>
        <w:t>L</w:t>
      </w:r>
      <w:r w:rsidRPr="00F37FAD">
        <w:rPr>
          <w:rFonts w:ascii="Arial" w:hAnsi="Arial" w:cs="Arial"/>
          <w:bCs/>
        </w:rPr>
        <w:t>ocal emitió el acuerdo IEEN-CLE-157/2019 por el que dio respuesta.</w:t>
      </w:r>
    </w:p>
    <w:p w14:paraId="3A1DEEEC" w14:textId="07C73ECC" w:rsidR="003208E7" w:rsidRPr="00F37FAD" w:rsidRDefault="003208E7" w:rsidP="003208E7">
      <w:pPr>
        <w:spacing w:before="240" w:after="240" w:line="360" w:lineRule="auto"/>
        <w:jc w:val="both"/>
        <w:rPr>
          <w:rFonts w:ascii="Arial" w:hAnsi="Arial" w:cs="Arial"/>
          <w:bCs/>
        </w:rPr>
      </w:pPr>
      <w:r w:rsidRPr="00F37FAD">
        <w:rPr>
          <w:rFonts w:ascii="Arial" w:hAnsi="Arial" w:cs="Arial"/>
          <w:b/>
        </w:rPr>
        <w:t>4.</w:t>
      </w:r>
      <w:r w:rsidR="00B21D31" w:rsidRPr="00F37FAD">
        <w:rPr>
          <w:rFonts w:ascii="Arial" w:hAnsi="Arial" w:cs="Arial"/>
          <w:b/>
        </w:rPr>
        <w:t xml:space="preserve"> </w:t>
      </w:r>
      <w:r w:rsidRPr="00F37FAD">
        <w:rPr>
          <w:rFonts w:ascii="Arial" w:hAnsi="Arial" w:cs="Arial"/>
          <w:b/>
        </w:rPr>
        <w:t>Ampliación de demanda.</w:t>
      </w:r>
      <w:r w:rsidRPr="00F37FAD">
        <w:rPr>
          <w:rFonts w:ascii="Arial" w:hAnsi="Arial" w:cs="Arial"/>
          <w:bCs/>
        </w:rPr>
        <w:t xml:space="preserve"> El diecisiete de octubre</w:t>
      </w:r>
      <w:r w:rsidR="00C36F21" w:rsidRPr="00F37FAD">
        <w:rPr>
          <w:rFonts w:ascii="Arial" w:hAnsi="Arial" w:cs="Arial"/>
          <w:bCs/>
        </w:rPr>
        <w:t xml:space="preserve"> de dos mil diecinueve</w:t>
      </w:r>
      <w:r w:rsidRPr="00F37FAD">
        <w:rPr>
          <w:rFonts w:ascii="Arial" w:hAnsi="Arial" w:cs="Arial"/>
          <w:bCs/>
        </w:rPr>
        <w:t>, l</w:t>
      </w:r>
      <w:r w:rsidR="00C36F21" w:rsidRPr="00F37FAD">
        <w:rPr>
          <w:rFonts w:ascii="Arial" w:hAnsi="Arial" w:cs="Arial"/>
          <w:bCs/>
        </w:rPr>
        <w:t>a</w:t>
      </w:r>
      <w:r w:rsidR="00AA66C9" w:rsidRPr="00F37FAD">
        <w:rPr>
          <w:rFonts w:ascii="Arial" w:hAnsi="Arial" w:cs="Arial"/>
          <w:bCs/>
        </w:rPr>
        <w:t>s</w:t>
      </w:r>
      <w:r w:rsidR="00C36F21" w:rsidRPr="00F37FAD">
        <w:rPr>
          <w:rFonts w:ascii="Arial" w:hAnsi="Arial" w:cs="Arial"/>
          <w:bCs/>
        </w:rPr>
        <w:t xml:space="preserve"> personas peticionarias </w:t>
      </w:r>
      <w:r w:rsidRPr="00F37FAD">
        <w:rPr>
          <w:rFonts w:ascii="Arial" w:hAnsi="Arial" w:cs="Arial"/>
          <w:bCs/>
        </w:rPr>
        <w:t>presentaron ampliación de demanda contra la respuesta.</w:t>
      </w:r>
    </w:p>
    <w:p w14:paraId="4F20AECC" w14:textId="0F75C6F2" w:rsidR="00DD3EF4" w:rsidRPr="00F37FAD" w:rsidRDefault="003208E7" w:rsidP="003208E7">
      <w:pPr>
        <w:spacing w:before="240" w:after="240" w:line="360" w:lineRule="auto"/>
        <w:jc w:val="both"/>
        <w:rPr>
          <w:rFonts w:ascii="Arial" w:hAnsi="Arial" w:cs="Arial"/>
          <w:bCs/>
        </w:rPr>
      </w:pPr>
      <w:r w:rsidRPr="00F37FAD">
        <w:rPr>
          <w:rFonts w:ascii="Arial" w:hAnsi="Arial" w:cs="Arial"/>
          <w:b/>
        </w:rPr>
        <w:t>5.</w:t>
      </w:r>
      <w:r w:rsidR="0061219C" w:rsidRPr="00F37FAD">
        <w:rPr>
          <w:rFonts w:ascii="Arial" w:hAnsi="Arial" w:cs="Arial"/>
          <w:b/>
        </w:rPr>
        <w:t xml:space="preserve"> </w:t>
      </w:r>
      <w:r w:rsidRPr="00F37FAD">
        <w:rPr>
          <w:rFonts w:ascii="Arial" w:hAnsi="Arial" w:cs="Arial"/>
          <w:b/>
        </w:rPr>
        <w:t>Sentencia</w:t>
      </w:r>
      <w:r w:rsidR="0061219C" w:rsidRPr="00F37FAD">
        <w:rPr>
          <w:rFonts w:ascii="Arial" w:hAnsi="Arial" w:cs="Arial"/>
          <w:b/>
        </w:rPr>
        <w:t xml:space="preserve"> local </w:t>
      </w:r>
      <w:r w:rsidRPr="00F37FAD">
        <w:rPr>
          <w:rFonts w:ascii="Arial" w:hAnsi="Arial" w:cs="Arial"/>
          <w:b/>
        </w:rPr>
        <w:t xml:space="preserve">TEE-JDCN-12/2019. </w:t>
      </w:r>
      <w:r w:rsidRPr="00F37FAD">
        <w:rPr>
          <w:rFonts w:ascii="Arial" w:hAnsi="Arial" w:cs="Arial"/>
          <w:bCs/>
        </w:rPr>
        <w:t>El diecinueve de junio de dos mil veinte</w:t>
      </w:r>
      <w:r w:rsidR="00016A27" w:rsidRPr="00F37FAD">
        <w:rPr>
          <w:rStyle w:val="Refdenotaalpie"/>
          <w:rFonts w:ascii="Arial" w:hAnsi="Arial"/>
          <w:bCs/>
        </w:rPr>
        <w:footnoteReference w:id="4"/>
      </w:r>
      <w:r w:rsidRPr="00F37FAD">
        <w:rPr>
          <w:rFonts w:ascii="Arial" w:hAnsi="Arial" w:cs="Arial"/>
          <w:bCs/>
        </w:rPr>
        <w:t>, el Tribunal</w:t>
      </w:r>
      <w:r w:rsidR="00696129" w:rsidRPr="00F37FAD">
        <w:rPr>
          <w:rFonts w:ascii="Arial" w:hAnsi="Arial" w:cs="Arial"/>
          <w:bCs/>
        </w:rPr>
        <w:t xml:space="preserve"> Electoral del Estado de Nayarit</w:t>
      </w:r>
      <w:r w:rsidR="00696129" w:rsidRPr="00F37FAD">
        <w:rPr>
          <w:rStyle w:val="Refdenotaalpie"/>
          <w:rFonts w:ascii="Arial" w:hAnsi="Arial"/>
          <w:bCs/>
        </w:rPr>
        <w:footnoteReference w:id="5"/>
      </w:r>
      <w:r w:rsidRPr="00F37FAD">
        <w:rPr>
          <w:rFonts w:ascii="Arial" w:hAnsi="Arial" w:cs="Arial"/>
          <w:bCs/>
        </w:rPr>
        <w:t xml:space="preserve"> estimó improcedente el escrito de ampliación de demanda al </w:t>
      </w:r>
      <w:r w:rsidR="001D65E4" w:rsidRPr="00F37FAD">
        <w:rPr>
          <w:rFonts w:ascii="Arial" w:hAnsi="Arial" w:cs="Arial"/>
          <w:bCs/>
        </w:rPr>
        <w:t>ser extemporáneo</w:t>
      </w:r>
      <w:r w:rsidR="00DD3EF4" w:rsidRPr="00F37FAD">
        <w:rPr>
          <w:rFonts w:ascii="Arial" w:hAnsi="Arial" w:cs="Arial"/>
          <w:bCs/>
        </w:rPr>
        <w:t>.</w:t>
      </w:r>
    </w:p>
    <w:p w14:paraId="6E4EE5DC" w14:textId="3CBC54AE" w:rsidR="003208E7" w:rsidRPr="00F37FAD" w:rsidRDefault="00DD3EF4" w:rsidP="003208E7">
      <w:pPr>
        <w:spacing w:before="240" w:after="240" w:line="360" w:lineRule="auto"/>
        <w:jc w:val="both"/>
        <w:rPr>
          <w:rFonts w:ascii="Arial" w:hAnsi="Arial" w:cs="Arial"/>
          <w:bCs/>
        </w:rPr>
      </w:pPr>
      <w:r w:rsidRPr="00F37FAD">
        <w:rPr>
          <w:rFonts w:ascii="Arial" w:hAnsi="Arial" w:cs="Arial"/>
          <w:bCs/>
        </w:rPr>
        <w:t>A</w:t>
      </w:r>
      <w:r w:rsidR="003208E7" w:rsidRPr="00F37FAD">
        <w:rPr>
          <w:rFonts w:ascii="Arial" w:hAnsi="Arial" w:cs="Arial"/>
          <w:bCs/>
        </w:rPr>
        <w:t>simismo, revocó parcialmente el acuerdo IEEN-CLE-157/2019, a efecto de que el</w:t>
      </w:r>
      <w:r w:rsidR="001D65E4" w:rsidRPr="00F37FAD">
        <w:rPr>
          <w:rFonts w:ascii="Arial" w:hAnsi="Arial" w:cs="Arial"/>
          <w:bCs/>
        </w:rPr>
        <w:t xml:space="preserve"> </w:t>
      </w:r>
      <w:r w:rsidR="00DC05DF" w:rsidRPr="00F37FAD">
        <w:rPr>
          <w:rFonts w:ascii="Arial" w:hAnsi="Arial" w:cs="Arial"/>
          <w:bCs/>
        </w:rPr>
        <w:t>Instituto local</w:t>
      </w:r>
      <w:r w:rsidR="003208E7" w:rsidRPr="00F37FAD">
        <w:rPr>
          <w:rFonts w:ascii="Arial" w:hAnsi="Arial" w:cs="Arial"/>
          <w:bCs/>
        </w:rPr>
        <w:t xml:space="preserve"> emi</w:t>
      </w:r>
      <w:r w:rsidR="001D65E4" w:rsidRPr="00F37FAD">
        <w:rPr>
          <w:rFonts w:ascii="Arial" w:hAnsi="Arial" w:cs="Arial"/>
          <w:bCs/>
        </w:rPr>
        <w:t>tiera</w:t>
      </w:r>
      <w:r w:rsidR="003208E7" w:rsidRPr="00F37FAD">
        <w:rPr>
          <w:rFonts w:ascii="Arial" w:hAnsi="Arial" w:cs="Arial"/>
          <w:bCs/>
        </w:rPr>
        <w:t xml:space="preserve"> uno diverso a más tardar noventa días antes del inicio del proceso electoral, en el que determine concretamente las acciones afirmativas que implementará en favor de los integrantes de las comunidades y pueblos indígenas de Nayarit para el proceso electoral 2021, realizando de manera previa </w:t>
      </w:r>
      <w:r w:rsidR="001D485E" w:rsidRPr="00F37FAD">
        <w:rPr>
          <w:rFonts w:ascii="Arial" w:hAnsi="Arial" w:cs="Arial"/>
          <w:bCs/>
        </w:rPr>
        <w:t xml:space="preserve">la correspondiente </w:t>
      </w:r>
      <w:r w:rsidR="003208E7" w:rsidRPr="00F37FAD">
        <w:rPr>
          <w:rFonts w:ascii="Arial" w:hAnsi="Arial" w:cs="Arial"/>
          <w:bCs/>
        </w:rPr>
        <w:t>consulta.</w:t>
      </w:r>
    </w:p>
    <w:p w14:paraId="77C7D205" w14:textId="0E21CEF8" w:rsidR="008C5B95" w:rsidRPr="00F37FAD" w:rsidRDefault="003208E7" w:rsidP="008C5B95">
      <w:pPr>
        <w:spacing w:before="240" w:after="240" w:line="360" w:lineRule="auto"/>
        <w:jc w:val="both"/>
        <w:rPr>
          <w:rFonts w:ascii="Arial" w:hAnsi="Arial" w:cs="Arial"/>
          <w:bCs/>
        </w:rPr>
      </w:pPr>
      <w:r w:rsidRPr="00F37FAD">
        <w:rPr>
          <w:rFonts w:ascii="Arial" w:hAnsi="Arial" w:cs="Arial"/>
          <w:b/>
          <w:bCs/>
        </w:rPr>
        <w:t>6.</w:t>
      </w:r>
      <w:r w:rsidR="001D485E" w:rsidRPr="00F37FAD">
        <w:rPr>
          <w:rFonts w:ascii="Arial" w:hAnsi="Arial" w:cs="Arial"/>
          <w:b/>
          <w:bCs/>
        </w:rPr>
        <w:t xml:space="preserve"> </w:t>
      </w:r>
      <w:r w:rsidRPr="00F37FAD">
        <w:rPr>
          <w:rFonts w:ascii="Arial" w:hAnsi="Arial" w:cs="Arial"/>
          <w:b/>
          <w:bCs/>
        </w:rPr>
        <w:t>Incidente de aclaración de sentencia.</w:t>
      </w:r>
      <w:r w:rsidR="009B67C7" w:rsidRPr="00F37FAD">
        <w:rPr>
          <w:rFonts w:ascii="Arial" w:hAnsi="Arial" w:cs="Arial"/>
          <w:b/>
          <w:bCs/>
        </w:rPr>
        <w:t xml:space="preserve"> </w:t>
      </w:r>
      <w:r w:rsidR="009B67C7" w:rsidRPr="00F37FAD">
        <w:rPr>
          <w:rFonts w:ascii="Arial" w:hAnsi="Arial" w:cs="Arial"/>
        </w:rPr>
        <w:t>L</w:t>
      </w:r>
      <w:r w:rsidRPr="00F37FAD">
        <w:rPr>
          <w:rFonts w:ascii="Arial" w:hAnsi="Arial" w:cs="Arial"/>
          <w:bCs/>
        </w:rPr>
        <w:t>a Consejera Presidenta del</w:t>
      </w:r>
      <w:r w:rsidR="001D485E" w:rsidRPr="00F37FAD">
        <w:rPr>
          <w:rFonts w:ascii="Arial" w:hAnsi="Arial" w:cs="Arial"/>
          <w:bCs/>
        </w:rPr>
        <w:t xml:space="preserve"> </w:t>
      </w:r>
      <w:r w:rsidR="001467E1" w:rsidRPr="00F37FAD">
        <w:rPr>
          <w:rFonts w:ascii="Arial" w:hAnsi="Arial" w:cs="Arial"/>
          <w:bCs/>
        </w:rPr>
        <w:t>Instituto local</w:t>
      </w:r>
      <w:r w:rsidRPr="00F37FAD">
        <w:rPr>
          <w:rFonts w:ascii="Arial" w:hAnsi="Arial" w:cs="Arial"/>
          <w:bCs/>
        </w:rPr>
        <w:t xml:space="preserve"> promovió incidente de aclaración de </w:t>
      </w:r>
      <w:r w:rsidR="009813F6" w:rsidRPr="00F37FAD">
        <w:rPr>
          <w:rFonts w:ascii="Arial" w:hAnsi="Arial" w:cs="Arial"/>
          <w:bCs/>
        </w:rPr>
        <w:t>la sentencia local</w:t>
      </w:r>
      <w:r w:rsidR="008C5B95" w:rsidRPr="00F37FAD">
        <w:rPr>
          <w:rFonts w:ascii="Arial" w:hAnsi="Arial" w:cs="Arial"/>
          <w:bCs/>
        </w:rPr>
        <w:t xml:space="preserve">; sin embargo, el Tribunal local </w:t>
      </w:r>
      <w:r w:rsidR="00005DCE" w:rsidRPr="00F37FAD">
        <w:rPr>
          <w:rFonts w:ascii="Arial" w:hAnsi="Arial" w:cs="Arial"/>
          <w:bCs/>
        </w:rPr>
        <w:t>declaró su improcedencia</w:t>
      </w:r>
      <w:r w:rsidR="008C5B95" w:rsidRPr="00F37FAD">
        <w:rPr>
          <w:rFonts w:ascii="Arial" w:hAnsi="Arial" w:cs="Arial"/>
          <w:bCs/>
        </w:rPr>
        <w:t>, toda vez que no se advertía contradicción, ambigüedad u obscuridad, puesto que se establecía claramente la obligación de las autoridades de implementar acciones afirmativas, previ</w:t>
      </w:r>
      <w:r w:rsidR="00DC64EF">
        <w:rPr>
          <w:rFonts w:ascii="Arial" w:hAnsi="Arial" w:cs="Arial"/>
          <w:bCs/>
        </w:rPr>
        <w:t>a consulta.</w:t>
      </w:r>
    </w:p>
    <w:p w14:paraId="69E79D69" w14:textId="261A4DC5" w:rsidR="003208E7" w:rsidRPr="00F37FAD" w:rsidRDefault="003208E7" w:rsidP="003208E7">
      <w:pPr>
        <w:spacing w:before="240" w:after="240" w:line="360" w:lineRule="auto"/>
        <w:jc w:val="both"/>
        <w:rPr>
          <w:rFonts w:ascii="Arial" w:hAnsi="Arial" w:cs="Arial"/>
          <w:bCs/>
        </w:rPr>
      </w:pPr>
      <w:r w:rsidRPr="00F37FAD">
        <w:rPr>
          <w:rFonts w:ascii="Arial" w:hAnsi="Arial" w:cs="Arial"/>
          <w:b/>
        </w:rPr>
        <w:t>7.</w:t>
      </w:r>
      <w:r w:rsidR="00B27E08" w:rsidRPr="00F37FAD">
        <w:rPr>
          <w:rFonts w:ascii="Arial" w:hAnsi="Arial" w:cs="Arial"/>
          <w:b/>
        </w:rPr>
        <w:t xml:space="preserve"> </w:t>
      </w:r>
      <w:r w:rsidR="00F51D3D" w:rsidRPr="00F37FAD">
        <w:rPr>
          <w:rFonts w:ascii="Arial" w:hAnsi="Arial" w:cs="Arial"/>
          <w:b/>
        </w:rPr>
        <w:t>Primer j</w:t>
      </w:r>
      <w:r w:rsidR="00AD2DA3" w:rsidRPr="00F37FAD">
        <w:rPr>
          <w:rFonts w:ascii="Arial" w:hAnsi="Arial" w:cs="Arial"/>
          <w:b/>
        </w:rPr>
        <w:t>uicio federal</w:t>
      </w:r>
      <w:r w:rsidR="00846EB6" w:rsidRPr="00F37FAD">
        <w:rPr>
          <w:rFonts w:ascii="Arial" w:hAnsi="Arial" w:cs="Arial"/>
          <w:b/>
        </w:rPr>
        <w:t xml:space="preserve"> SG-JE-48/2020</w:t>
      </w:r>
      <w:r w:rsidRPr="00F37FAD">
        <w:rPr>
          <w:rFonts w:ascii="Arial" w:hAnsi="Arial" w:cs="Arial"/>
          <w:b/>
        </w:rPr>
        <w:t>.</w:t>
      </w:r>
      <w:r w:rsidRPr="00F37FAD">
        <w:rPr>
          <w:rFonts w:ascii="Arial" w:hAnsi="Arial" w:cs="Arial"/>
          <w:bCs/>
        </w:rPr>
        <w:t xml:space="preserve"> El veintiséis de junio, la</w:t>
      </w:r>
      <w:r w:rsidR="00602606" w:rsidRPr="00F37FAD">
        <w:rPr>
          <w:rFonts w:ascii="Arial" w:hAnsi="Arial" w:cs="Arial"/>
          <w:bCs/>
        </w:rPr>
        <w:t xml:space="preserve"> Consejera Presidenta </w:t>
      </w:r>
      <w:r w:rsidRPr="00F37FAD">
        <w:rPr>
          <w:rFonts w:ascii="Arial" w:hAnsi="Arial" w:cs="Arial"/>
          <w:bCs/>
        </w:rPr>
        <w:t>presentó juicio electoral, a fin de controvertir la sentencia</w:t>
      </w:r>
      <w:r w:rsidR="00602606" w:rsidRPr="00F37FAD">
        <w:rPr>
          <w:rFonts w:ascii="Arial" w:hAnsi="Arial" w:cs="Arial"/>
          <w:bCs/>
        </w:rPr>
        <w:t xml:space="preserve"> local.</w:t>
      </w:r>
    </w:p>
    <w:p w14:paraId="7BF75565" w14:textId="75811903" w:rsidR="003208E7" w:rsidRPr="00F37FAD" w:rsidRDefault="003208E7" w:rsidP="003208E7">
      <w:pPr>
        <w:spacing w:before="240" w:after="240" w:line="360" w:lineRule="auto"/>
        <w:jc w:val="both"/>
        <w:rPr>
          <w:rFonts w:ascii="Arial" w:hAnsi="Arial" w:cs="Arial"/>
          <w:bCs/>
        </w:rPr>
      </w:pPr>
      <w:r w:rsidRPr="00F37FAD">
        <w:rPr>
          <w:rFonts w:ascii="Arial" w:hAnsi="Arial" w:cs="Arial"/>
          <w:b/>
        </w:rPr>
        <w:lastRenderedPageBreak/>
        <w:t>8.</w:t>
      </w:r>
      <w:r w:rsidR="00602606" w:rsidRPr="00F37FAD">
        <w:rPr>
          <w:rFonts w:ascii="Arial" w:hAnsi="Arial" w:cs="Arial"/>
          <w:b/>
        </w:rPr>
        <w:t xml:space="preserve"> </w:t>
      </w:r>
      <w:r w:rsidRPr="00F37FAD">
        <w:rPr>
          <w:rFonts w:ascii="Arial" w:hAnsi="Arial" w:cs="Arial"/>
          <w:b/>
        </w:rPr>
        <w:t>Remisión a Sala Superior.</w:t>
      </w:r>
      <w:r w:rsidRPr="00F37FAD">
        <w:rPr>
          <w:rFonts w:ascii="Arial" w:hAnsi="Arial" w:cs="Arial"/>
          <w:bCs/>
        </w:rPr>
        <w:t xml:space="preserve"> En</w:t>
      </w:r>
      <w:r w:rsidR="005610AE" w:rsidRPr="00F37FAD">
        <w:rPr>
          <w:rFonts w:ascii="Arial" w:hAnsi="Arial" w:cs="Arial"/>
          <w:bCs/>
        </w:rPr>
        <w:t xml:space="preserve"> su momento</w:t>
      </w:r>
      <w:r w:rsidRPr="00F37FAD">
        <w:rPr>
          <w:rFonts w:ascii="Arial" w:hAnsi="Arial" w:cs="Arial"/>
          <w:bCs/>
        </w:rPr>
        <w:t xml:space="preserve">, el Magistrado Presidente de </w:t>
      </w:r>
      <w:r w:rsidR="005610AE" w:rsidRPr="00F37FAD">
        <w:rPr>
          <w:rFonts w:ascii="Arial" w:hAnsi="Arial" w:cs="Arial"/>
          <w:bCs/>
        </w:rPr>
        <w:t>la</w:t>
      </w:r>
      <w:r w:rsidRPr="00F37FAD">
        <w:rPr>
          <w:rFonts w:ascii="Arial" w:hAnsi="Arial" w:cs="Arial"/>
          <w:bCs/>
        </w:rPr>
        <w:t xml:space="preserve"> Sala</w:t>
      </w:r>
      <w:r w:rsidR="00DD6D78" w:rsidRPr="00F37FAD">
        <w:rPr>
          <w:rFonts w:ascii="Arial" w:hAnsi="Arial" w:cs="Arial"/>
          <w:bCs/>
        </w:rPr>
        <w:t xml:space="preserve"> responsable </w:t>
      </w:r>
      <w:r w:rsidRPr="00F37FAD">
        <w:rPr>
          <w:rFonts w:ascii="Arial" w:hAnsi="Arial" w:cs="Arial"/>
          <w:bCs/>
        </w:rPr>
        <w:t>acordó remitir el expediente a la Sala Superior, a efecto de que se determinara el cauce que debía darse</w:t>
      </w:r>
      <w:r w:rsidR="005610AE" w:rsidRPr="00F37FAD">
        <w:rPr>
          <w:rFonts w:ascii="Arial" w:hAnsi="Arial" w:cs="Arial"/>
          <w:bCs/>
        </w:rPr>
        <w:t>.</w:t>
      </w:r>
    </w:p>
    <w:p w14:paraId="25FAB156" w14:textId="2972A1A8" w:rsidR="003208E7" w:rsidRPr="00F37FAD" w:rsidRDefault="00D738E2" w:rsidP="00D738E2">
      <w:pPr>
        <w:spacing w:before="240" w:after="240" w:line="360" w:lineRule="auto"/>
        <w:jc w:val="both"/>
        <w:rPr>
          <w:rFonts w:ascii="Arial" w:hAnsi="Arial" w:cs="Arial"/>
          <w:bCs/>
        </w:rPr>
      </w:pPr>
      <w:r w:rsidRPr="00F37FAD">
        <w:rPr>
          <w:rFonts w:ascii="Arial" w:hAnsi="Arial" w:cs="Arial"/>
          <w:bCs/>
        </w:rPr>
        <w:t xml:space="preserve">Al respecto, </w:t>
      </w:r>
      <w:r w:rsidR="004B1CCD" w:rsidRPr="00F37FAD">
        <w:rPr>
          <w:rFonts w:ascii="Arial" w:hAnsi="Arial" w:cs="Arial"/>
          <w:bCs/>
        </w:rPr>
        <w:t xml:space="preserve">la Sala Superior </w:t>
      </w:r>
      <w:r w:rsidR="003208E7" w:rsidRPr="00F37FAD">
        <w:rPr>
          <w:rFonts w:ascii="Arial" w:hAnsi="Arial" w:cs="Arial"/>
          <w:bCs/>
        </w:rPr>
        <w:t xml:space="preserve">acordó que la competencia recae en </w:t>
      </w:r>
      <w:r w:rsidR="00FA01A0" w:rsidRPr="00F37FAD">
        <w:rPr>
          <w:rFonts w:ascii="Arial" w:hAnsi="Arial" w:cs="Arial"/>
          <w:bCs/>
        </w:rPr>
        <w:t>l</w:t>
      </w:r>
      <w:r w:rsidR="003208E7" w:rsidRPr="00F37FAD">
        <w:rPr>
          <w:rFonts w:ascii="Arial" w:hAnsi="Arial" w:cs="Arial"/>
          <w:bCs/>
        </w:rPr>
        <w:t>a Sala Regional</w:t>
      </w:r>
      <w:r w:rsidR="00FA01A0" w:rsidRPr="00F37FAD">
        <w:rPr>
          <w:rFonts w:ascii="Arial" w:hAnsi="Arial" w:cs="Arial"/>
          <w:bCs/>
        </w:rPr>
        <w:t xml:space="preserve"> Guadalajara</w:t>
      </w:r>
      <w:r w:rsidR="003208E7" w:rsidRPr="00F37FAD">
        <w:rPr>
          <w:rFonts w:ascii="Arial" w:hAnsi="Arial" w:cs="Arial"/>
          <w:bCs/>
        </w:rPr>
        <w:t>, ya que el proceso electoral dentro del cual se pretenden implementar las acciones afirmativas corresponde a la elección de ayuntamientos y diputaciones locales en el estado de Nayarit</w:t>
      </w:r>
      <w:r w:rsidR="0022397D" w:rsidRPr="00F37FAD">
        <w:rPr>
          <w:rStyle w:val="Refdenotaalpie"/>
          <w:rFonts w:ascii="Arial" w:hAnsi="Arial"/>
          <w:bCs/>
        </w:rPr>
        <w:footnoteReference w:id="6"/>
      </w:r>
      <w:r w:rsidR="003208E7" w:rsidRPr="00F37FAD">
        <w:rPr>
          <w:rFonts w:ascii="Arial" w:hAnsi="Arial" w:cs="Arial"/>
          <w:bCs/>
        </w:rPr>
        <w:t xml:space="preserve">. </w:t>
      </w:r>
    </w:p>
    <w:p w14:paraId="1204A2EF" w14:textId="7C1460AA" w:rsidR="003208E7" w:rsidRPr="00F37FAD" w:rsidRDefault="008C4C78" w:rsidP="003208E7">
      <w:pPr>
        <w:spacing w:before="240" w:after="240" w:line="360" w:lineRule="auto"/>
        <w:jc w:val="both"/>
        <w:rPr>
          <w:rFonts w:ascii="Arial" w:hAnsi="Arial" w:cs="Arial"/>
          <w:bCs/>
        </w:rPr>
      </w:pPr>
      <w:r w:rsidRPr="00F37FAD">
        <w:rPr>
          <w:rFonts w:ascii="Arial" w:hAnsi="Arial" w:cs="Arial"/>
          <w:b/>
        </w:rPr>
        <w:t>9</w:t>
      </w:r>
      <w:r w:rsidR="003208E7" w:rsidRPr="00F37FAD">
        <w:rPr>
          <w:rFonts w:ascii="Arial" w:hAnsi="Arial" w:cs="Arial"/>
          <w:b/>
        </w:rPr>
        <w:t xml:space="preserve">. Acuerdo IEEN-CLE-091/2020. </w:t>
      </w:r>
      <w:r w:rsidR="003208E7" w:rsidRPr="00F37FAD">
        <w:rPr>
          <w:rFonts w:ascii="Arial" w:hAnsi="Arial" w:cs="Arial"/>
          <w:bCs/>
        </w:rPr>
        <w:t>El siete de septiembre, el</w:t>
      </w:r>
      <w:r w:rsidR="00D54F27" w:rsidRPr="00F37FAD">
        <w:rPr>
          <w:rFonts w:ascii="Arial" w:hAnsi="Arial" w:cs="Arial"/>
          <w:bCs/>
        </w:rPr>
        <w:t xml:space="preserve"> Instituto local </w:t>
      </w:r>
      <w:r w:rsidR="003208E7" w:rsidRPr="00F37FAD">
        <w:rPr>
          <w:rFonts w:ascii="Arial" w:hAnsi="Arial" w:cs="Arial"/>
          <w:bCs/>
        </w:rPr>
        <w:t>aprobó el Plan de Trabajo en el que se establece una ruta crítica para dar cumplimiento al mandato del Tribunal Estatal Electoral</w:t>
      </w:r>
      <w:r w:rsidR="001B4693">
        <w:rPr>
          <w:rFonts w:ascii="Arial" w:hAnsi="Arial" w:cs="Arial"/>
          <w:bCs/>
        </w:rPr>
        <w:t>.</w:t>
      </w:r>
    </w:p>
    <w:p w14:paraId="21817FA2" w14:textId="3C82938E" w:rsidR="003208E7" w:rsidRPr="00F37FAD" w:rsidRDefault="009C0A09" w:rsidP="003208E7">
      <w:pPr>
        <w:spacing w:before="240" w:after="240" w:line="360" w:lineRule="auto"/>
        <w:jc w:val="both"/>
        <w:rPr>
          <w:rFonts w:ascii="Arial" w:hAnsi="Arial" w:cs="Arial"/>
          <w:bCs/>
        </w:rPr>
      </w:pPr>
      <w:r w:rsidRPr="00F37FAD">
        <w:rPr>
          <w:rFonts w:ascii="Arial" w:hAnsi="Arial" w:cs="Arial"/>
          <w:b/>
        </w:rPr>
        <w:t>10</w:t>
      </w:r>
      <w:r w:rsidR="003208E7" w:rsidRPr="00F37FAD">
        <w:rPr>
          <w:rFonts w:ascii="Arial" w:hAnsi="Arial" w:cs="Arial"/>
          <w:b/>
        </w:rPr>
        <w:t xml:space="preserve">. </w:t>
      </w:r>
      <w:r w:rsidR="00F51D3D" w:rsidRPr="00F37FAD">
        <w:rPr>
          <w:rFonts w:ascii="Arial" w:hAnsi="Arial" w:cs="Arial"/>
          <w:b/>
        </w:rPr>
        <w:t>Segundos juicios federales</w:t>
      </w:r>
      <w:r w:rsidR="00237120" w:rsidRPr="00F37FAD">
        <w:rPr>
          <w:rFonts w:ascii="Arial" w:hAnsi="Arial" w:cs="Arial"/>
          <w:b/>
        </w:rPr>
        <w:t xml:space="preserve"> SG-JRC-18/2020 y SG-JRC-19/2020</w:t>
      </w:r>
      <w:r w:rsidR="00F51D3D" w:rsidRPr="00F37FAD">
        <w:rPr>
          <w:rFonts w:ascii="Arial" w:hAnsi="Arial" w:cs="Arial"/>
          <w:b/>
        </w:rPr>
        <w:t>.</w:t>
      </w:r>
      <w:r w:rsidR="003208E7" w:rsidRPr="00F37FAD">
        <w:rPr>
          <w:rFonts w:ascii="Arial" w:hAnsi="Arial" w:cs="Arial"/>
          <w:bCs/>
        </w:rPr>
        <w:t xml:space="preserve"> </w:t>
      </w:r>
      <w:r w:rsidR="00F51D3D" w:rsidRPr="00F37FAD">
        <w:rPr>
          <w:rFonts w:ascii="Arial" w:hAnsi="Arial" w:cs="Arial"/>
          <w:bCs/>
        </w:rPr>
        <w:t>El nueve y once de septiembre, e</w:t>
      </w:r>
      <w:r w:rsidR="003208E7" w:rsidRPr="00F37FAD">
        <w:rPr>
          <w:rFonts w:ascii="Arial" w:hAnsi="Arial" w:cs="Arial"/>
          <w:bCs/>
        </w:rPr>
        <w:t>n contra del acuerdo</w:t>
      </w:r>
      <w:r w:rsidR="00706C14" w:rsidRPr="00F37FAD">
        <w:rPr>
          <w:rFonts w:ascii="Arial" w:hAnsi="Arial" w:cs="Arial"/>
          <w:bCs/>
        </w:rPr>
        <w:t xml:space="preserve"> IEEN-CLE-091/2020</w:t>
      </w:r>
      <w:r w:rsidR="003208E7" w:rsidRPr="00F37FAD">
        <w:rPr>
          <w:rFonts w:ascii="Arial" w:hAnsi="Arial" w:cs="Arial"/>
          <w:bCs/>
        </w:rPr>
        <w:t xml:space="preserve">, </w:t>
      </w:r>
      <w:r w:rsidR="00237120" w:rsidRPr="00F37FAD">
        <w:rPr>
          <w:rFonts w:ascii="Arial" w:hAnsi="Arial" w:cs="Arial"/>
          <w:bCs/>
        </w:rPr>
        <w:t xml:space="preserve">saltándose la instancia local, </w:t>
      </w:r>
      <w:r w:rsidR="00F51D3D" w:rsidRPr="00F37FAD">
        <w:rPr>
          <w:rFonts w:ascii="Arial" w:hAnsi="Arial" w:cs="Arial"/>
          <w:bCs/>
        </w:rPr>
        <w:t>el</w:t>
      </w:r>
      <w:r w:rsidR="003208E7" w:rsidRPr="00F37FAD">
        <w:rPr>
          <w:rFonts w:ascii="Arial" w:hAnsi="Arial" w:cs="Arial"/>
          <w:bCs/>
        </w:rPr>
        <w:t xml:space="preserve"> Partido Acción Nacional y Movimiento Ciudadano</w:t>
      </w:r>
      <w:r w:rsidR="00356AEB" w:rsidRPr="00F37FAD">
        <w:rPr>
          <w:rFonts w:ascii="Arial" w:hAnsi="Arial" w:cs="Arial"/>
          <w:bCs/>
        </w:rPr>
        <w:t xml:space="preserve"> presentaron </w:t>
      </w:r>
      <w:r w:rsidR="0004000A" w:rsidRPr="00F37FAD">
        <w:rPr>
          <w:rFonts w:ascii="Arial" w:hAnsi="Arial" w:cs="Arial"/>
          <w:bCs/>
        </w:rPr>
        <w:t>sendos</w:t>
      </w:r>
      <w:r w:rsidR="00356AEB" w:rsidRPr="00F37FAD">
        <w:rPr>
          <w:rFonts w:ascii="Arial" w:hAnsi="Arial" w:cs="Arial"/>
          <w:bCs/>
        </w:rPr>
        <w:t xml:space="preserve"> </w:t>
      </w:r>
      <w:r w:rsidR="0004000A" w:rsidRPr="00F37FAD">
        <w:rPr>
          <w:rFonts w:ascii="Arial" w:hAnsi="Arial" w:cs="Arial"/>
          <w:bCs/>
        </w:rPr>
        <w:t xml:space="preserve">juicios de revisión constitucional electoral. </w:t>
      </w:r>
    </w:p>
    <w:p w14:paraId="1AC6F3A6" w14:textId="7A2FAE7E" w:rsidR="00456517" w:rsidRPr="00F37FAD" w:rsidRDefault="00466020" w:rsidP="0017788D">
      <w:pPr>
        <w:spacing w:before="240" w:after="240" w:line="360" w:lineRule="auto"/>
        <w:jc w:val="both"/>
        <w:rPr>
          <w:rFonts w:ascii="Arial" w:hAnsi="Arial" w:cs="Arial"/>
          <w:bCs/>
        </w:rPr>
      </w:pPr>
      <w:r w:rsidRPr="00F37FAD">
        <w:rPr>
          <w:rFonts w:ascii="Arial" w:hAnsi="Arial" w:cs="Arial"/>
          <w:b/>
        </w:rPr>
        <w:t>11</w:t>
      </w:r>
      <w:r w:rsidR="0017788D" w:rsidRPr="00F37FAD">
        <w:rPr>
          <w:rFonts w:ascii="Arial" w:hAnsi="Arial" w:cs="Arial"/>
          <w:b/>
        </w:rPr>
        <w:t>. Sentencia impugnada</w:t>
      </w:r>
      <w:r w:rsidR="00675A0D" w:rsidRPr="00F37FAD">
        <w:rPr>
          <w:rFonts w:ascii="Arial" w:hAnsi="Arial" w:cs="Arial"/>
          <w:b/>
        </w:rPr>
        <w:t xml:space="preserve"> SG-JE-48/2020 y acumulados SG-JRC-18/2020 y SG-JRC-19/2020</w:t>
      </w:r>
      <w:r w:rsidR="0017788D" w:rsidRPr="00F37FAD">
        <w:rPr>
          <w:rFonts w:ascii="Arial" w:hAnsi="Arial" w:cs="Arial"/>
          <w:b/>
        </w:rPr>
        <w:t xml:space="preserve">. </w:t>
      </w:r>
      <w:bookmarkStart w:id="0" w:name="_Hlk5279320"/>
      <w:r w:rsidR="0017788D" w:rsidRPr="00F37FAD">
        <w:rPr>
          <w:rFonts w:ascii="Arial" w:hAnsi="Arial" w:cs="Arial"/>
          <w:bCs/>
        </w:rPr>
        <w:t xml:space="preserve">El </w:t>
      </w:r>
      <w:r w:rsidR="00675A0D" w:rsidRPr="00F37FAD">
        <w:rPr>
          <w:rFonts w:ascii="Arial" w:hAnsi="Arial" w:cs="Arial"/>
          <w:bCs/>
        </w:rPr>
        <w:t>veinticuatro de septiembre</w:t>
      </w:r>
      <w:r w:rsidR="0017788D" w:rsidRPr="00F37FAD">
        <w:rPr>
          <w:rFonts w:ascii="Arial" w:hAnsi="Arial" w:cs="Arial"/>
          <w:bCs/>
        </w:rPr>
        <w:t>, la Sala</w:t>
      </w:r>
      <w:r w:rsidR="00800A26" w:rsidRPr="00F37FAD">
        <w:rPr>
          <w:rFonts w:ascii="Arial" w:hAnsi="Arial" w:cs="Arial"/>
          <w:bCs/>
        </w:rPr>
        <w:t xml:space="preserve"> responsable</w:t>
      </w:r>
      <w:r w:rsidR="00841363" w:rsidRPr="00F37FAD">
        <w:rPr>
          <w:rFonts w:ascii="Arial" w:hAnsi="Arial" w:cs="Arial"/>
          <w:bCs/>
        </w:rPr>
        <w:t xml:space="preserve"> </w:t>
      </w:r>
      <w:bookmarkEnd w:id="0"/>
      <w:r w:rsidR="000B3777" w:rsidRPr="00F37FAD">
        <w:rPr>
          <w:rFonts w:ascii="Arial" w:hAnsi="Arial" w:cs="Arial"/>
          <w:bCs/>
        </w:rPr>
        <w:t>determinó suspender el desarrollo del proceso consultivo a los pueblos y comunidades indígenas de Nayarit, llevado a cabo por el</w:t>
      </w:r>
      <w:r w:rsidR="00800A26" w:rsidRPr="00F37FAD">
        <w:rPr>
          <w:rFonts w:ascii="Arial" w:hAnsi="Arial" w:cs="Arial"/>
          <w:bCs/>
        </w:rPr>
        <w:t xml:space="preserve"> Instituto local</w:t>
      </w:r>
      <w:r w:rsidR="000B3777" w:rsidRPr="00F37FAD">
        <w:rPr>
          <w:rFonts w:ascii="Arial" w:hAnsi="Arial" w:cs="Arial"/>
          <w:bCs/>
        </w:rPr>
        <w:t xml:space="preserve"> para someter a su consideración la aplicación de medidas afirmativas para el proceso electoral 2021. </w:t>
      </w:r>
    </w:p>
    <w:p w14:paraId="3DBEDC06" w14:textId="7D9D68B5" w:rsidR="000B3777" w:rsidRPr="00F37FAD" w:rsidRDefault="000B3777" w:rsidP="0017788D">
      <w:pPr>
        <w:spacing w:before="240" w:after="240" w:line="360" w:lineRule="auto"/>
        <w:jc w:val="both"/>
        <w:rPr>
          <w:rFonts w:ascii="Arial" w:hAnsi="Arial" w:cs="Arial"/>
          <w:bCs/>
        </w:rPr>
      </w:pPr>
      <w:r w:rsidRPr="00F37FAD">
        <w:rPr>
          <w:rFonts w:ascii="Arial" w:hAnsi="Arial" w:cs="Arial"/>
          <w:bCs/>
        </w:rPr>
        <w:t xml:space="preserve">Lo anterior, a fin de proteger la salud y vida de los miembros de las comunidades, así como al personal involucrado en las actividades. </w:t>
      </w:r>
    </w:p>
    <w:p w14:paraId="10E0C3C2" w14:textId="251E4EA3" w:rsidR="000B3777" w:rsidRPr="00F37FAD" w:rsidRDefault="000B3777" w:rsidP="0017788D">
      <w:pPr>
        <w:spacing w:before="240" w:after="240" w:line="360" w:lineRule="auto"/>
        <w:jc w:val="both"/>
        <w:rPr>
          <w:rFonts w:ascii="Arial" w:hAnsi="Arial" w:cs="Arial"/>
          <w:bCs/>
        </w:rPr>
      </w:pPr>
      <w:r w:rsidRPr="00F37FAD">
        <w:rPr>
          <w:rFonts w:ascii="Arial" w:hAnsi="Arial" w:cs="Arial"/>
          <w:bCs/>
        </w:rPr>
        <w:t>El proceso consultivo deberá reanudarse solo hasta que el estado de Nayarit se encuentre en color amarillo, de acuerdo con el semáforo epidemiológico.</w:t>
      </w:r>
    </w:p>
    <w:p w14:paraId="110D91A7" w14:textId="02C7DA65" w:rsidR="00217766" w:rsidRPr="00F37FAD" w:rsidRDefault="0017788D" w:rsidP="00DE70F8">
      <w:pPr>
        <w:spacing w:before="240" w:after="240" w:line="360" w:lineRule="auto"/>
        <w:jc w:val="both"/>
        <w:rPr>
          <w:rFonts w:ascii="Arial" w:hAnsi="Arial" w:cs="Arial"/>
        </w:rPr>
      </w:pPr>
      <w:r w:rsidRPr="00F37FAD">
        <w:rPr>
          <w:rFonts w:ascii="Arial" w:hAnsi="Arial" w:cs="Arial"/>
          <w:b/>
        </w:rPr>
        <w:t>1</w:t>
      </w:r>
      <w:r w:rsidR="00B1482D" w:rsidRPr="00F37FAD">
        <w:rPr>
          <w:rFonts w:ascii="Arial" w:hAnsi="Arial" w:cs="Arial"/>
          <w:b/>
        </w:rPr>
        <w:t>2</w:t>
      </w:r>
      <w:r w:rsidRPr="00F37FAD">
        <w:rPr>
          <w:rFonts w:ascii="Arial" w:hAnsi="Arial" w:cs="Arial"/>
          <w:b/>
        </w:rPr>
        <w:t xml:space="preserve">. Recurso de reconsideración. </w:t>
      </w:r>
      <w:r w:rsidRPr="00F37FAD">
        <w:rPr>
          <w:rFonts w:ascii="Arial" w:hAnsi="Arial" w:cs="Arial"/>
          <w:bCs/>
        </w:rPr>
        <w:t xml:space="preserve">El </w:t>
      </w:r>
      <w:r w:rsidR="004304FD" w:rsidRPr="00F37FAD">
        <w:rPr>
          <w:rFonts w:ascii="Arial" w:hAnsi="Arial" w:cs="Arial"/>
          <w:bCs/>
        </w:rPr>
        <w:t>treinta de septiembre</w:t>
      </w:r>
      <w:r w:rsidRPr="00F37FAD">
        <w:rPr>
          <w:rFonts w:ascii="Arial" w:hAnsi="Arial" w:cs="Arial"/>
        </w:rPr>
        <w:t xml:space="preserve">, contra la sentencia emitida por la Sala </w:t>
      </w:r>
      <w:r w:rsidR="00A30B15" w:rsidRPr="00F37FAD">
        <w:rPr>
          <w:rFonts w:ascii="Arial" w:hAnsi="Arial" w:cs="Arial"/>
        </w:rPr>
        <w:t>responsable</w:t>
      </w:r>
      <w:r w:rsidRPr="00F37FAD">
        <w:rPr>
          <w:rFonts w:ascii="Arial" w:hAnsi="Arial" w:cs="Arial"/>
        </w:rPr>
        <w:t xml:space="preserve">, </w:t>
      </w:r>
      <w:r w:rsidR="00B61354" w:rsidRPr="00F37FAD">
        <w:rPr>
          <w:rFonts w:ascii="Arial" w:hAnsi="Arial" w:cs="Arial"/>
        </w:rPr>
        <w:t>Ángel Carrillo Muñoz y otros</w:t>
      </w:r>
      <w:r w:rsidRPr="00F37FAD">
        <w:rPr>
          <w:rFonts w:ascii="Arial" w:hAnsi="Arial" w:cs="Arial"/>
        </w:rPr>
        <w:t xml:space="preserve">, </w:t>
      </w:r>
      <w:r w:rsidR="00B61354" w:rsidRPr="00F37FAD">
        <w:rPr>
          <w:rFonts w:ascii="Arial" w:hAnsi="Arial" w:cs="Arial"/>
        </w:rPr>
        <w:t xml:space="preserve">interpusieron </w:t>
      </w:r>
      <w:r w:rsidRPr="00F37FAD">
        <w:rPr>
          <w:rFonts w:ascii="Arial" w:hAnsi="Arial" w:cs="Arial"/>
        </w:rPr>
        <w:t>ante la Sala Superior el presente medio de impugnación, haciendo valer, en esencia, que</w:t>
      </w:r>
      <w:r w:rsidR="00DE70F8" w:rsidRPr="00F37FAD">
        <w:rPr>
          <w:rFonts w:ascii="Arial" w:hAnsi="Arial" w:cs="Arial"/>
        </w:rPr>
        <w:t xml:space="preserve"> la autoridad responsable viola en perjuicio de </w:t>
      </w:r>
      <w:r w:rsidR="00DE70F8" w:rsidRPr="00F37FAD">
        <w:rPr>
          <w:rFonts w:ascii="Arial" w:hAnsi="Arial" w:cs="Arial"/>
        </w:rPr>
        <w:lastRenderedPageBreak/>
        <w:t>los pueblos originarios el derecho a la igualdad y no discriminación, así como el derecho a la consulta previa libre e informada</w:t>
      </w:r>
      <w:r w:rsidR="00217766" w:rsidRPr="00F37FAD">
        <w:rPr>
          <w:rFonts w:ascii="Arial" w:hAnsi="Arial" w:cs="Arial"/>
        </w:rPr>
        <w:t>.</w:t>
      </w:r>
    </w:p>
    <w:p w14:paraId="2A1CA53B" w14:textId="010B097D" w:rsidR="0017788D" w:rsidRPr="00F37FAD" w:rsidRDefault="0017788D" w:rsidP="00A02FCE">
      <w:pPr>
        <w:spacing w:before="240" w:after="240" w:line="360" w:lineRule="auto"/>
        <w:jc w:val="both"/>
        <w:rPr>
          <w:rFonts w:ascii="Arial" w:hAnsi="Arial" w:cs="Arial"/>
          <w:bCs/>
        </w:rPr>
      </w:pPr>
      <w:r w:rsidRPr="00F37FAD">
        <w:rPr>
          <w:rFonts w:ascii="Arial" w:hAnsi="Arial" w:cs="Arial"/>
          <w:bCs/>
        </w:rPr>
        <w:t xml:space="preserve">La presidencia de este órgano jurisdiccional ordenó integrar e identificar el expediente con la clave </w:t>
      </w:r>
      <w:r w:rsidRPr="00F37FAD">
        <w:rPr>
          <w:rFonts w:ascii="Arial" w:hAnsi="Arial" w:cs="Arial"/>
          <w:b/>
          <w:bCs/>
        </w:rPr>
        <w:t>SUP-REC-</w:t>
      </w:r>
      <w:r w:rsidR="00217766" w:rsidRPr="00F37FAD">
        <w:rPr>
          <w:rFonts w:ascii="Arial" w:hAnsi="Arial" w:cs="Arial"/>
          <w:b/>
          <w:bCs/>
        </w:rPr>
        <w:t>211</w:t>
      </w:r>
      <w:r w:rsidRPr="00F37FAD">
        <w:rPr>
          <w:rFonts w:ascii="Arial" w:hAnsi="Arial" w:cs="Arial"/>
          <w:b/>
          <w:bCs/>
        </w:rPr>
        <w:t>/2020</w:t>
      </w:r>
      <w:r w:rsidRPr="00F37FAD">
        <w:rPr>
          <w:rFonts w:ascii="Arial" w:hAnsi="Arial" w:cs="Arial"/>
          <w:bCs/>
        </w:rPr>
        <w:t xml:space="preserve"> y turnarlo a la ponencia de la Magistrada Janine M. Otálora Malassis</w:t>
      </w:r>
      <w:r w:rsidR="00A02FCE">
        <w:rPr>
          <w:rFonts w:ascii="Arial" w:hAnsi="Arial" w:cs="Arial"/>
          <w:bCs/>
        </w:rPr>
        <w:t xml:space="preserve">, en donde se radicó, admitió la demanda y cerró instrucción. </w:t>
      </w:r>
    </w:p>
    <w:p w14:paraId="27FB95C3" w14:textId="77777777" w:rsidR="0017788D" w:rsidRPr="00F37FAD" w:rsidRDefault="0017788D" w:rsidP="0017788D">
      <w:pPr>
        <w:tabs>
          <w:tab w:val="left" w:pos="1215"/>
        </w:tabs>
        <w:spacing w:before="240" w:after="240" w:line="360" w:lineRule="auto"/>
        <w:jc w:val="center"/>
        <w:rPr>
          <w:rFonts w:ascii="Arial" w:hAnsi="Arial" w:cs="Arial"/>
          <w:bCs/>
          <w:lang w:val="es-MX"/>
        </w:rPr>
      </w:pPr>
      <w:r w:rsidRPr="00F37FAD">
        <w:rPr>
          <w:rFonts w:ascii="Arial" w:hAnsi="Arial" w:cs="Arial"/>
          <w:b/>
          <w:bCs/>
          <w:lang w:val="es-MX"/>
        </w:rPr>
        <w:t>RAZONES Y FUNDAMENTOS</w:t>
      </w:r>
    </w:p>
    <w:p w14:paraId="79AD1EB2" w14:textId="1E57DA4E" w:rsidR="0017788D" w:rsidRPr="00F37FAD" w:rsidRDefault="0017788D" w:rsidP="005A7BF3">
      <w:pPr>
        <w:spacing w:before="240" w:after="240" w:line="360" w:lineRule="auto"/>
        <w:jc w:val="both"/>
        <w:rPr>
          <w:rFonts w:ascii="Arial" w:hAnsi="Arial" w:cs="Arial"/>
        </w:rPr>
      </w:pPr>
      <w:r w:rsidRPr="00F37FAD">
        <w:rPr>
          <w:rFonts w:ascii="Arial" w:hAnsi="Arial" w:cs="Arial"/>
          <w:b/>
        </w:rPr>
        <w:t>PRIMERA. Competencia</w:t>
      </w:r>
      <w:r w:rsidRPr="00F37FAD">
        <w:rPr>
          <w:rFonts w:ascii="Arial" w:hAnsi="Arial" w:cs="Arial"/>
        </w:rPr>
        <w:t>. La Sala Superior</w:t>
      </w:r>
      <w:r w:rsidRPr="00F37FAD">
        <w:rPr>
          <w:rFonts w:ascii="Arial" w:eastAsia="Calibri" w:hAnsi="Arial" w:cs="Arial"/>
        </w:rPr>
        <w:t xml:space="preserve"> es competente para resolver el medio de impugnación, toda vez que se trata de un recurso de reconsideración interpuesto contra una sentencia emitida por la Sala</w:t>
      </w:r>
      <w:r w:rsidR="007F288D" w:rsidRPr="00F37FAD">
        <w:rPr>
          <w:rFonts w:ascii="Arial" w:eastAsia="Calibri" w:hAnsi="Arial" w:cs="Arial"/>
        </w:rPr>
        <w:t xml:space="preserve"> </w:t>
      </w:r>
      <w:r w:rsidR="00AB2A76">
        <w:rPr>
          <w:rFonts w:ascii="Arial" w:eastAsia="Calibri" w:hAnsi="Arial" w:cs="Arial"/>
        </w:rPr>
        <w:t>Regional Guadalajara</w:t>
      </w:r>
      <w:r w:rsidRPr="00F37FAD">
        <w:rPr>
          <w:rFonts w:ascii="Arial" w:eastAsia="Calibri" w:hAnsi="Arial" w:cs="Arial"/>
        </w:rPr>
        <w:t>, cuya competencia para resolverlo le corresponde en forma exclusiva</w:t>
      </w:r>
      <w:r w:rsidRPr="00F37FAD">
        <w:rPr>
          <w:rStyle w:val="Refdenotaalpie"/>
          <w:rFonts w:ascii="Arial" w:eastAsia="Calibri" w:hAnsi="Arial" w:cs="Arial"/>
        </w:rPr>
        <w:footnoteReference w:id="7"/>
      </w:r>
      <w:r w:rsidRPr="00F37FAD">
        <w:rPr>
          <w:rFonts w:ascii="Arial" w:eastAsia="Calibri" w:hAnsi="Arial" w:cs="Arial"/>
        </w:rPr>
        <w:t>.</w:t>
      </w:r>
      <w:r w:rsidRPr="00F37FAD">
        <w:rPr>
          <w:rStyle w:val="Refdenotaalpie"/>
          <w:rFonts w:ascii="Arial" w:eastAsia="Calibri" w:hAnsi="Arial" w:cs="Arial"/>
        </w:rPr>
        <w:t xml:space="preserve"> </w:t>
      </w:r>
    </w:p>
    <w:p w14:paraId="7C05431B" w14:textId="013EF60A" w:rsidR="005A7BF3" w:rsidRPr="00F37FAD" w:rsidRDefault="0017788D" w:rsidP="005A7BF3">
      <w:pPr>
        <w:spacing w:before="240" w:after="240" w:line="360" w:lineRule="auto"/>
        <w:jc w:val="both"/>
        <w:rPr>
          <w:rFonts w:ascii="Arial" w:hAnsi="Arial" w:cs="Arial"/>
          <w:lang w:val="es-MX" w:eastAsia="es-MX"/>
        </w:rPr>
      </w:pPr>
      <w:r w:rsidRPr="00F37FAD">
        <w:rPr>
          <w:rFonts w:ascii="Arial" w:eastAsia="Calibri" w:hAnsi="Arial" w:cs="Arial"/>
          <w:b/>
        </w:rPr>
        <w:t xml:space="preserve">SEGUNDA. </w:t>
      </w:r>
      <w:r w:rsidR="004C41CC" w:rsidRPr="00F37FAD">
        <w:rPr>
          <w:rFonts w:ascii="Arial" w:hAnsi="Arial" w:cs="Arial"/>
          <w:b/>
          <w:bCs/>
          <w:lang w:val="es-MX" w:eastAsia="es-MX"/>
        </w:rPr>
        <w:t>Justificación para resolver en sesión no presencial</w:t>
      </w:r>
      <w:r w:rsidR="005A7BF3" w:rsidRPr="00F37FAD">
        <w:rPr>
          <w:rFonts w:ascii="Arial" w:hAnsi="Arial" w:cs="Arial"/>
          <w:lang w:val="es-MX" w:eastAsia="es-MX"/>
        </w:rPr>
        <w:t>.</w:t>
      </w:r>
      <w:r w:rsidR="004C41CC" w:rsidRPr="00F37FAD">
        <w:rPr>
          <w:rFonts w:ascii="Arial" w:hAnsi="Arial" w:cs="Arial"/>
          <w:lang w:val="es-MX" w:eastAsia="es-MX"/>
        </w:rPr>
        <w:br/>
      </w:r>
      <w:r w:rsidR="00B04DC6">
        <w:rPr>
          <w:rFonts w:ascii="Arial" w:hAnsi="Arial" w:cs="Arial"/>
          <w:lang w:val="es-MX" w:eastAsia="es-MX"/>
        </w:rPr>
        <w:t>L</w:t>
      </w:r>
      <w:r w:rsidR="004C41CC" w:rsidRPr="00F37FAD">
        <w:rPr>
          <w:rFonts w:ascii="Arial" w:hAnsi="Arial" w:cs="Arial"/>
          <w:lang w:val="es-MX" w:eastAsia="es-MX"/>
        </w:rPr>
        <w:t>a Sala Superior emitió el acuerdo 8/2020</w:t>
      </w:r>
      <w:r w:rsidR="005A7BF3" w:rsidRPr="00F37FAD">
        <w:rPr>
          <w:rStyle w:val="Refdenotaalpie"/>
          <w:rFonts w:ascii="Arial" w:hAnsi="Arial" w:cs="Arial"/>
          <w:lang w:eastAsia="es-MX"/>
        </w:rPr>
        <w:footnoteReference w:id="8"/>
      </w:r>
      <w:r w:rsidR="007F288D" w:rsidRPr="00F37FAD">
        <w:rPr>
          <w:rFonts w:ascii="Arial" w:hAnsi="Arial" w:cs="Arial"/>
          <w:lang w:val="es-MX" w:eastAsia="es-MX"/>
        </w:rPr>
        <w:t>,</w:t>
      </w:r>
      <w:r w:rsidR="004C41CC" w:rsidRPr="00F37FAD">
        <w:rPr>
          <w:rFonts w:ascii="Arial" w:hAnsi="Arial" w:cs="Arial"/>
          <w:lang w:val="es-MX" w:eastAsia="es-MX"/>
        </w:rPr>
        <w:t xml:space="preserve"> en el cual, si bien reestableció la resolución de todos los medios de impugnación, en su punto de acuerdo segundo determinó que las sesiones continuarán realizándose por medio de videoconferencias, hasta que el Pleno de </w:t>
      </w:r>
      <w:r w:rsidR="007F288D" w:rsidRPr="00F37FAD">
        <w:rPr>
          <w:rFonts w:ascii="Arial" w:hAnsi="Arial" w:cs="Arial"/>
          <w:lang w:val="es-MX" w:eastAsia="es-MX"/>
        </w:rPr>
        <w:t>la</w:t>
      </w:r>
      <w:r w:rsidR="004C41CC" w:rsidRPr="00F37FAD">
        <w:rPr>
          <w:rFonts w:ascii="Arial" w:hAnsi="Arial" w:cs="Arial"/>
          <w:lang w:val="es-MX" w:eastAsia="es-MX"/>
        </w:rPr>
        <w:t xml:space="preserve"> Sala Superior determine alguna cuestión distinta.</w:t>
      </w:r>
      <w:r w:rsidR="0016761D">
        <w:rPr>
          <w:rFonts w:ascii="Arial" w:hAnsi="Arial" w:cs="Arial"/>
          <w:lang w:val="es-MX" w:eastAsia="es-MX"/>
        </w:rPr>
        <w:t xml:space="preserve"> </w:t>
      </w:r>
      <w:r w:rsidR="004C41CC" w:rsidRPr="00F37FAD">
        <w:rPr>
          <w:rFonts w:ascii="Arial" w:hAnsi="Arial" w:cs="Arial"/>
          <w:lang w:val="es-MX" w:eastAsia="es-MX"/>
        </w:rPr>
        <w:t>En ese sentido, se justifica la resolución de</w:t>
      </w:r>
      <w:r w:rsidR="00FC171D" w:rsidRPr="00F37FAD">
        <w:rPr>
          <w:rFonts w:ascii="Arial" w:hAnsi="Arial" w:cs="Arial"/>
          <w:lang w:val="es-MX" w:eastAsia="es-MX"/>
        </w:rPr>
        <w:t xml:space="preserve">l recurso </w:t>
      </w:r>
      <w:r w:rsidR="004C41CC" w:rsidRPr="00F37FAD">
        <w:rPr>
          <w:rFonts w:ascii="Arial" w:hAnsi="Arial" w:cs="Arial"/>
          <w:lang w:val="es-MX" w:eastAsia="es-MX"/>
        </w:rPr>
        <w:t>de manera no presencial.</w:t>
      </w:r>
    </w:p>
    <w:p w14:paraId="38F587BF" w14:textId="14346D09" w:rsidR="00DB64FE" w:rsidRPr="00F37FAD" w:rsidRDefault="0017788D" w:rsidP="005A7BF3">
      <w:pPr>
        <w:spacing w:before="240" w:after="240" w:line="360" w:lineRule="auto"/>
        <w:jc w:val="both"/>
        <w:rPr>
          <w:rFonts w:ascii="Arial" w:hAnsi="Arial" w:cs="Arial"/>
          <w:bCs/>
        </w:rPr>
      </w:pPr>
      <w:r w:rsidRPr="00F37FAD">
        <w:rPr>
          <w:rFonts w:ascii="Arial" w:eastAsia="Calibri" w:hAnsi="Arial" w:cs="Arial"/>
          <w:b/>
        </w:rPr>
        <w:t xml:space="preserve">TERCERA. </w:t>
      </w:r>
      <w:r w:rsidR="00DB64FE" w:rsidRPr="00F37FAD">
        <w:rPr>
          <w:rFonts w:ascii="Arial" w:hAnsi="Arial" w:cs="Arial"/>
          <w:b/>
          <w:bCs/>
        </w:rPr>
        <w:t xml:space="preserve">Requisitos de procedencia. </w:t>
      </w:r>
      <w:r w:rsidR="00DB64FE" w:rsidRPr="00F37FAD">
        <w:rPr>
          <w:rFonts w:ascii="Arial" w:hAnsi="Arial" w:cs="Arial"/>
          <w:bCs/>
        </w:rPr>
        <w:t>El recurso de reconsideración cumple con los requisitos generales y especial de procedibilidad</w:t>
      </w:r>
      <w:r w:rsidR="00DB64FE" w:rsidRPr="00F37FAD">
        <w:rPr>
          <w:rStyle w:val="Refdenotaalpie"/>
          <w:rFonts w:ascii="Arial" w:hAnsi="Arial"/>
          <w:bCs/>
        </w:rPr>
        <w:footnoteReference w:id="9"/>
      </w:r>
      <w:r w:rsidR="00DB64FE" w:rsidRPr="00F37FAD">
        <w:rPr>
          <w:rFonts w:ascii="Arial" w:hAnsi="Arial" w:cs="Arial"/>
          <w:bCs/>
        </w:rPr>
        <w:t xml:space="preserve">. </w:t>
      </w:r>
    </w:p>
    <w:p w14:paraId="3E6586D9" w14:textId="77777777" w:rsidR="00DB64FE" w:rsidRPr="00F37FAD" w:rsidRDefault="00DB64FE" w:rsidP="00DB64FE">
      <w:pPr>
        <w:spacing w:before="240" w:after="240" w:line="360" w:lineRule="auto"/>
        <w:jc w:val="both"/>
        <w:rPr>
          <w:rFonts w:ascii="Arial" w:hAnsi="Arial" w:cs="Arial"/>
          <w:b/>
          <w:bCs/>
        </w:rPr>
      </w:pPr>
      <w:r w:rsidRPr="00F37FAD">
        <w:rPr>
          <w:rFonts w:ascii="Arial" w:hAnsi="Arial" w:cs="Arial"/>
          <w:b/>
          <w:bCs/>
        </w:rPr>
        <w:t>1. Requisitos generales</w:t>
      </w:r>
    </w:p>
    <w:p w14:paraId="57F31237" w14:textId="07F82C8F" w:rsidR="00DB64FE" w:rsidRPr="00F37FAD" w:rsidRDefault="00DB64FE" w:rsidP="00DB64FE">
      <w:pPr>
        <w:spacing w:before="240" w:after="240" w:line="360" w:lineRule="auto"/>
        <w:jc w:val="both"/>
        <w:rPr>
          <w:rFonts w:ascii="Arial" w:hAnsi="Arial" w:cs="Arial"/>
          <w:b/>
          <w:bCs/>
        </w:rPr>
      </w:pPr>
      <w:r w:rsidRPr="00F37FAD">
        <w:rPr>
          <w:rFonts w:ascii="Arial" w:hAnsi="Arial" w:cs="Arial"/>
          <w:b/>
          <w:bCs/>
        </w:rPr>
        <w:lastRenderedPageBreak/>
        <w:t xml:space="preserve">a. Forma. </w:t>
      </w:r>
      <w:r w:rsidRPr="00F37FAD">
        <w:rPr>
          <w:rFonts w:ascii="Arial" w:hAnsi="Arial" w:cs="Arial"/>
          <w:bCs/>
        </w:rPr>
        <w:t>En el escrito de demanda se precisó la autoridad responsable,</w:t>
      </w:r>
      <w:r w:rsidR="00765138">
        <w:rPr>
          <w:rFonts w:ascii="Arial" w:hAnsi="Arial" w:cs="Arial"/>
          <w:bCs/>
        </w:rPr>
        <w:t xml:space="preserve"> </w:t>
      </w:r>
      <w:r w:rsidR="00262385" w:rsidRPr="00F37FAD">
        <w:rPr>
          <w:rFonts w:ascii="Arial" w:hAnsi="Arial" w:cs="Arial"/>
          <w:bCs/>
        </w:rPr>
        <w:t xml:space="preserve">resolución </w:t>
      </w:r>
      <w:r w:rsidRPr="00F37FAD">
        <w:rPr>
          <w:rFonts w:ascii="Arial" w:hAnsi="Arial" w:cs="Arial"/>
          <w:bCs/>
        </w:rPr>
        <w:t>impugnad</w:t>
      </w:r>
      <w:r w:rsidR="00262385" w:rsidRPr="00F37FAD">
        <w:rPr>
          <w:rFonts w:ascii="Arial" w:hAnsi="Arial" w:cs="Arial"/>
          <w:bCs/>
        </w:rPr>
        <w:t>a</w:t>
      </w:r>
      <w:r w:rsidRPr="00F37FAD">
        <w:rPr>
          <w:rFonts w:ascii="Arial" w:hAnsi="Arial" w:cs="Arial"/>
          <w:bCs/>
        </w:rPr>
        <w:t>, hechos, motivos de controversia y cuenta con firma autógrafa.</w:t>
      </w:r>
    </w:p>
    <w:p w14:paraId="2BE3C8D9" w14:textId="77777777" w:rsidR="00461D30" w:rsidRPr="00F37FAD" w:rsidRDefault="00461D30" w:rsidP="00461D30">
      <w:pPr>
        <w:spacing w:before="240" w:after="240" w:line="360" w:lineRule="auto"/>
        <w:jc w:val="both"/>
        <w:rPr>
          <w:rFonts w:ascii="Arial" w:hAnsi="Arial" w:cs="Arial"/>
          <w:bCs/>
        </w:rPr>
      </w:pPr>
      <w:r w:rsidRPr="00F37FAD">
        <w:rPr>
          <w:rFonts w:ascii="Arial" w:hAnsi="Arial" w:cs="Arial"/>
          <w:b/>
          <w:bCs/>
        </w:rPr>
        <w:t xml:space="preserve">b. Oportunidad. </w:t>
      </w:r>
      <w:r w:rsidRPr="00F37FAD">
        <w:rPr>
          <w:rFonts w:ascii="Arial" w:hAnsi="Arial" w:cs="Arial"/>
          <w:bCs/>
        </w:rPr>
        <w:t>El recurso se interpuso en el plazo de tres días</w:t>
      </w:r>
      <w:r w:rsidRPr="00F37FAD">
        <w:rPr>
          <w:rStyle w:val="Refdenotaalpie"/>
          <w:rFonts w:ascii="Arial" w:hAnsi="Arial"/>
          <w:bCs/>
        </w:rPr>
        <w:footnoteReference w:id="10"/>
      </w:r>
      <w:r w:rsidRPr="00F37FAD">
        <w:rPr>
          <w:rFonts w:ascii="Arial" w:hAnsi="Arial" w:cs="Arial"/>
          <w:bCs/>
        </w:rPr>
        <w:t xml:space="preserve">, porque la sentencia controvertida se notificó por estrados el </w:t>
      </w:r>
      <w:r>
        <w:rPr>
          <w:rFonts w:ascii="Arial" w:hAnsi="Arial" w:cs="Arial"/>
          <w:bCs/>
        </w:rPr>
        <w:t xml:space="preserve">veinticinco </w:t>
      </w:r>
      <w:r w:rsidRPr="00F37FAD">
        <w:rPr>
          <w:rFonts w:ascii="Arial" w:hAnsi="Arial" w:cs="Arial"/>
          <w:bCs/>
        </w:rPr>
        <w:t>de septiembre, surtió efectos al día siguiente</w:t>
      </w:r>
      <w:r>
        <w:rPr>
          <w:rFonts w:ascii="Arial" w:hAnsi="Arial" w:cs="Arial"/>
          <w:bCs/>
        </w:rPr>
        <w:t xml:space="preserve"> hábil</w:t>
      </w:r>
      <w:r w:rsidRPr="00F37FAD">
        <w:rPr>
          <w:rFonts w:ascii="Arial" w:hAnsi="Arial" w:cs="Arial"/>
          <w:bCs/>
        </w:rPr>
        <w:t xml:space="preserve">, y el plazo corrió del </w:t>
      </w:r>
      <w:r>
        <w:rPr>
          <w:rFonts w:ascii="Arial" w:hAnsi="Arial" w:cs="Arial"/>
          <w:bCs/>
        </w:rPr>
        <w:t>veintinueve de septiembre al uno de octubre</w:t>
      </w:r>
      <w:r w:rsidRPr="00F37FAD">
        <w:rPr>
          <w:rFonts w:ascii="Arial" w:hAnsi="Arial" w:cs="Arial"/>
          <w:bCs/>
        </w:rPr>
        <w:t xml:space="preserve">, sin contar días inhábiles (sábado y domingo). Por tanto, si la demanda se presentó el treinta de septiembre es oportuna. </w:t>
      </w:r>
    </w:p>
    <w:p w14:paraId="04B317D5" w14:textId="46555510" w:rsidR="00DB64FE" w:rsidRPr="00F37FAD" w:rsidRDefault="00DB64FE" w:rsidP="00DB64FE">
      <w:pPr>
        <w:spacing w:before="240" w:after="240" w:line="360" w:lineRule="auto"/>
        <w:jc w:val="both"/>
        <w:rPr>
          <w:rFonts w:ascii="Arial" w:hAnsi="Arial" w:cs="Arial"/>
          <w:bCs/>
        </w:rPr>
      </w:pPr>
      <w:r w:rsidRPr="00F37FAD">
        <w:rPr>
          <w:rFonts w:ascii="Arial" w:hAnsi="Arial" w:cs="Arial"/>
          <w:b/>
          <w:bCs/>
        </w:rPr>
        <w:t xml:space="preserve">c. Legitimación. </w:t>
      </w:r>
      <w:r w:rsidRPr="00F37FAD">
        <w:rPr>
          <w:rFonts w:ascii="Arial" w:hAnsi="Arial" w:cs="Arial"/>
        </w:rPr>
        <w:t>La parte</w:t>
      </w:r>
      <w:r w:rsidRPr="00F37FAD">
        <w:rPr>
          <w:rFonts w:ascii="Arial" w:hAnsi="Arial" w:cs="Arial"/>
          <w:b/>
          <w:bCs/>
        </w:rPr>
        <w:t xml:space="preserve"> </w:t>
      </w:r>
      <w:r w:rsidRPr="00F37FAD">
        <w:rPr>
          <w:rFonts w:ascii="Arial" w:hAnsi="Arial" w:cs="Arial"/>
          <w:bCs/>
        </w:rPr>
        <w:t>recurrente está legitimad</w:t>
      </w:r>
      <w:r w:rsidR="00C714BD" w:rsidRPr="00F37FAD">
        <w:rPr>
          <w:rFonts w:ascii="Arial" w:hAnsi="Arial" w:cs="Arial"/>
          <w:bCs/>
        </w:rPr>
        <w:t>a</w:t>
      </w:r>
      <w:r w:rsidRPr="00F37FAD">
        <w:rPr>
          <w:rFonts w:ascii="Arial" w:hAnsi="Arial" w:cs="Arial"/>
          <w:bCs/>
        </w:rPr>
        <w:t xml:space="preserve"> por </w:t>
      </w:r>
      <w:r w:rsidR="001A6B0A" w:rsidRPr="00F37FAD">
        <w:rPr>
          <w:rFonts w:ascii="Arial" w:hAnsi="Arial" w:cs="Arial"/>
          <w:bCs/>
        </w:rPr>
        <w:t xml:space="preserve">ser personas que acuden por derecho propio </w:t>
      </w:r>
      <w:r w:rsidR="00262385" w:rsidRPr="00F37FAD">
        <w:rPr>
          <w:rFonts w:ascii="Arial" w:hAnsi="Arial" w:cs="Arial"/>
          <w:bCs/>
        </w:rPr>
        <w:t>con la calidad de indígenas Wixarikas o Mejicas.</w:t>
      </w:r>
      <w:r w:rsidRPr="00F37FAD">
        <w:rPr>
          <w:rFonts w:ascii="Arial" w:hAnsi="Arial" w:cs="Arial"/>
          <w:bCs/>
        </w:rPr>
        <w:t xml:space="preserve"> </w:t>
      </w:r>
    </w:p>
    <w:p w14:paraId="65A609F6" w14:textId="01DEC63C" w:rsidR="00DB64FE" w:rsidRPr="00F37FAD" w:rsidRDefault="00DB64FE" w:rsidP="00DB64FE">
      <w:pPr>
        <w:spacing w:before="240" w:after="240" w:line="360" w:lineRule="auto"/>
        <w:jc w:val="both"/>
        <w:rPr>
          <w:rFonts w:ascii="Arial" w:hAnsi="Arial" w:cs="Arial"/>
          <w:b/>
          <w:bCs/>
        </w:rPr>
      </w:pPr>
      <w:r w:rsidRPr="00F37FAD">
        <w:rPr>
          <w:rFonts w:ascii="Arial" w:hAnsi="Arial" w:cs="Arial"/>
          <w:b/>
          <w:bCs/>
        </w:rPr>
        <w:t xml:space="preserve">d. Interés jurídico. </w:t>
      </w:r>
      <w:r w:rsidR="00C714BD" w:rsidRPr="00F37FAD">
        <w:rPr>
          <w:rFonts w:ascii="Arial" w:hAnsi="Arial" w:cs="Arial"/>
        </w:rPr>
        <w:t xml:space="preserve">La parte </w:t>
      </w:r>
      <w:r w:rsidRPr="00F37FAD">
        <w:rPr>
          <w:rFonts w:ascii="Arial" w:hAnsi="Arial" w:cs="Arial"/>
          <w:bCs/>
        </w:rPr>
        <w:t xml:space="preserve">recurrente tiene interés jurídico porque refiere una afectación con motivo de lo resuelto por la Sala </w:t>
      </w:r>
      <w:r w:rsidR="00C714BD" w:rsidRPr="00F37FAD">
        <w:rPr>
          <w:rFonts w:ascii="Arial" w:hAnsi="Arial" w:cs="Arial"/>
          <w:bCs/>
        </w:rPr>
        <w:t>responsable</w:t>
      </w:r>
      <w:r w:rsidRPr="00F37FAD">
        <w:rPr>
          <w:rFonts w:ascii="Arial" w:hAnsi="Arial" w:cs="Arial"/>
          <w:bCs/>
        </w:rPr>
        <w:t>.</w:t>
      </w:r>
    </w:p>
    <w:p w14:paraId="2DD91C6D" w14:textId="77777777" w:rsidR="00DB64FE" w:rsidRPr="00F37FAD" w:rsidRDefault="00DB64FE" w:rsidP="004B212E">
      <w:pPr>
        <w:spacing w:before="240" w:after="240" w:line="360" w:lineRule="auto"/>
        <w:jc w:val="both"/>
        <w:rPr>
          <w:rFonts w:ascii="Arial" w:hAnsi="Arial" w:cs="Arial"/>
          <w:bCs/>
        </w:rPr>
      </w:pPr>
      <w:r w:rsidRPr="00F37FAD">
        <w:rPr>
          <w:rFonts w:ascii="Arial" w:hAnsi="Arial" w:cs="Arial"/>
          <w:b/>
          <w:bCs/>
        </w:rPr>
        <w:t xml:space="preserve">e. Definitividad. </w:t>
      </w:r>
      <w:r w:rsidRPr="00F37FAD">
        <w:rPr>
          <w:rFonts w:ascii="Arial" w:hAnsi="Arial" w:cs="Arial"/>
          <w:bCs/>
        </w:rPr>
        <w:t>Se satisface este requisito, ya que no existe otro medio de impugnación para controvertir la sentencia impugnada.</w:t>
      </w:r>
    </w:p>
    <w:p w14:paraId="260C1EC0" w14:textId="538661D5" w:rsidR="004B212E" w:rsidRPr="00F37FAD" w:rsidRDefault="00DB64FE" w:rsidP="004B212E">
      <w:pPr>
        <w:spacing w:before="240" w:after="240" w:line="360" w:lineRule="auto"/>
        <w:jc w:val="both"/>
        <w:rPr>
          <w:rFonts w:ascii="Arial" w:eastAsia="MS Gothic" w:hAnsi="Arial" w:cs="Arial"/>
          <w:bCs/>
          <w:kern w:val="32"/>
        </w:rPr>
      </w:pPr>
      <w:r w:rsidRPr="00F37FAD">
        <w:rPr>
          <w:rFonts w:ascii="Arial" w:hAnsi="Arial" w:cs="Arial"/>
          <w:b/>
          <w:bCs/>
        </w:rPr>
        <w:t>2. Requisito especial.</w:t>
      </w:r>
      <w:r w:rsidRPr="00F37FAD">
        <w:rPr>
          <w:rFonts w:ascii="Arial" w:hAnsi="Arial" w:cs="Arial"/>
          <w:bCs/>
        </w:rPr>
        <w:t xml:space="preserve"> </w:t>
      </w:r>
      <w:r w:rsidR="004B212E" w:rsidRPr="00F37FAD">
        <w:rPr>
          <w:rFonts w:ascii="Arial" w:eastAsia="MS Gothic" w:hAnsi="Arial" w:cs="Arial"/>
          <w:bCs/>
          <w:kern w:val="32"/>
        </w:rPr>
        <w:t xml:space="preserve">El artículo 61, inciso b), de la Ley de Medios prevé que el recurso de reconsideración procede en contra de las sentencias de fondo dictadas por las Salas Regionales en las que se haya determinado la no aplicación de una ley electoral por considerarla contraria a la Constitución </w:t>
      </w:r>
      <w:r w:rsidR="0039047B">
        <w:rPr>
          <w:rFonts w:ascii="Arial" w:eastAsia="MS Gothic" w:hAnsi="Arial" w:cs="Arial"/>
          <w:bCs/>
          <w:kern w:val="32"/>
        </w:rPr>
        <w:t>federal</w:t>
      </w:r>
      <w:r w:rsidR="004B212E" w:rsidRPr="00F37FAD">
        <w:rPr>
          <w:rFonts w:ascii="Arial" w:eastAsia="MS Gothic" w:hAnsi="Arial" w:cs="Arial"/>
          <w:bCs/>
          <w:kern w:val="32"/>
          <w:vertAlign w:val="superscript"/>
        </w:rPr>
        <w:footnoteReference w:id="11"/>
      </w:r>
      <w:r w:rsidR="004B212E" w:rsidRPr="00F37FAD">
        <w:rPr>
          <w:rFonts w:ascii="Arial" w:eastAsia="MS Gothic" w:hAnsi="Arial" w:cs="Arial"/>
          <w:bCs/>
          <w:kern w:val="32"/>
        </w:rPr>
        <w:t>.</w:t>
      </w:r>
    </w:p>
    <w:p w14:paraId="3A0476D4" w14:textId="656411F3" w:rsidR="004B212E" w:rsidRPr="00F37FAD" w:rsidRDefault="004B212E" w:rsidP="004B212E">
      <w:pPr>
        <w:spacing w:before="240" w:after="240" w:line="360" w:lineRule="auto"/>
        <w:jc w:val="both"/>
        <w:rPr>
          <w:rFonts w:ascii="Arial" w:eastAsia="MS Gothic" w:hAnsi="Arial" w:cs="Arial"/>
          <w:bCs/>
          <w:kern w:val="32"/>
        </w:rPr>
      </w:pPr>
      <w:r w:rsidRPr="00F37FAD">
        <w:rPr>
          <w:rFonts w:ascii="Arial" w:eastAsia="MS Gothic" w:hAnsi="Arial" w:cs="Arial"/>
          <w:bCs/>
          <w:kern w:val="32"/>
        </w:rPr>
        <w:t>Esta hipótesis de procedencia ha sido materia de análisis y se ha ampliado mediante sentencias y criterios jurisprudenciales.</w:t>
      </w:r>
    </w:p>
    <w:p w14:paraId="584F7D01" w14:textId="18181099" w:rsidR="004B212E" w:rsidRPr="00F37FAD" w:rsidRDefault="00D23273" w:rsidP="004B212E">
      <w:pPr>
        <w:spacing w:before="240" w:after="240" w:line="360" w:lineRule="auto"/>
        <w:jc w:val="both"/>
        <w:rPr>
          <w:rFonts w:ascii="Arial" w:eastAsia="MS Gothic" w:hAnsi="Arial" w:cs="Arial"/>
          <w:bCs/>
          <w:kern w:val="32"/>
        </w:rPr>
      </w:pPr>
      <w:r w:rsidRPr="00F37FAD">
        <w:rPr>
          <w:rFonts w:ascii="Arial" w:eastAsia="MS Gothic" w:hAnsi="Arial" w:cs="Arial"/>
          <w:bCs/>
          <w:kern w:val="32"/>
        </w:rPr>
        <w:t>E</w:t>
      </w:r>
      <w:r w:rsidR="004B212E" w:rsidRPr="00F37FAD">
        <w:rPr>
          <w:rFonts w:ascii="Arial" w:eastAsia="MS Gothic" w:hAnsi="Arial" w:cs="Arial"/>
          <w:bCs/>
          <w:kern w:val="32"/>
        </w:rPr>
        <w:t>l recurso de reconsideración también procede en contra de las sentencias de las Salas Regionales en las que, de entre otras hipótesis, se haya hecho un pronunciamiento respecto de la interpretación de un precepto constitucional, mediante el cual se orienta la aplicación o no de normas secundarias.</w:t>
      </w:r>
    </w:p>
    <w:p w14:paraId="0D63C945" w14:textId="77777777" w:rsidR="004748AE" w:rsidRPr="00F37FAD" w:rsidRDefault="004B212E" w:rsidP="004748AE">
      <w:pPr>
        <w:tabs>
          <w:tab w:val="left" w:pos="1215"/>
        </w:tabs>
        <w:spacing w:before="240" w:after="240" w:line="360" w:lineRule="auto"/>
        <w:jc w:val="both"/>
        <w:rPr>
          <w:rFonts w:ascii="Arial" w:eastAsia="Calibri" w:hAnsi="Arial" w:cs="Arial"/>
          <w:bCs/>
        </w:rPr>
      </w:pPr>
      <w:r w:rsidRPr="00F37FAD">
        <w:rPr>
          <w:rFonts w:ascii="Arial" w:hAnsi="Arial" w:cs="Arial"/>
        </w:rPr>
        <w:lastRenderedPageBreak/>
        <w:t xml:space="preserve">En el caso, se satisface el requisito especial de procedibilidad, ya que subsiste una cuestión de constitucionalidad que debe ser examinada </w:t>
      </w:r>
      <w:r w:rsidR="00BD25AB" w:rsidRPr="00F37FAD">
        <w:rPr>
          <w:rFonts w:ascii="Arial" w:hAnsi="Arial" w:cs="Arial"/>
        </w:rPr>
        <w:t>por la S</w:t>
      </w:r>
      <w:r w:rsidRPr="00F37FAD">
        <w:rPr>
          <w:rFonts w:ascii="Arial" w:hAnsi="Arial" w:cs="Arial"/>
        </w:rPr>
        <w:t>ala Superior,</w:t>
      </w:r>
      <w:r w:rsidR="00BD25AB" w:rsidRPr="00F37FAD">
        <w:rPr>
          <w:rFonts w:ascii="Arial" w:hAnsi="Arial" w:cs="Arial"/>
        </w:rPr>
        <w:t xml:space="preserve"> porque la Sala responsable</w:t>
      </w:r>
      <w:r w:rsidRPr="00F37FAD">
        <w:rPr>
          <w:rFonts w:ascii="Arial" w:hAnsi="Arial" w:cs="Arial"/>
        </w:rPr>
        <w:t xml:space="preserve">, para sustentar su determinación, realizó, en el contexto fáctico relevante, una ponderación entre el derecho a la salud y el derecho a la consulta de los pueblos y </w:t>
      </w:r>
      <w:r w:rsidR="00BE797B" w:rsidRPr="00F37FAD">
        <w:rPr>
          <w:rFonts w:ascii="Arial" w:hAnsi="Arial" w:cs="Arial"/>
        </w:rPr>
        <w:t xml:space="preserve">comunidades </w:t>
      </w:r>
      <w:r w:rsidRPr="00F37FAD">
        <w:rPr>
          <w:rFonts w:ascii="Arial" w:hAnsi="Arial" w:cs="Arial"/>
        </w:rPr>
        <w:t>indígenas</w:t>
      </w:r>
      <w:r w:rsidR="00BE797B" w:rsidRPr="00F37FAD">
        <w:rPr>
          <w:rFonts w:ascii="Arial" w:hAnsi="Arial" w:cs="Arial"/>
        </w:rPr>
        <w:t xml:space="preserve"> en la entidad federativa de Nayarit</w:t>
      </w:r>
      <w:r w:rsidRPr="00F37FAD">
        <w:rPr>
          <w:rFonts w:ascii="Arial" w:hAnsi="Arial" w:cs="Arial"/>
        </w:rPr>
        <w:t xml:space="preserve">, </w:t>
      </w:r>
      <w:r w:rsidR="004748AE" w:rsidRPr="00F37FAD">
        <w:rPr>
          <w:rFonts w:ascii="Arial" w:eastAsia="Calibri" w:hAnsi="Arial" w:cs="Arial"/>
          <w:bCs/>
        </w:rPr>
        <w:t xml:space="preserve">respecto a la implementación de medidas afirmativas para el próximo proceso electoral. </w:t>
      </w:r>
    </w:p>
    <w:p w14:paraId="265D179B" w14:textId="77777777" w:rsidR="004B212E" w:rsidRPr="00F37FAD" w:rsidRDefault="004B212E" w:rsidP="004B212E">
      <w:pPr>
        <w:spacing w:before="240" w:after="240" w:line="360" w:lineRule="auto"/>
        <w:jc w:val="both"/>
        <w:rPr>
          <w:rFonts w:ascii="Arial" w:hAnsi="Arial" w:cs="Arial"/>
        </w:rPr>
      </w:pPr>
      <w:r w:rsidRPr="00F37FAD">
        <w:rPr>
          <w:rFonts w:ascii="Arial" w:hAnsi="Arial" w:cs="Arial"/>
        </w:rPr>
        <w:t>En esas condiciones, la Sala responsable realizó, ya expresa o implícitamente, una interpretación del sentido, alcance y justificación del derecho humano a la salud y el derecho a la consulta indígena, previstos, respectivamente, en los artículos 4. º y 2. º de la Constitución federal, así como en los parámetros convencionales aplicables.</w:t>
      </w:r>
    </w:p>
    <w:p w14:paraId="5C5F645B" w14:textId="524B0150" w:rsidR="004B212E" w:rsidRPr="00F37FAD" w:rsidRDefault="00AB4689" w:rsidP="004B212E">
      <w:pPr>
        <w:spacing w:before="240" w:after="240" w:line="360" w:lineRule="auto"/>
        <w:jc w:val="both"/>
        <w:rPr>
          <w:rFonts w:ascii="Arial" w:hAnsi="Arial" w:cs="Arial"/>
        </w:rPr>
      </w:pPr>
      <w:r w:rsidRPr="00F37FAD">
        <w:rPr>
          <w:rFonts w:ascii="Arial" w:hAnsi="Arial" w:cs="Arial"/>
        </w:rPr>
        <w:t xml:space="preserve">De esta manera, </w:t>
      </w:r>
      <w:r w:rsidR="004B212E" w:rsidRPr="00F37FAD">
        <w:rPr>
          <w:rFonts w:ascii="Arial" w:hAnsi="Arial" w:cs="Arial"/>
        </w:rPr>
        <w:t>la Sala responsable, en la resolución impugnada, emitió un pronunciamiento sobre los preceptos constitucionales indicados</w:t>
      </w:r>
      <w:r w:rsidRPr="00F37FAD">
        <w:rPr>
          <w:rFonts w:ascii="Arial" w:hAnsi="Arial" w:cs="Arial"/>
        </w:rPr>
        <w:t xml:space="preserve"> y, por su </w:t>
      </w:r>
      <w:r w:rsidR="003F5AB8" w:rsidRPr="00F37FAD">
        <w:rPr>
          <w:rFonts w:ascii="Arial" w:hAnsi="Arial" w:cs="Arial"/>
        </w:rPr>
        <w:t>lado, la parte recurrente estima</w:t>
      </w:r>
      <w:r w:rsidR="004B212E" w:rsidRPr="00F37FAD">
        <w:rPr>
          <w:rFonts w:ascii="Arial" w:hAnsi="Arial" w:cs="Arial"/>
        </w:rPr>
        <w:t>, en sus agravios, que la Sala responsable realizó una ponderación equivocada</w:t>
      </w:r>
      <w:r w:rsidR="00EC3F05" w:rsidRPr="00F37FAD">
        <w:rPr>
          <w:rStyle w:val="Refdenotaalpie"/>
          <w:rFonts w:ascii="Arial" w:hAnsi="Arial"/>
        </w:rPr>
        <w:footnoteReference w:id="12"/>
      </w:r>
      <w:r w:rsidR="004B212E" w:rsidRPr="00F37FAD">
        <w:rPr>
          <w:rFonts w:ascii="Arial" w:hAnsi="Arial" w:cs="Arial"/>
        </w:rPr>
        <w:t>.</w:t>
      </w:r>
    </w:p>
    <w:p w14:paraId="75904F74" w14:textId="7BDC8004" w:rsidR="004B212E" w:rsidRPr="00F37FAD" w:rsidRDefault="004578C8" w:rsidP="004B212E">
      <w:pPr>
        <w:pStyle w:val="Textonotapie"/>
        <w:spacing w:before="240" w:after="240" w:line="360" w:lineRule="auto"/>
        <w:jc w:val="both"/>
        <w:rPr>
          <w:rFonts w:ascii="Arial" w:hAnsi="Arial" w:cs="Arial"/>
          <w:sz w:val="24"/>
          <w:szCs w:val="24"/>
        </w:rPr>
      </w:pPr>
      <w:r w:rsidRPr="00F37FAD">
        <w:rPr>
          <w:rFonts w:ascii="Arial" w:hAnsi="Arial" w:cs="Arial"/>
          <w:sz w:val="24"/>
          <w:szCs w:val="24"/>
        </w:rPr>
        <w:t xml:space="preserve">En consecuencia, </w:t>
      </w:r>
      <w:r w:rsidR="004B212E" w:rsidRPr="00F37FAD">
        <w:rPr>
          <w:rFonts w:ascii="Arial" w:hAnsi="Arial" w:cs="Arial"/>
          <w:sz w:val="24"/>
          <w:szCs w:val="24"/>
        </w:rPr>
        <w:t xml:space="preserve">se actualiza la procedencia del recurso de reconsideración, en términos de la </w:t>
      </w:r>
      <w:r w:rsidR="000348BA" w:rsidRPr="00F37FAD">
        <w:rPr>
          <w:rFonts w:ascii="Arial" w:hAnsi="Arial" w:cs="Arial"/>
          <w:sz w:val="24"/>
          <w:szCs w:val="24"/>
        </w:rPr>
        <w:t xml:space="preserve">jurisprudencia </w:t>
      </w:r>
      <w:r w:rsidR="004B212E" w:rsidRPr="00F37FAD">
        <w:rPr>
          <w:rFonts w:ascii="Arial" w:hAnsi="Arial" w:cs="Arial"/>
          <w:sz w:val="24"/>
          <w:szCs w:val="24"/>
        </w:rPr>
        <w:t>26/2012</w:t>
      </w:r>
      <w:r w:rsidR="000348BA" w:rsidRPr="00F37FAD">
        <w:rPr>
          <w:rFonts w:ascii="Arial" w:hAnsi="Arial" w:cs="Arial"/>
          <w:sz w:val="24"/>
          <w:szCs w:val="24"/>
        </w:rPr>
        <w:t xml:space="preserve"> de la </w:t>
      </w:r>
      <w:r w:rsidR="004B212E" w:rsidRPr="00F37FAD">
        <w:rPr>
          <w:rFonts w:ascii="Arial" w:hAnsi="Arial" w:cs="Arial"/>
          <w:sz w:val="24"/>
          <w:szCs w:val="24"/>
        </w:rPr>
        <w:t>Sala Superior,</w:t>
      </w:r>
      <w:r w:rsidR="00B074F1" w:rsidRPr="00F37FAD">
        <w:rPr>
          <w:rFonts w:ascii="Arial" w:hAnsi="Arial" w:cs="Arial"/>
          <w:sz w:val="24"/>
          <w:szCs w:val="24"/>
        </w:rPr>
        <w:t xml:space="preserve"> de rubro: </w:t>
      </w:r>
      <w:r w:rsidR="004B212E" w:rsidRPr="00F37FAD">
        <w:rPr>
          <w:rFonts w:ascii="Arial" w:hAnsi="Arial" w:cs="Arial"/>
          <w:smallCaps/>
          <w:sz w:val="24"/>
          <w:szCs w:val="24"/>
        </w:rPr>
        <w:t>recurso de reconsideración. procede contra sentencias de salas regionales en las que se interpreten directamente preceptos constitucionales</w:t>
      </w:r>
      <w:r w:rsidR="00E61DD4" w:rsidRPr="00F37FAD">
        <w:rPr>
          <w:rStyle w:val="Refdenotaalpie"/>
          <w:rFonts w:ascii="Arial" w:hAnsi="Arial"/>
          <w:smallCaps/>
          <w:sz w:val="24"/>
          <w:szCs w:val="24"/>
        </w:rPr>
        <w:footnoteReference w:id="13"/>
      </w:r>
      <w:r w:rsidR="004B212E" w:rsidRPr="00F37FAD">
        <w:rPr>
          <w:rFonts w:ascii="Arial" w:hAnsi="Arial" w:cs="Arial"/>
          <w:sz w:val="24"/>
          <w:szCs w:val="24"/>
        </w:rPr>
        <w:t>.</w:t>
      </w:r>
    </w:p>
    <w:p w14:paraId="2CCC3119" w14:textId="0C1B17DD" w:rsidR="00DB64FE" w:rsidRPr="00F37FAD" w:rsidRDefault="00DB64FE" w:rsidP="004B212E">
      <w:pPr>
        <w:spacing w:before="240" w:after="240" w:line="360" w:lineRule="auto"/>
        <w:jc w:val="both"/>
        <w:rPr>
          <w:rFonts w:ascii="Arial" w:eastAsia="Calibri" w:hAnsi="Arial" w:cs="Arial"/>
          <w:bCs/>
          <w:lang w:val="es-MX" w:eastAsia="es-MX"/>
        </w:rPr>
      </w:pPr>
      <w:r w:rsidRPr="00F37FAD">
        <w:rPr>
          <w:rFonts w:ascii="Arial" w:hAnsi="Arial" w:cs="Arial"/>
          <w:b/>
          <w:bCs/>
          <w:lang w:eastAsia="es-MX"/>
        </w:rPr>
        <w:t xml:space="preserve">CUARTA. Contexto. </w:t>
      </w:r>
      <w:r w:rsidRPr="00F37FAD">
        <w:rPr>
          <w:rFonts w:ascii="Arial" w:eastAsia="Calibri" w:hAnsi="Arial" w:cs="Arial"/>
          <w:bCs/>
          <w:lang w:val="es-MX" w:eastAsia="es-MX"/>
        </w:rPr>
        <w:t xml:space="preserve">Con la finalidad de exponer la controversia, se sintetiza la </w:t>
      </w:r>
      <w:r w:rsidR="007E30F2" w:rsidRPr="00F37FAD">
        <w:rPr>
          <w:rFonts w:ascii="Arial" w:eastAsia="Calibri" w:hAnsi="Arial" w:cs="Arial"/>
          <w:bCs/>
          <w:lang w:val="es-MX" w:eastAsia="es-MX"/>
        </w:rPr>
        <w:t xml:space="preserve">sentencia </w:t>
      </w:r>
      <w:r w:rsidRPr="00F37FAD">
        <w:rPr>
          <w:rFonts w:ascii="Arial" w:eastAsia="Calibri" w:hAnsi="Arial" w:cs="Arial"/>
          <w:bCs/>
          <w:lang w:val="es-MX" w:eastAsia="es-MX"/>
        </w:rPr>
        <w:t>impugnada y los conceptos de agravios formulados</w:t>
      </w:r>
      <w:r w:rsidR="00C93DDB" w:rsidRPr="00F37FAD">
        <w:rPr>
          <w:rFonts w:ascii="Arial" w:eastAsia="Calibri" w:hAnsi="Arial" w:cs="Arial"/>
          <w:bCs/>
          <w:lang w:val="es-MX" w:eastAsia="es-MX"/>
        </w:rPr>
        <w:t xml:space="preserve"> a esta Sala</w:t>
      </w:r>
      <w:r w:rsidR="00670C0C" w:rsidRPr="00F37FAD">
        <w:rPr>
          <w:rFonts w:ascii="Arial" w:eastAsia="Calibri" w:hAnsi="Arial" w:cs="Arial"/>
          <w:bCs/>
          <w:lang w:val="es-MX" w:eastAsia="es-MX"/>
        </w:rPr>
        <w:t>.</w:t>
      </w:r>
      <w:r w:rsidRPr="00F37FAD">
        <w:rPr>
          <w:rFonts w:ascii="Arial" w:eastAsia="Calibri" w:hAnsi="Arial" w:cs="Arial"/>
          <w:bCs/>
          <w:lang w:val="es-MX" w:eastAsia="es-MX"/>
        </w:rPr>
        <w:t xml:space="preserve"> </w:t>
      </w:r>
    </w:p>
    <w:p w14:paraId="3E9FD4CD" w14:textId="1C0F3A85" w:rsidR="00684612" w:rsidRPr="00F37FAD" w:rsidRDefault="007E30F2" w:rsidP="0017788D">
      <w:pPr>
        <w:tabs>
          <w:tab w:val="left" w:pos="1215"/>
        </w:tabs>
        <w:spacing w:before="240" w:after="240" w:line="360" w:lineRule="auto"/>
        <w:jc w:val="both"/>
        <w:rPr>
          <w:rFonts w:ascii="Arial" w:hAnsi="Arial" w:cs="Arial"/>
          <w:b/>
          <w:bCs/>
          <w:lang w:val="es-MX"/>
        </w:rPr>
      </w:pPr>
      <w:r w:rsidRPr="00F37FAD">
        <w:rPr>
          <w:rFonts w:ascii="Arial" w:hAnsi="Arial" w:cs="Arial"/>
          <w:b/>
          <w:bCs/>
          <w:lang w:val="es-MX"/>
        </w:rPr>
        <w:t>1</w:t>
      </w:r>
      <w:r w:rsidR="0017788D" w:rsidRPr="00F37FAD">
        <w:rPr>
          <w:rFonts w:ascii="Arial" w:hAnsi="Arial" w:cs="Arial"/>
          <w:b/>
          <w:bCs/>
          <w:lang w:val="es-MX"/>
        </w:rPr>
        <w:t>. Sentencia impugnada</w:t>
      </w:r>
    </w:p>
    <w:p w14:paraId="0F44C39B" w14:textId="49A82A34" w:rsidR="00684612" w:rsidRPr="00F37FAD" w:rsidRDefault="00C45FB1" w:rsidP="0017788D">
      <w:pPr>
        <w:tabs>
          <w:tab w:val="left" w:pos="1215"/>
        </w:tabs>
        <w:spacing w:before="240" w:after="240" w:line="360" w:lineRule="auto"/>
        <w:jc w:val="both"/>
        <w:rPr>
          <w:rFonts w:ascii="Arial" w:hAnsi="Arial" w:cs="Arial"/>
          <w:lang w:val="es-MX"/>
        </w:rPr>
      </w:pPr>
      <w:r w:rsidRPr="00F37FAD">
        <w:rPr>
          <w:rFonts w:ascii="Arial" w:hAnsi="Arial" w:cs="Arial"/>
          <w:lang w:val="es-MX"/>
        </w:rPr>
        <w:t>L</w:t>
      </w:r>
      <w:r w:rsidR="003421CC" w:rsidRPr="00F37FAD">
        <w:rPr>
          <w:rFonts w:ascii="Arial" w:hAnsi="Arial" w:cs="Arial"/>
          <w:lang w:val="es-MX"/>
        </w:rPr>
        <w:t xml:space="preserve">a Sala responsable tuvo por actualizada la excepción al requisito de agotar la instancia local, </w:t>
      </w:r>
      <w:r w:rsidR="000C1B47" w:rsidRPr="00F37FAD">
        <w:rPr>
          <w:rFonts w:ascii="Arial" w:hAnsi="Arial" w:cs="Arial"/>
          <w:lang w:val="es-MX"/>
        </w:rPr>
        <w:t xml:space="preserve">ante el posible riesgo </w:t>
      </w:r>
      <w:r w:rsidR="004E56C9" w:rsidRPr="00F37FAD">
        <w:rPr>
          <w:rFonts w:ascii="Arial" w:hAnsi="Arial" w:cs="Arial"/>
          <w:lang w:val="es-MX"/>
        </w:rPr>
        <w:t>para los derechos objeto del litigio</w:t>
      </w:r>
      <w:r w:rsidR="007A24A7" w:rsidRPr="00F37FAD">
        <w:rPr>
          <w:rFonts w:ascii="Arial" w:hAnsi="Arial" w:cs="Arial"/>
          <w:lang w:val="es-MX"/>
        </w:rPr>
        <w:t>.</w:t>
      </w:r>
    </w:p>
    <w:p w14:paraId="70313CBF" w14:textId="5FFE6E42" w:rsidR="007A24A7" w:rsidRPr="00F37FAD" w:rsidRDefault="00D10820" w:rsidP="0017788D">
      <w:pPr>
        <w:tabs>
          <w:tab w:val="left" w:pos="1215"/>
        </w:tabs>
        <w:spacing w:before="240" w:after="240" w:line="360" w:lineRule="auto"/>
        <w:jc w:val="both"/>
        <w:rPr>
          <w:rFonts w:ascii="Arial" w:hAnsi="Arial" w:cs="Arial"/>
          <w:lang w:val="es-MX"/>
        </w:rPr>
      </w:pPr>
      <w:r w:rsidRPr="00F37FAD">
        <w:rPr>
          <w:rFonts w:ascii="Arial" w:hAnsi="Arial" w:cs="Arial"/>
          <w:lang w:val="es-MX"/>
        </w:rPr>
        <w:lastRenderedPageBreak/>
        <w:t>L</w:t>
      </w:r>
      <w:r w:rsidR="00831334" w:rsidRPr="00F37FAD">
        <w:rPr>
          <w:rFonts w:ascii="Arial" w:hAnsi="Arial" w:cs="Arial"/>
          <w:lang w:val="es-MX"/>
        </w:rPr>
        <w:t xml:space="preserve">o anterior, al controvertirse en esencia el Plan de Trabajo emitido por </w:t>
      </w:r>
      <w:r w:rsidR="00C45FB1" w:rsidRPr="00F37FAD">
        <w:rPr>
          <w:rFonts w:ascii="Arial" w:hAnsi="Arial" w:cs="Arial"/>
          <w:lang w:val="es-MX"/>
        </w:rPr>
        <w:t>el Instituto local</w:t>
      </w:r>
      <w:r w:rsidR="00831334" w:rsidRPr="00F37FAD">
        <w:rPr>
          <w:rFonts w:ascii="Arial" w:hAnsi="Arial" w:cs="Arial"/>
          <w:lang w:val="es-MX"/>
        </w:rPr>
        <w:t>, el cual contempla la etapa consultiva a la población indígena en el estado de Nayarit</w:t>
      </w:r>
      <w:r w:rsidR="000A39F9" w:rsidRPr="00F37FAD">
        <w:rPr>
          <w:rFonts w:ascii="Arial" w:hAnsi="Arial" w:cs="Arial"/>
          <w:lang w:val="es-MX"/>
        </w:rPr>
        <w:t>, sobre la propuesta de acciones afirmativas a implementarse en su favor en el proceso electoral 2021</w:t>
      </w:r>
      <w:r w:rsidR="00025295" w:rsidRPr="00F37FAD">
        <w:rPr>
          <w:rFonts w:ascii="Arial" w:hAnsi="Arial" w:cs="Arial"/>
          <w:lang w:val="es-MX"/>
        </w:rPr>
        <w:t xml:space="preserve">, </w:t>
      </w:r>
      <w:r w:rsidR="00D810EB" w:rsidRPr="00F37FAD">
        <w:rPr>
          <w:rFonts w:ascii="Arial" w:hAnsi="Arial" w:cs="Arial"/>
          <w:lang w:val="es-MX"/>
        </w:rPr>
        <w:t>con el objeto de recabar opiniones y sugerencias</w:t>
      </w:r>
      <w:r w:rsidR="00BC6885" w:rsidRPr="00F37FAD">
        <w:rPr>
          <w:rStyle w:val="Refdenotaalpie"/>
          <w:rFonts w:ascii="Arial" w:hAnsi="Arial"/>
          <w:lang w:val="es-MX"/>
        </w:rPr>
        <w:footnoteReference w:id="14"/>
      </w:r>
      <w:r w:rsidR="000A39F9" w:rsidRPr="00F37FAD">
        <w:rPr>
          <w:rFonts w:ascii="Arial" w:hAnsi="Arial" w:cs="Arial"/>
          <w:lang w:val="es-MX"/>
        </w:rPr>
        <w:t>.</w:t>
      </w:r>
    </w:p>
    <w:p w14:paraId="4659D8C7" w14:textId="5452670A" w:rsidR="009E3225" w:rsidRPr="00F37FAD" w:rsidRDefault="002A699F" w:rsidP="009E3225">
      <w:pPr>
        <w:tabs>
          <w:tab w:val="left" w:pos="1215"/>
        </w:tabs>
        <w:spacing w:before="240" w:after="240" w:line="360" w:lineRule="auto"/>
        <w:jc w:val="both"/>
        <w:rPr>
          <w:rFonts w:ascii="Arial" w:hAnsi="Arial" w:cs="Arial"/>
          <w:lang w:val="es-MX"/>
        </w:rPr>
      </w:pPr>
      <w:r>
        <w:rPr>
          <w:rFonts w:ascii="Arial" w:hAnsi="Arial" w:cs="Arial"/>
          <w:lang w:val="es-MX"/>
        </w:rPr>
        <w:t>C</w:t>
      </w:r>
      <w:r w:rsidR="00D810EB" w:rsidRPr="00F37FAD">
        <w:rPr>
          <w:rFonts w:ascii="Arial" w:hAnsi="Arial" w:cs="Arial"/>
          <w:lang w:val="es-MX"/>
        </w:rPr>
        <w:t>abe precisar que</w:t>
      </w:r>
      <w:r w:rsidR="00A93C94" w:rsidRPr="00F37FAD">
        <w:rPr>
          <w:rFonts w:ascii="Arial" w:hAnsi="Arial" w:cs="Arial"/>
          <w:lang w:val="es-MX"/>
        </w:rPr>
        <w:t>, la etapa consultiva se encontraba en desarrollo</w:t>
      </w:r>
      <w:r w:rsidR="00424EA3" w:rsidRPr="00F37FAD">
        <w:rPr>
          <w:rFonts w:ascii="Arial" w:hAnsi="Arial" w:cs="Arial"/>
          <w:lang w:val="es-MX"/>
        </w:rPr>
        <w:t xml:space="preserve"> al momento en que la </w:t>
      </w:r>
      <w:r w:rsidR="008448D7" w:rsidRPr="00F37FAD">
        <w:rPr>
          <w:rFonts w:ascii="Arial" w:hAnsi="Arial" w:cs="Arial"/>
          <w:lang w:val="es-MX"/>
        </w:rPr>
        <w:t>Sala responsable dictó sentencia —veinticuatro de septiembre—</w:t>
      </w:r>
      <w:r w:rsidR="00A93C94" w:rsidRPr="00F37FAD">
        <w:rPr>
          <w:rFonts w:ascii="Arial" w:hAnsi="Arial" w:cs="Arial"/>
          <w:lang w:val="es-MX"/>
        </w:rPr>
        <w:t xml:space="preserve">, </w:t>
      </w:r>
      <w:r w:rsidR="00C277BD" w:rsidRPr="00F37FAD">
        <w:rPr>
          <w:rFonts w:ascii="Arial" w:hAnsi="Arial" w:cs="Arial"/>
          <w:lang w:val="es-MX"/>
        </w:rPr>
        <w:t xml:space="preserve">siendo que, </w:t>
      </w:r>
      <w:r w:rsidR="0057792A" w:rsidRPr="00F37FAD">
        <w:rPr>
          <w:rFonts w:ascii="Arial" w:hAnsi="Arial" w:cs="Arial"/>
          <w:lang w:val="es-MX"/>
        </w:rPr>
        <w:t>abarcó del quince al treinta de septiembre</w:t>
      </w:r>
      <w:r w:rsidR="00C277BD" w:rsidRPr="00F37FAD">
        <w:rPr>
          <w:rFonts w:ascii="Arial" w:hAnsi="Arial" w:cs="Arial"/>
          <w:lang w:val="es-MX"/>
        </w:rPr>
        <w:t>.</w:t>
      </w:r>
    </w:p>
    <w:p w14:paraId="607D7F6F" w14:textId="278AF63C" w:rsidR="009E3225" w:rsidRPr="00F37FAD" w:rsidRDefault="009E3225" w:rsidP="009E3225">
      <w:pPr>
        <w:tabs>
          <w:tab w:val="left" w:pos="1215"/>
        </w:tabs>
        <w:spacing w:before="240" w:after="240" w:line="360" w:lineRule="auto"/>
        <w:jc w:val="both"/>
        <w:rPr>
          <w:rFonts w:ascii="Arial" w:hAnsi="Arial" w:cs="Arial"/>
          <w:lang w:val="es-MX"/>
        </w:rPr>
      </w:pPr>
      <w:r w:rsidRPr="00F37FAD">
        <w:rPr>
          <w:rFonts w:ascii="Arial" w:hAnsi="Arial" w:cs="Arial"/>
          <w:lang w:val="es-MX"/>
        </w:rPr>
        <w:t>Ahora bien, la Sala responsable calificó como sustancialmente fundados los agravios</w:t>
      </w:r>
      <w:r w:rsidR="00120BE4" w:rsidRPr="00F37FAD">
        <w:rPr>
          <w:rFonts w:ascii="Arial" w:hAnsi="Arial" w:cs="Arial"/>
          <w:lang w:val="es-MX"/>
        </w:rPr>
        <w:t xml:space="preserve"> referentes a que</w:t>
      </w:r>
      <w:r w:rsidRPr="00F37FAD">
        <w:rPr>
          <w:rFonts w:ascii="Arial" w:hAnsi="Arial" w:cs="Arial"/>
          <w:lang w:val="es-MX"/>
        </w:rPr>
        <w:t>, al emitir</w:t>
      </w:r>
      <w:r w:rsidR="00DF01FC" w:rsidRPr="00F37FAD">
        <w:rPr>
          <w:rFonts w:ascii="Arial" w:hAnsi="Arial" w:cs="Arial"/>
          <w:lang w:val="es-MX"/>
        </w:rPr>
        <w:t xml:space="preserve"> el Plan de Trabajo</w:t>
      </w:r>
      <w:r w:rsidR="00C45FB1" w:rsidRPr="00F37FAD">
        <w:rPr>
          <w:rFonts w:ascii="Arial" w:hAnsi="Arial" w:cs="Arial"/>
          <w:lang w:val="es-MX"/>
        </w:rPr>
        <w:t>,</w:t>
      </w:r>
      <w:r w:rsidR="00DF01FC" w:rsidRPr="00F37FAD">
        <w:rPr>
          <w:rFonts w:ascii="Arial" w:hAnsi="Arial" w:cs="Arial"/>
          <w:lang w:val="es-MX"/>
        </w:rPr>
        <w:t xml:space="preserve"> se dejó </w:t>
      </w:r>
      <w:r w:rsidRPr="00F37FAD">
        <w:rPr>
          <w:rFonts w:ascii="Arial" w:hAnsi="Arial" w:cs="Arial"/>
          <w:lang w:val="es-MX"/>
        </w:rPr>
        <w:t xml:space="preserve">de tomar en cuenta la situación de emergencia sanitaria que impera en el </w:t>
      </w:r>
      <w:r w:rsidR="00BC0795">
        <w:rPr>
          <w:rFonts w:ascii="Arial" w:hAnsi="Arial" w:cs="Arial"/>
          <w:lang w:val="es-MX"/>
        </w:rPr>
        <w:t>E</w:t>
      </w:r>
      <w:r w:rsidRPr="00F37FAD">
        <w:rPr>
          <w:rFonts w:ascii="Arial" w:hAnsi="Arial" w:cs="Arial"/>
          <w:lang w:val="es-MX"/>
        </w:rPr>
        <w:t>stado</w:t>
      </w:r>
      <w:r w:rsidR="00DF01FC" w:rsidRPr="00F37FAD">
        <w:rPr>
          <w:rFonts w:ascii="Arial" w:hAnsi="Arial" w:cs="Arial"/>
          <w:lang w:val="es-MX"/>
        </w:rPr>
        <w:t>.</w:t>
      </w:r>
    </w:p>
    <w:p w14:paraId="264F5642" w14:textId="0E34113F" w:rsidR="003C3823" w:rsidRPr="00F37FAD" w:rsidRDefault="003C3823" w:rsidP="009E3225">
      <w:pPr>
        <w:tabs>
          <w:tab w:val="left" w:pos="1215"/>
        </w:tabs>
        <w:spacing w:before="240" w:after="240" w:line="360" w:lineRule="auto"/>
        <w:jc w:val="both"/>
        <w:rPr>
          <w:rFonts w:ascii="Arial" w:hAnsi="Arial" w:cs="Arial"/>
          <w:lang w:val="es-MX"/>
        </w:rPr>
      </w:pPr>
      <w:r w:rsidRPr="00F37FAD">
        <w:rPr>
          <w:rFonts w:ascii="Arial" w:hAnsi="Arial" w:cs="Arial"/>
          <w:lang w:val="es-MX"/>
        </w:rPr>
        <w:t>Al respecto, tomó como hecho notorio la emergencia sanitaria</w:t>
      </w:r>
      <w:r w:rsidR="001A1B45" w:rsidRPr="00F37FAD">
        <w:rPr>
          <w:rFonts w:ascii="Arial" w:hAnsi="Arial" w:cs="Arial"/>
          <w:lang w:val="es-MX"/>
        </w:rPr>
        <w:t>, así como la creación de un sistema de monitoreo para la regulación del uso del espacio público de acuerdo con el riesgo de contagio de COVID-19 (semáforo</w:t>
      </w:r>
      <w:r w:rsidR="00545F64" w:rsidRPr="00F37FAD">
        <w:rPr>
          <w:rFonts w:ascii="Arial" w:hAnsi="Arial" w:cs="Arial"/>
          <w:lang w:val="es-MX"/>
        </w:rPr>
        <w:t xml:space="preserve"> epidemiológico</w:t>
      </w:r>
      <w:r w:rsidR="001A1B45" w:rsidRPr="00F37FAD">
        <w:rPr>
          <w:rFonts w:ascii="Arial" w:hAnsi="Arial" w:cs="Arial"/>
          <w:lang w:val="es-MX"/>
        </w:rPr>
        <w:t>).</w:t>
      </w:r>
    </w:p>
    <w:p w14:paraId="634D0E49" w14:textId="3A01E307" w:rsidR="00A93C94" w:rsidRPr="00F37FAD" w:rsidRDefault="00F36461" w:rsidP="0017788D">
      <w:pPr>
        <w:tabs>
          <w:tab w:val="left" w:pos="1215"/>
        </w:tabs>
        <w:spacing w:before="240" w:after="240" w:line="360" w:lineRule="auto"/>
        <w:jc w:val="both"/>
        <w:rPr>
          <w:rFonts w:ascii="Arial" w:hAnsi="Arial" w:cs="Arial"/>
          <w:lang w:val="es-MX"/>
        </w:rPr>
      </w:pPr>
      <w:r w:rsidRPr="00F37FAD">
        <w:rPr>
          <w:rFonts w:ascii="Arial" w:hAnsi="Arial" w:cs="Arial"/>
          <w:lang w:val="es-MX"/>
        </w:rPr>
        <w:t xml:space="preserve">Además, la Sala responsable </w:t>
      </w:r>
      <w:r w:rsidR="00C45FB1" w:rsidRPr="00F37FAD">
        <w:rPr>
          <w:rFonts w:ascii="Arial" w:hAnsi="Arial" w:cs="Arial"/>
          <w:lang w:val="es-MX"/>
        </w:rPr>
        <w:t xml:space="preserve">expuso </w:t>
      </w:r>
      <w:r w:rsidR="0017266E" w:rsidRPr="00F37FAD">
        <w:rPr>
          <w:rFonts w:ascii="Arial" w:hAnsi="Arial" w:cs="Arial"/>
          <w:lang w:val="es-MX"/>
        </w:rPr>
        <w:t xml:space="preserve">diversos estudios que apuntan la especial situación de vulnerabilidad en materia de salud </w:t>
      </w:r>
      <w:r w:rsidR="003F3FDA" w:rsidRPr="00F37FAD">
        <w:rPr>
          <w:rFonts w:ascii="Arial" w:hAnsi="Arial" w:cs="Arial"/>
          <w:lang w:val="es-MX"/>
        </w:rPr>
        <w:t xml:space="preserve">que las comunidades y pueblos indígenas </w:t>
      </w:r>
      <w:r w:rsidR="00F139AB" w:rsidRPr="00F37FAD">
        <w:rPr>
          <w:rFonts w:ascii="Arial" w:hAnsi="Arial" w:cs="Arial"/>
          <w:lang w:val="es-MX"/>
        </w:rPr>
        <w:t>enfrentan</w:t>
      </w:r>
      <w:r w:rsidR="00AB11AF" w:rsidRPr="00F37FAD">
        <w:rPr>
          <w:rFonts w:ascii="Arial" w:hAnsi="Arial" w:cs="Arial"/>
          <w:lang w:val="es-MX"/>
        </w:rPr>
        <w:t xml:space="preserve"> a nivel mundial por la crisis sanitaria</w:t>
      </w:r>
      <w:r w:rsidR="003F3FDA" w:rsidRPr="00F37FAD">
        <w:rPr>
          <w:rFonts w:ascii="Arial" w:hAnsi="Arial" w:cs="Arial"/>
          <w:lang w:val="es-MX"/>
        </w:rPr>
        <w:t xml:space="preserve">.  </w:t>
      </w:r>
    </w:p>
    <w:p w14:paraId="7C52E50D" w14:textId="1A284DF4" w:rsidR="00E14348" w:rsidRPr="00F37FAD" w:rsidRDefault="00C45FB1" w:rsidP="00593437">
      <w:pPr>
        <w:spacing w:before="240" w:after="240" w:line="360" w:lineRule="auto"/>
        <w:jc w:val="both"/>
        <w:rPr>
          <w:rFonts w:ascii="Arial" w:hAnsi="Arial" w:cs="Arial"/>
        </w:rPr>
      </w:pPr>
      <w:r w:rsidRPr="00F37FAD">
        <w:rPr>
          <w:rFonts w:ascii="Arial" w:hAnsi="Arial" w:cs="Arial"/>
        </w:rPr>
        <w:t>Por otra parte</w:t>
      </w:r>
      <w:r w:rsidR="004E139C" w:rsidRPr="00F37FAD">
        <w:rPr>
          <w:rFonts w:ascii="Arial" w:hAnsi="Arial" w:cs="Arial"/>
        </w:rPr>
        <w:t>,</w:t>
      </w:r>
      <w:r w:rsidR="00877B88" w:rsidRPr="00F37FAD">
        <w:rPr>
          <w:rFonts w:ascii="Arial" w:hAnsi="Arial" w:cs="Arial"/>
        </w:rPr>
        <w:t xml:space="preserve"> </w:t>
      </w:r>
      <w:r w:rsidR="004E139C" w:rsidRPr="00F37FAD">
        <w:rPr>
          <w:rFonts w:ascii="Arial" w:hAnsi="Arial" w:cs="Arial"/>
        </w:rPr>
        <w:t xml:space="preserve">recordó que </w:t>
      </w:r>
      <w:r w:rsidR="00877B88" w:rsidRPr="00F37FAD">
        <w:rPr>
          <w:rFonts w:ascii="Arial" w:hAnsi="Arial" w:cs="Arial"/>
        </w:rPr>
        <w:t xml:space="preserve">el Director de Salud Pública del estado </w:t>
      </w:r>
      <w:r w:rsidR="004E139C" w:rsidRPr="00F37FAD">
        <w:rPr>
          <w:rFonts w:ascii="Arial" w:hAnsi="Arial" w:cs="Arial"/>
        </w:rPr>
        <w:t xml:space="preserve">de Nayarit </w:t>
      </w:r>
      <w:r w:rsidR="00877B88" w:rsidRPr="00F37FAD">
        <w:rPr>
          <w:rFonts w:ascii="Arial" w:hAnsi="Arial" w:cs="Arial"/>
        </w:rPr>
        <w:t xml:space="preserve">dio </w:t>
      </w:r>
      <w:r w:rsidR="0035216F" w:rsidRPr="00F37FAD">
        <w:rPr>
          <w:rFonts w:ascii="Arial" w:hAnsi="Arial" w:cs="Arial"/>
        </w:rPr>
        <w:t>respuesta a</w:t>
      </w:r>
      <w:r w:rsidR="00877B88" w:rsidRPr="00F37FAD">
        <w:rPr>
          <w:rFonts w:ascii="Arial" w:hAnsi="Arial" w:cs="Arial"/>
        </w:rPr>
        <w:t xml:space="preserve"> </w:t>
      </w:r>
      <w:r w:rsidR="004E139C" w:rsidRPr="00F37FAD">
        <w:rPr>
          <w:rFonts w:ascii="Arial" w:hAnsi="Arial" w:cs="Arial"/>
        </w:rPr>
        <w:t>una consulta</w:t>
      </w:r>
      <w:r w:rsidR="00877B88" w:rsidRPr="00F37FAD">
        <w:rPr>
          <w:rFonts w:ascii="Arial" w:hAnsi="Arial" w:cs="Arial"/>
        </w:rPr>
        <w:t>, en el sentido de que “el Plan de Trabajo del IEEN deberá aplicarse cuando el estado pase a color amarillo siguiendo los protocolos de prevención, lo que permitirá seguir protegiendo a los pueblos indígenas y evitar brotes de COVID-19 entre la población y el personal a su digno cargo”</w:t>
      </w:r>
      <w:r w:rsidR="000364B9" w:rsidRPr="00F37FAD">
        <w:rPr>
          <w:rFonts w:ascii="Arial" w:hAnsi="Arial" w:cs="Arial"/>
        </w:rPr>
        <w:t>.</w:t>
      </w:r>
    </w:p>
    <w:p w14:paraId="489FE52D" w14:textId="7783F2E5" w:rsidR="00052343" w:rsidRPr="00F37FAD" w:rsidRDefault="00C45FB1" w:rsidP="00593437">
      <w:pPr>
        <w:spacing w:before="240" w:after="240" w:line="360" w:lineRule="auto"/>
        <w:jc w:val="both"/>
        <w:rPr>
          <w:rFonts w:ascii="Arial" w:hAnsi="Arial" w:cs="Arial"/>
        </w:rPr>
      </w:pPr>
      <w:r w:rsidRPr="00F37FAD">
        <w:rPr>
          <w:rFonts w:ascii="Arial" w:hAnsi="Arial" w:cs="Arial"/>
        </w:rPr>
        <w:t>De esta manera</w:t>
      </w:r>
      <w:r w:rsidR="00052343" w:rsidRPr="00F37FAD">
        <w:rPr>
          <w:rFonts w:ascii="Arial" w:hAnsi="Arial" w:cs="Arial"/>
        </w:rPr>
        <w:t xml:space="preserve">, la Sala responsable advirtió </w:t>
      </w:r>
      <w:r w:rsidR="004C520B" w:rsidRPr="00F37FAD">
        <w:rPr>
          <w:rFonts w:ascii="Arial" w:hAnsi="Arial" w:cs="Arial"/>
        </w:rPr>
        <w:t>la incompatibilidad existente entre las fechas y periodos trazados por el Plan de Trabajo</w:t>
      </w:r>
      <w:r w:rsidR="00052343" w:rsidRPr="00F37FAD">
        <w:rPr>
          <w:rFonts w:ascii="Arial" w:hAnsi="Arial" w:cs="Arial"/>
        </w:rPr>
        <w:t xml:space="preserve"> controvertido</w:t>
      </w:r>
      <w:r w:rsidR="00D72DA3" w:rsidRPr="00F37FAD">
        <w:rPr>
          <w:rStyle w:val="Refdenotaalpie"/>
          <w:rFonts w:ascii="Arial" w:hAnsi="Arial"/>
        </w:rPr>
        <w:footnoteReference w:id="15"/>
      </w:r>
      <w:r w:rsidR="004C520B" w:rsidRPr="00F37FAD">
        <w:rPr>
          <w:rFonts w:ascii="Arial" w:hAnsi="Arial" w:cs="Arial"/>
        </w:rPr>
        <w:t xml:space="preserve">, </w:t>
      </w:r>
      <w:r w:rsidR="004C520B" w:rsidRPr="00F37FAD">
        <w:rPr>
          <w:rFonts w:ascii="Arial" w:hAnsi="Arial" w:cs="Arial"/>
        </w:rPr>
        <w:lastRenderedPageBreak/>
        <w:t>con la realidad que en materia de políticas públicas sanitarias impera en el estado nayarita</w:t>
      </w:r>
      <w:r w:rsidR="00052343" w:rsidRPr="00F37FAD">
        <w:rPr>
          <w:rFonts w:ascii="Arial" w:hAnsi="Arial" w:cs="Arial"/>
        </w:rPr>
        <w:t>.</w:t>
      </w:r>
    </w:p>
    <w:p w14:paraId="12022C6A" w14:textId="429BCD2E" w:rsidR="008B3A38" w:rsidRPr="00F37FAD" w:rsidRDefault="007511A6" w:rsidP="00593437">
      <w:pPr>
        <w:spacing w:before="240" w:after="240" w:line="360" w:lineRule="auto"/>
        <w:jc w:val="both"/>
        <w:rPr>
          <w:rFonts w:ascii="Arial" w:hAnsi="Arial" w:cs="Arial"/>
        </w:rPr>
      </w:pPr>
      <w:r w:rsidRPr="00F37FAD">
        <w:rPr>
          <w:rFonts w:ascii="Arial" w:hAnsi="Arial" w:cs="Arial"/>
        </w:rPr>
        <w:t xml:space="preserve">En consecuencia, </w:t>
      </w:r>
      <w:r w:rsidR="00C45FB1" w:rsidRPr="00F37FAD">
        <w:rPr>
          <w:rFonts w:ascii="Arial" w:hAnsi="Arial" w:cs="Arial"/>
        </w:rPr>
        <w:t xml:space="preserve">toda vez que, </w:t>
      </w:r>
      <w:r w:rsidR="009819D1" w:rsidRPr="00F37FAD">
        <w:rPr>
          <w:rFonts w:ascii="Arial" w:hAnsi="Arial" w:cs="Arial"/>
        </w:rPr>
        <w:t>al dictar la sentencia</w:t>
      </w:r>
      <w:r w:rsidRPr="00F37FAD">
        <w:rPr>
          <w:rFonts w:ascii="Arial" w:hAnsi="Arial" w:cs="Arial"/>
        </w:rPr>
        <w:t xml:space="preserve"> </w:t>
      </w:r>
      <w:r w:rsidR="00986C23" w:rsidRPr="00F37FAD">
        <w:rPr>
          <w:rFonts w:ascii="Arial" w:hAnsi="Arial" w:cs="Arial"/>
        </w:rPr>
        <w:t>aún resta</w:t>
      </w:r>
      <w:r w:rsidR="009819D1" w:rsidRPr="00F37FAD">
        <w:rPr>
          <w:rFonts w:ascii="Arial" w:hAnsi="Arial" w:cs="Arial"/>
        </w:rPr>
        <w:t>ba</w:t>
      </w:r>
      <w:r w:rsidR="00986C23" w:rsidRPr="00F37FAD">
        <w:rPr>
          <w:rFonts w:ascii="Arial" w:hAnsi="Arial" w:cs="Arial"/>
        </w:rPr>
        <w:t xml:space="preserve"> por realizarse la celebración de asambleas en trece comunidades</w:t>
      </w:r>
      <w:r w:rsidR="009819D1" w:rsidRPr="00F37FAD">
        <w:rPr>
          <w:rFonts w:ascii="Arial" w:hAnsi="Arial" w:cs="Arial"/>
        </w:rPr>
        <w:t xml:space="preserve">, la Sala responsable </w:t>
      </w:r>
      <w:r w:rsidR="00543937" w:rsidRPr="00F37FAD">
        <w:rPr>
          <w:rFonts w:ascii="Arial" w:hAnsi="Arial" w:cs="Arial"/>
        </w:rPr>
        <w:t xml:space="preserve">consideró que, </w:t>
      </w:r>
      <w:r w:rsidR="00822B66" w:rsidRPr="00F37FAD">
        <w:rPr>
          <w:rFonts w:ascii="Arial" w:hAnsi="Arial" w:cs="Arial"/>
        </w:rPr>
        <w:t xml:space="preserve">con independencia del avance que guarde la implementación del proceso consultivo en las comunidades y pueblos indígenas, la protección a la salud y a la vida de cada </w:t>
      </w:r>
      <w:r w:rsidR="00A43D9B" w:rsidRPr="00F37FAD">
        <w:rPr>
          <w:rFonts w:ascii="Arial" w:hAnsi="Arial" w:cs="Arial"/>
        </w:rPr>
        <w:t>persona,</w:t>
      </w:r>
      <w:r w:rsidR="00822B66" w:rsidRPr="00F37FAD">
        <w:rPr>
          <w:rFonts w:ascii="Arial" w:hAnsi="Arial" w:cs="Arial"/>
        </w:rPr>
        <w:t xml:space="preserve"> así sea de una sola, es de la mayor relevancia</w:t>
      </w:r>
      <w:r w:rsidR="008B3A38" w:rsidRPr="00F37FAD">
        <w:rPr>
          <w:rFonts w:ascii="Arial" w:hAnsi="Arial" w:cs="Arial"/>
        </w:rPr>
        <w:t>.</w:t>
      </w:r>
    </w:p>
    <w:p w14:paraId="5634979C" w14:textId="61D20D09" w:rsidR="00822B66" w:rsidRPr="00F37FAD" w:rsidRDefault="00BF61F8" w:rsidP="00593437">
      <w:pPr>
        <w:spacing w:before="240" w:after="240" w:line="360" w:lineRule="auto"/>
        <w:jc w:val="both"/>
        <w:rPr>
          <w:rFonts w:ascii="Arial" w:hAnsi="Arial" w:cs="Arial"/>
        </w:rPr>
      </w:pPr>
      <w:r w:rsidRPr="00F37FAD">
        <w:rPr>
          <w:rFonts w:ascii="Arial" w:hAnsi="Arial" w:cs="Arial"/>
        </w:rPr>
        <w:t>Por</w:t>
      </w:r>
      <w:r w:rsidR="00C45FB1" w:rsidRPr="00F37FAD">
        <w:rPr>
          <w:rFonts w:ascii="Arial" w:hAnsi="Arial" w:cs="Arial"/>
        </w:rPr>
        <w:t xml:space="preserve"> ello</w:t>
      </w:r>
      <w:r w:rsidR="00822B66" w:rsidRPr="00F37FAD">
        <w:rPr>
          <w:rFonts w:ascii="Arial" w:hAnsi="Arial" w:cs="Arial"/>
        </w:rPr>
        <w:t>, a fin de privilegiar los derechos de la salud y de la vida de los miembros de los pueblos y comunidades indígenas</w:t>
      </w:r>
      <w:r w:rsidR="008B3A38" w:rsidRPr="00F37FAD">
        <w:rPr>
          <w:rFonts w:ascii="Arial" w:hAnsi="Arial" w:cs="Arial"/>
        </w:rPr>
        <w:t>,</w:t>
      </w:r>
      <w:r w:rsidR="00822B66" w:rsidRPr="00F37FAD">
        <w:rPr>
          <w:rFonts w:ascii="Arial" w:hAnsi="Arial" w:cs="Arial"/>
        </w:rPr>
        <w:t xml:space="preserve"> así como la de aquellos del personal del Instituto </w:t>
      </w:r>
      <w:r w:rsidR="00C45FB1" w:rsidRPr="00F37FAD">
        <w:rPr>
          <w:rFonts w:ascii="Arial" w:hAnsi="Arial" w:cs="Arial"/>
        </w:rPr>
        <w:t xml:space="preserve">local </w:t>
      </w:r>
      <w:r w:rsidR="00822B66" w:rsidRPr="00F37FAD">
        <w:rPr>
          <w:rFonts w:ascii="Arial" w:hAnsi="Arial" w:cs="Arial"/>
        </w:rPr>
        <w:t xml:space="preserve">y demás miembros pertenecientes a las instituciones implicadas en la ejecución de la consulta, </w:t>
      </w:r>
      <w:r w:rsidR="00886A57" w:rsidRPr="00F37FAD">
        <w:rPr>
          <w:rFonts w:ascii="Arial" w:hAnsi="Arial" w:cs="Arial"/>
        </w:rPr>
        <w:t xml:space="preserve">ordenó </w:t>
      </w:r>
      <w:r w:rsidR="00822B66" w:rsidRPr="00F37FAD">
        <w:rPr>
          <w:rFonts w:ascii="Arial" w:hAnsi="Arial" w:cs="Arial"/>
        </w:rPr>
        <w:t>la suspensión inmediata de la etapa consultiva, así como del resto de los actos y etapas pendientes de realizarse en dicho proceso.</w:t>
      </w:r>
    </w:p>
    <w:p w14:paraId="0F010BDD" w14:textId="7B7C78E0" w:rsidR="00BA453C" w:rsidRPr="00F37FAD" w:rsidRDefault="00477E02" w:rsidP="00593437">
      <w:pPr>
        <w:spacing w:before="240" w:after="240" w:line="360" w:lineRule="auto"/>
        <w:jc w:val="both"/>
        <w:rPr>
          <w:rFonts w:ascii="Arial" w:hAnsi="Arial" w:cs="Arial"/>
        </w:rPr>
      </w:pPr>
      <w:r w:rsidRPr="00F37FAD">
        <w:rPr>
          <w:rFonts w:ascii="Arial" w:hAnsi="Arial" w:cs="Arial"/>
        </w:rPr>
        <w:t>Q</w:t>
      </w:r>
      <w:r w:rsidR="00BA453C" w:rsidRPr="00F37FAD">
        <w:rPr>
          <w:rFonts w:ascii="Arial" w:hAnsi="Arial" w:cs="Arial"/>
        </w:rPr>
        <w:t>uedando su reimplementación supeditada a que las condiciones de salud en el Estado lo permitan. Lo anterior, sin revocar los actos previamente realizados</w:t>
      </w:r>
      <w:r w:rsidR="00F034D0" w:rsidRPr="00F37FAD">
        <w:rPr>
          <w:rStyle w:val="Refdenotaalpie"/>
          <w:rFonts w:ascii="Arial" w:hAnsi="Arial"/>
          <w:lang w:val="es-MX"/>
        </w:rPr>
        <w:footnoteReference w:id="16"/>
      </w:r>
      <w:r w:rsidR="00BA453C" w:rsidRPr="00F37FAD">
        <w:rPr>
          <w:rFonts w:ascii="Arial" w:hAnsi="Arial" w:cs="Arial"/>
        </w:rPr>
        <w:t>.</w:t>
      </w:r>
    </w:p>
    <w:p w14:paraId="241BDF8F" w14:textId="632031B7" w:rsidR="0017788D" w:rsidRPr="00F37FAD" w:rsidRDefault="002E387F" w:rsidP="0017788D">
      <w:pPr>
        <w:tabs>
          <w:tab w:val="left" w:pos="1215"/>
        </w:tabs>
        <w:spacing w:before="240" w:after="240" w:line="360" w:lineRule="auto"/>
        <w:jc w:val="both"/>
        <w:rPr>
          <w:rFonts w:ascii="Arial" w:hAnsi="Arial" w:cs="Arial"/>
          <w:bCs/>
          <w:lang w:val="es-MX"/>
        </w:rPr>
      </w:pPr>
      <w:r w:rsidRPr="00F37FAD">
        <w:rPr>
          <w:rFonts w:ascii="Arial" w:hAnsi="Arial" w:cs="Arial"/>
          <w:b/>
          <w:bCs/>
          <w:lang w:val="es-MX"/>
        </w:rPr>
        <w:t>2</w:t>
      </w:r>
      <w:r w:rsidR="0017788D" w:rsidRPr="00F37FAD">
        <w:rPr>
          <w:rFonts w:ascii="Arial" w:hAnsi="Arial" w:cs="Arial"/>
          <w:b/>
          <w:bCs/>
          <w:lang w:val="es-MX"/>
        </w:rPr>
        <w:t>. Síntesis de demanda</w:t>
      </w:r>
    </w:p>
    <w:p w14:paraId="72239F87" w14:textId="5ECFA91E" w:rsidR="00DB7B4F" w:rsidRPr="00F37FAD" w:rsidRDefault="00A84FCB" w:rsidP="00DB7B4F">
      <w:pPr>
        <w:tabs>
          <w:tab w:val="left" w:pos="1215"/>
        </w:tabs>
        <w:spacing w:before="240" w:after="240" w:line="360" w:lineRule="auto"/>
        <w:jc w:val="both"/>
        <w:rPr>
          <w:rFonts w:ascii="Arial" w:hAnsi="Arial" w:cs="Arial"/>
          <w:lang w:val="es-MX"/>
        </w:rPr>
      </w:pPr>
      <w:bookmarkStart w:id="1" w:name="_Toc483331439"/>
      <w:bookmarkStart w:id="2" w:name="_Toc485226370"/>
      <w:bookmarkStart w:id="3" w:name="_Toc500932789"/>
      <w:bookmarkStart w:id="4" w:name="_Toc5178202"/>
      <w:bookmarkStart w:id="5" w:name="_ftnref13"/>
      <w:bookmarkEnd w:id="1"/>
      <w:bookmarkEnd w:id="2"/>
      <w:bookmarkEnd w:id="3"/>
      <w:r w:rsidRPr="00F37FAD">
        <w:rPr>
          <w:rFonts w:ascii="Arial" w:hAnsi="Arial" w:cs="Arial"/>
          <w:lang w:val="es-MX"/>
        </w:rPr>
        <w:t>L</w:t>
      </w:r>
      <w:r w:rsidR="00DB7B4F" w:rsidRPr="00F37FAD">
        <w:rPr>
          <w:rFonts w:ascii="Arial" w:hAnsi="Arial" w:cs="Arial"/>
          <w:lang w:val="es-MX"/>
        </w:rPr>
        <w:t>a parte recurrente</w:t>
      </w:r>
      <w:r w:rsidR="00DF6A2A" w:rsidRPr="00F37FAD">
        <w:rPr>
          <w:rFonts w:ascii="Arial" w:hAnsi="Arial" w:cs="Arial"/>
          <w:lang w:val="es-MX"/>
        </w:rPr>
        <w:t xml:space="preserve"> </w:t>
      </w:r>
      <w:r w:rsidR="00DB7B4F" w:rsidRPr="00F37FAD">
        <w:rPr>
          <w:rFonts w:ascii="Arial" w:hAnsi="Arial" w:cs="Arial"/>
          <w:lang w:val="es-MX"/>
        </w:rPr>
        <w:t xml:space="preserve">manifiesta que, al suspender de manera temporal el Plan de Trabajo y quedar supeditado hasta que las condiciones en el </w:t>
      </w:r>
      <w:r w:rsidR="00BE11B9" w:rsidRPr="00F37FAD">
        <w:rPr>
          <w:rFonts w:ascii="Arial" w:hAnsi="Arial" w:cs="Arial"/>
          <w:lang w:val="es-MX"/>
        </w:rPr>
        <w:t>E</w:t>
      </w:r>
      <w:r w:rsidR="00DB7B4F" w:rsidRPr="00F37FAD">
        <w:rPr>
          <w:rFonts w:ascii="Arial" w:hAnsi="Arial" w:cs="Arial"/>
          <w:lang w:val="es-MX"/>
        </w:rPr>
        <w:t>stado lo permitan</w:t>
      </w:r>
      <w:r w:rsidR="00BE11B9" w:rsidRPr="00F37FAD">
        <w:rPr>
          <w:rFonts w:ascii="Arial" w:hAnsi="Arial" w:cs="Arial"/>
          <w:lang w:val="es-MX"/>
        </w:rPr>
        <w:t xml:space="preserve"> —</w:t>
      </w:r>
      <w:r w:rsidR="00DB7B4F" w:rsidRPr="00F37FAD">
        <w:rPr>
          <w:rFonts w:ascii="Arial" w:hAnsi="Arial" w:cs="Arial"/>
          <w:lang w:val="es-MX"/>
        </w:rPr>
        <w:t>cuando el semáforo epidemiológico cambie a color amarillo</w:t>
      </w:r>
      <w:r w:rsidR="00BE11B9" w:rsidRPr="00F37FAD">
        <w:rPr>
          <w:rFonts w:ascii="Arial" w:hAnsi="Arial" w:cs="Arial"/>
          <w:lang w:val="es-MX"/>
        </w:rPr>
        <w:t>—</w:t>
      </w:r>
      <w:r w:rsidRPr="00F37FAD">
        <w:rPr>
          <w:rFonts w:ascii="Arial" w:hAnsi="Arial" w:cs="Arial"/>
          <w:lang w:val="es-MX"/>
        </w:rPr>
        <w:t xml:space="preserve">, les causa incertidumbre. </w:t>
      </w:r>
      <w:r w:rsidR="00DB7B4F" w:rsidRPr="00F37FAD">
        <w:rPr>
          <w:rFonts w:ascii="Arial" w:hAnsi="Arial" w:cs="Arial"/>
          <w:lang w:val="es-MX"/>
        </w:rPr>
        <w:t xml:space="preserve"> </w:t>
      </w:r>
    </w:p>
    <w:p w14:paraId="5BABEA9D" w14:textId="206966F2" w:rsidR="00DB7B4F" w:rsidRPr="00F37FAD" w:rsidRDefault="00DB7B4F" w:rsidP="00DB7B4F">
      <w:pPr>
        <w:tabs>
          <w:tab w:val="left" w:pos="1215"/>
        </w:tabs>
        <w:spacing w:before="240" w:after="240" w:line="360" w:lineRule="auto"/>
        <w:jc w:val="both"/>
        <w:rPr>
          <w:rFonts w:ascii="Arial" w:hAnsi="Arial" w:cs="Arial"/>
          <w:lang w:val="es-MX"/>
        </w:rPr>
      </w:pPr>
      <w:r w:rsidRPr="00F37FAD">
        <w:rPr>
          <w:rFonts w:ascii="Arial" w:hAnsi="Arial" w:cs="Arial"/>
          <w:lang w:val="es-MX"/>
        </w:rPr>
        <w:t xml:space="preserve">Lo anterior, </w:t>
      </w:r>
      <w:r w:rsidR="001D6026" w:rsidRPr="00F37FAD">
        <w:rPr>
          <w:rFonts w:ascii="Arial" w:hAnsi="Arial" w:cs="Arial"/>
          <w:lang w:val="es-MX"/>
        </w:rPr>
        <w:t>porque no se garantiza su</w:t>
      </w:r>
      <w:r w:rsidRPr="00F37FAD">
        <w:rPr>
          <w:rFonts w:ascii="Arial" w:hAnsi="Arial" w:cs="Arial"/>
          <w:lang w:val="es-MX"/>
        </w:rPr>
        <w:t xml:space="preserve"> participación, a</w:t>
      </w:r>
      <w:r w:rsidR="00AA2176" w:rsidRPr="00F37FAD">
        <w:rPr>
          <w:rFonts w:ascii="Arial" w:hAnsi="Arial" w:cs="Arial"/>
          <w:lang w:val="es-MX"/>
        </w:rPr>
        <w:t xml:space="preserve">unado a que se les deja </w:t>
      </w:r>
      <w:r w:rsidRPr="00F37FAD">
        <w:rPr>
          <w:rFonts w:ascii="Arial" w:hAnsi="Arial" w:cs="Arial"/>
          <w:lang w:val="es-MX"/>
        </w:rPr>
        <w:t>sin representación a las poblaciones indígenas del Estado</w:t>
      </w:r>
      <w:r w:rsidR="00AA2176" w:rsidRPr="00F37FAD">
        <w:rPr>
          <w:rFonts w:ascii="Arial" w:hAnsi="Arial" w:cs="Arial"/>
          <w:lang w:val="es-MX"/>
        </w:rPr>
        <w:t xml:space="preserve"> para </w:t>
      </w:r>
      <w:r w:rsidRPr="00F37FAD">
        <w:rPr>
          <w:rFonts w:ascii="Arial" w:hAnsi="Arial" w:cs="Arial"/>
          <w:lang w:val="es-MX"/>
        </w:rPr>
        <w:t>el próximo proceso electoral, siendo que, se tiene un gran avance en la consulta.</w:t>
      </w:r>
    </w:p>
    <w:p w14:paraId="6D546A84" w14:textId="7D535370" w:rsidR="00DB7B4F" w:rsidRPr="00F37FAD" w:rsidRDefault="00DB7B4F" w:rsidP="00DB7B4F">
      <w:pPr>
        <w:tabs>
          <w:tab w:val="left" w:pos="1215"/>
        </w:tabs>
        <w:spacing w:before="240" w:after="240" w:line="360" w:lineRule="auto"/>
        <w:jc w:val="both"/>
        <w:rPr>
          <w:rFonts w:ascii="Arial" w:hAnsi="Arial" w:cs="Arial"/>
          <w:lang w:val="es-MX"/>
        </w:rPr>
      </w:pPr>
      <w:r w:rsidRPr="00F37FAD">
        <w:rPr>
          <w:rFonts w:ascii="Arial" w:hAnsi="Arial" w:cs="Arial"/>
          <w:lang w:val="es-MX"/>
        </w:rPr>
        <w:lastRenderedPageBreak/>
        <w:t>El Plan de Trabajo no causa agravio a los</w:t>
      </w:r>
      <w:r w:rsidR="00AC2979" w:rsidRPr="00F37FAD">
        <w:rPr>
          <w:rFonts w:ascii="Arial" w:hAnsi="Arial" w:cs="Arial"/>
          <w:lang w:val="es-MX"/>
        </w:rPr>
        <w:t xml:space="preserve"> partidos políticos que </w:t>
      </w:r>
      <w:r w:rsidR="00207707" w:rsidRPr="00F37FAD">
        <w:rPr>
          <w:rFonts w:ascii="Arial" w:hAnsi="Arial" w:cs="Arial"/>
          <w:lang w:val="es-MX"/>
        </w:rPr>
        <w:t>impugnaron ante la Sala responsable</w:t>
      </w:r>
      <w:r w:rsidR="00D14C56" w:rsidRPr="00F37FAD">
        <w:rPr>
          <w:rFonts w:ascii="Arial" w:hAnsi="Arial" w:cs="Arial"/>
          <w:lang w:val="es-MX"/>
        </w:rPr>
        <w:t xml:space="preserve">, porque </w:t>
      </w:r>
      <w:r w:rsidRPr="00F37FAD">
        <w:rPr>
          <w:rFonts w:ascii="Arial" w:hAnsi="Arial" w:cs="Arial"/>
          <w:lang w:val="es-MX"/>
        </w:rPr>
        <w:t>su intención es alargar los plazos a fin de que dichas medidas no sean implementadas dentro de los tiempos establecidos</w:t>
      </w:r>
      <w:r w:rsidR="00D14C56" w:rsidRPr="00F37FAD">
        <w:rPr>
          <w:rFonts w:ascii="Arial" w:hAnsi="Arial" w:cs="Arial"/>
          <w:lang w:val="es-MX"/>
        </w:rPr>
        <w:t>.</w:t>
      </w:r>
      <w:r w:rsidRPr="00F37FAD">
        <w:rPr>
          <w:rFonts w:ascii="Arial" w:hAnsi="Arial" w:cs="Arial"/>
          <w:lang w:val="es-MX"/>
        </w:rPr>
        <w:t xml:space="preserve"> </w:t>
      </w:r>
    </w:p>
    <w:p w14:paraId="0F43BF9A" w14:textId="7D12F124" w:rsidR="00DB7B4F" w:rsidRPr="00F37FAD" w:rsidRDefault="00DB7B4F" w:rsidP="00DB7B4F">
      <w:pPr>
        <w:tabs>
          <w:tab w:val="left" w:pos="1215"/>
        </w:tabs>
        <w:spacing w:before="240" w:after="240" w:line="360" w:lineRule="auto"/>
        <w:jc w:val="both"/>
        <w:rPr>
          <w:rFonts w:ascii="Arial" w:hAnsi="Arial" w:cs="Arial"/>
          <w:lang w:val="es-MX"/>
        </w:rPr>
      </w:pPr>
      <w:r w:rsidRPr="00F37FAD">
        <w:rPr>
          <w:rFonts w:ascii="Arial" w:hAnsi="Arial" w:cs="Arial"/>
          <w:lang w:val="es-MX"/>
        </w:rPr>
        <w:t>Si bien, ante la existencia de la presente pandemia los Estados han tomado medidas extraordinarias, los pueblos indígenas están encontrando sus propias soluciones</w:t>
      </w:r>
      <w:r w:rsidR="00ED01A2" w:rsidRPr="00F37FAD">
        <w:rPr>
          <w:rFonts w:ascii="Arial" w:hAnsi="Arial" w:cs="Arial"/>
          <w:lang w:val="es-MX"/>
        </w:rPr>
        <w:t xml:space="preserve">. Además, </w:t>
      </w:r>
      <w:r w:rsidRPr="00F37FAD">
        <w:rPr>
          <w:rFonts w:ascii="Arial" w:hAnsi="Arial" w:cs="Arial"/>
          <w:lang w:val="es-MX"/>
        </w:rPr>
        <w:t>cuentan con todos los derechos humanos</w:t>
      </w:r>
      <w:r w:rsidR="00401336" w:rsidRPr="00F37FAD">
        <w:rPr>
          <w:rFonts w:ascii="Arial" w:hAnsi="Arial" w:cs="Arial"/>
          <w:lang w:val="es-MX"/>
        </w:rPr>
        <w:t>, entre estos, el derecho a ser consultados, el cual s</w:t>
      </w:r>
      <w:r w:rsidRPr="00F37FAD">
        <w:rPr>
          <w:rFonts w:ascii="Arial" w:hAnsi="Arial" w:cs="Arial"/>
          <w:lang w:val="es-MX"/>
        </w:rPr>
        <w:t>igue siendo aplicable durante la pandemia</w:t>
      </w:r>
      <w:r w:rsidR="00E5667F" w:rsidRPr="00F37FAD">
        <w:rPr>
          <w:rFonts w:ascii="Arial" w:hAnsi="Arial" w:cs="Arial"/>
          <w:lang w:val="es-MX"/>
        </w:rPr>
        <w:t xml:space="preserve">, puesto que, </w:t>
      </w:r>
      <w:r w:rsidR="00F16FD9" w:rsidRPr="00F37FAD">
        <w:rPr>
          <w:rFonts w:ascii="Arial" w:hAnsi="Arial" w:cs="Arial"/>
          <w:lang w:val="es-MX"/>
        </w:rPr>
        <w:t xml:space="preserve">existe el </w:t>
      </w:r>
      <w:r w:rsidR="00E5667F" w:rsidRPr="00F37FAD">
        <w:rPr>
          <w:rFonts w:ascii="Arial" w:hAnsi="Arial" w:cs="Arial"/>
          <w:lang w:val="es-MX"/>
        </w:rPr>
        <w:t>debe</w:t>
      </w:r>
      <w:r w:rsidR="00F16FD9" w:rsidRPr="00F37FAD">
        <w:rPr>
          <w:rFonts w:ascii="Arial" w:hAnsi="Arial" w:cs="Arial"/>
          <w:lang w:val="es-MX"/>
        </w:rPr>
        <w:t>r</w:t>
      </w:r>
      <w:r w:rsidR="00E5667F" w:rsidRPr="00F37FAD">
        <w:rPr>
          <w:rFonts w:ascii="Arial" w:hAnsi="Arial" w:cs="Arial"/>
          <w:lang w:val="es-MX"/>
        </w:rPr>
        <w:t xml:space="preserve"> de eliminar cualquier obstáculo. </w:t>
      </w:r>
    </w:p>
    <w:p w14:paraId="351A1EA9" w14:textId="1D827DCB" w:rsidR="00DB7B4F" w:rsidRPr="00F37FAD" w:rsidRDefault="00DB7B4F" w:rsidP="00DB7B4F">
      <w:pPr>
        <w:tabs>
          <w:tab w:val="left" w:pos="1215"/>
        </w:tabs>
        <w:spacing w:before="240" w:after="240" w:line="360" w:lineRule="auto"/>
        <w:jc w:val="both"/>
        <w:rPr>
          <w:rFonts w:ascii="Arial" w:hAnsi="Arial" w:cs="Arial"/>
          <w:lang w:val="es-MX"/>
        </w:rPr>
      </w:pPr>
      <w:r w:rsidRPr="00F37FAD">
        <w:rPr>
          <w:rFonts w:ascii="Arial" w:hAnsi="Arial" w:cs="Arial"/>
          <w:lang w:val="es-MX"/>
        </w:rPr>
        <w:t xml:space="preserve">En este contexto, se viola en perjuicio de los pueblos originarios el derecho a la igualdad y no discriminación, así como el derecho a la consulta previa libre e informada, porque se pretende obstaculizar su implementación, para la </w:t>
      </w:r>
      <w:r w:rsidR="008E69E2">
        <w:rPr>
          <w:rFonts w:ascii="Arial" w:hAnsi="Arial" w:cs="Arial"/>
          <w:lang w:val="es-MX"/>
        </w:rPr>
        <w:t xml:space="preserve">aprobación </w:t>
      </w:r>
      <w:bookmarkStart w:id="6" w:name="_GoBack"/>
      <w:bookmarkEnd w:id="6"/>
      <w:r w:rsidRPr="00F37FAD">
        <w:rPr>
          <w:rFonts w:ascii="Arial" w:hAnsi="Arial" w:cs="Arial"/>
          <w:lang w:val="es-MX"/>
        </w:rPr>
        <w:t>de acciones afirmativas, así como dejar en incertidumbre su derecho de participación y representación política en este próximo proceso electoral 2021.</w:t>
      </w:r>
    </w:p>
    <w:p w14:paraId="1F9B029A" w14:textId="40361D3C" w:rsidR="0017788D" w:rsidRPr="00F37FAD" w:rsidRDefault="002E387F" w:rsidP="0017788D">
      <w:pPr>
        <w:tabs>
          <w:tab w:val="left" w:pos="1215"/>
        </w:tabs>
        <w:spacing w:before="240" w:after="240" w:line="360" w:lineRule="auto"/>
        <w:jc w:val="both"/>
        <w:rPr>
          <w:rFonts w:ascii="Arial" w:hAnsi="Arial" w:cs="Arial"/>
          <w:b/>
          <w:bCs/>
          <w:lang w:val="es-MX"/>
        </w:rPr>
      </w:pPr>
      <w:r w:rsidRPr="00F37FAD">
        <w:rPr>
          <w:rFonts w:ascii="Arial" w:hAnsi="Arial" w:cs="Arial"/>
          <w:b/>
          <w:bCs/>
          <w:lang w:val="es-MX"/>
        </w:rPr>
        <w:t>3</w:t>
      </w:r>
      <w:r w:rsidR="0017788D" w:rsidRPr="00F37FAD">
        <w:rPr>
          <w:rFonts w:ascii="Arial" w:hAnsi="Arial" w:cs="Arial"/>
          <w:b/>
          <w:bCs/>
          <w:lang w:val="es-MX"/>
        </w:rPr>
        <w:t>. Decisión de la Sala Superior</w:t>
      </w:r>
    </w:p>
    <w:bookmarkEnd w:id="4"/>
    <w:bookmarkEnd w:id="5"/>
    <w:p w14:paraId="59372DC1" w14:textId="1D4F514E" w:rsidR="002E6E1A" w:rsidRPr="00F37FAD" w:rsidRDefault="007F7F4B" w:rsidP="002E6E1A">
      <w:pPr>
        <w:tabs>
          <w:tab w:val="left" w:pos="1215"/>
        </w:tabs>
        <w:spacing w:before="240" w:after="240" w:line="360" w:lineRule="auto"/>
        <w:jc w:val="both"/>
        <w:rPr>
          <w:rFonts w:ascii="Arial" w:eastAsia="Calibri" w:hAnsi="Arial" w:cs="Arial"/>
          <w:bCs/>
        </w:rPr>
      </w:pPr>
      <w:r w:rsidRPr="00F37FAD">
        <w:rPr>
          <w:rFonts w:ascii="Arial" w:hAnsi="Arial" w:cs="Arial"/>
          <w:lang w:val="es-MX"/>
        </w:rPr>
        <w:t xml:space="preserve">La Sala Superior </w:t>
      </w:r>
      <w:r w:rsidR="002E6E1A">
        <w:rPr>
          <w:rFonts w:ascii="Arial" w:hAnsi="Arial" w:cs="Arial"/>
          <w:b/>
          <w:bCs/>
          <w:lang w:val="es-MX"/>
        </w:rPr>
        <w:t xml:space="preserve">confirma </w:t>
      </w:r>
      <w:r w:rsidR="002E6E1A" w:rsidRPr="00F37FAD">
        <w:rPr>
          <w:rFonts w:ascii="Arial" w:hAnsi="Arial" w:cs="Arial"/>
          <w:lang w:val="es-MX"/>
        </w:rPr>
        <w:t>la resolución emitida por la Sala responsable</w:t>
      </w:r>
      <w:r w:rsidR="002E6E1A" w:rsidRPr="00F37FAD">
        <w:rPr>
          <w:rFonts w:ascii="Arial" w:eastAsia="Calibri" w:hAnsi="Arial" w:cs="Arial"/>
          <w:bCs/>
        </w:rPr>
        <w:t xml:space="preserve">, en la </w:t>
      </w:r>
      <w:r w:rsidR="002E6E1A">
        <w:rPr>
          <w:rFonts w:ascii="Arial" w:eastAsia="Calibri" w:hAnsi="Arial" w:cs="Arial"/>
          <w:bCs/>
        </w:rPr>
        <w:t>que</w:t>
      </w:r>
      <w:r w:rsidR="002E6E1A" w:rsidRPr="00F37FAD">
        <w:rPr>
          <w:rFonts w:ascii="Arial" w:eastAsia="Calibri" w:hAnsi="Arial" w:cs="Arial"/>
          <w:bCs/>
        </w:rPr>
        <w:t xml:space="preserve"> se suspendió de manera temporal el proceso consultivo a los pueblos y comunidades indígenas de Nayarit, respecto a la implementación de medidas afirmativas para el próximo proceso electoral. </w:t>
      </w:r>
    </w:p>
    <w:p w14:paraId="34E32B04" w14:textId="77777777" w:rsidR="002E6E1A" w:rsidRPr="00AA72AC" w:rsidRDefault="002E6E1A" w:rsidP="002E6E1A">
      <w:pPr>
        <w:tabs>
          <w:tab w:val="left" w:pos="1215"/>
        </w:tabs>
        <w:spacing w:before="240" w:after="240" w:line="360" w:lineRule="auto"/>
        <w:jc w:val="both"/>
        <w:rPr>
          <w:rFonts w:ascii="Arial" w:hAnsi="Arial" w:cs="Arial"/>
          <w:lang w:val="es-MX"/>
        </w:rPr>
      </w:pPr>
      <w:r>
        <w:rPr>
          <w:rFonts w:ascii="Arial" w:eastAsia="Calibri" w:hAnsi="Arial" w:cs="Arial"/>
          <w:bCs/>
        </w:rPr>
        <w:t xml:space="preserve">Lo anterior, porque la realización de la consulta necesariamente implica un acercamiento con sus autoridades representativas y éstas con sus comunidades, lo cual, refleja una situación de especial vulnerabilidad. </w:t>
      </w:r>
    </w:p>
    <w:p w14:paraId="7D038940" w14:textId="71A88A06" w:rsidR="00FC61FE" w:rsidRPr="00F37FAD" w:rsidRDefault="00860BD7" w:rsidP="00AF2A3D">
      <w:pPr>
        <w:tabs>
          <w:tab w:val="left" w:pos="1215"/>
        </w:tabs>
        <w:spacing w:before="240" w:after="240" w:line="360" w:lineRule="auto"/>
        <w:jc w:val="both"/>
        <w:rPr>
          <w:rFonts w:ascii="Arial" w:hAnsi="Arial" w:cs="Arial"/>
          <w:b/>
          <w:bCs/>
        </w:rPr>
      </w:pPr>
      <w:r w:rsidRPr="00F37FAD">
        <w:rPr>
          <w:rFonts w:ascii="Arial" w:eastAsia="Calibri" w:hAnsi="Arial" w:cs="Arial"/>
          <w:b/>
          <w:bCs/>
        </w:rPr>
        <w:t xml:space="preserve">3.1 </w:t>
      </w:r>
      <w:r w:rsidR="00FC61FE" w:rsidRPr="00F37FAD">
        <w:rPr>
          <w:rFonts w:ascii="Arial" w:hAnsi="Arial" w:cs="Arial"/>
          <w:b/>
          <w:bCs/>
        </w:rPr>
        <w:t>Emergencia sanitaria</w:t>
      </w:r>
      <w:r w:rsidR="00FE6BCE" w:rsidRPr="00F37FAD">
        <w:rPr>
          <w:rFonts w:ascii="Arial" w:hAnsi="Arial" w:cs="Arial"/>
          <w:b/>
          <w:bCs/>
        </w:rPr>
        <w:t xml:space="preserve"> (COVID-19)</w:t>
      </w:r>
      <w:r w:rsidR="008208BD" w:rsidRPr="00F37FAD">
        <w:rPr>
          <w:rStyle w:val="Refdenotaalpie"/>
          <w:rFonts w:ascii="Arial" w:hAnsi="Arial" w:cs="Arial"/>
        </w:rPr>
        <w:footnoteReference w:id="17"/>
      </w:r>
    </w:p>
    <w:p w14:paraId="0BB56586" w14:textId="17A4C0BE" w:rsidR="00FC61FE" w:rsidRPr="00F37FAD" w:rsidRDefault="00FC61FE" w:rsidP="00FC61FE">
      <w:pPr>
        <w:spacing w:before="240" w:after="240" w:line="360" w:lineRule="auto"/>
        <w:jc w:val="both"/>
        <w:rPr>
          <w:rFonts w:ascii="Arial" w:hAnsi="Arial" w:cs="Arial"/>
        </w:rPr>
      </w:pPr>
      <w:r w:rsidRPr="00F37FAD">
        <w:rPr>
          <w:rFonts w:ascii="Arial" w:hAnsi="Arial" w:cs="Arial"/>
        </w:rPr>
        <w:lastRenderedPageBreak/>
        <w:t>Las comunidades indígenas de todo el mundo se están aislando para evitar los devastadores brotes de COVID-19 en sus comunidades.</w:t>
      </w:r>
    </w:p>
    <w:p w14:paraId="4904702A" w14:textId="77777777" w:rsidR="00FC61FE" w:rsidRPr="00F37FAD" w:rsidRDefault="00FC61FE" w:rsidP="00FC61FE">
      <w:pPr>
        <w:spacing w:before="240" w:after="240" w:line="360" w:lineRule="auto"/>
        <w:jc w:val="both"/>
        <w:rPr>
          <w:rFonts w:ascii="Arial" w:hAnsi="Arial" w:cs="Arial"/>
        </w:rPr>
      </w:pPr>
      <w:r w:rsidRPr="00F37FAD">
        <w:rPr>
          <w:rFonts w:ascii="Arial" w:hAnsi="Arial" w:cs="Arial"/>
        </w:rPr>
        <w:t>Dentro de algunas de las principales medidas que pueden adoptar los Estados y actores interesados, se debe tener en cuenta los conceptos distintivos de los pueblos indígenas en materia de salud, que están inextricablemente vinculados con la realización de otros derechos, incluidos los derechos a la libre determinación, al desarrollo, a la cultura, a la tierra, al idioma y al medio ambiente saludable.</w:t>
      </w:r>
    </w:p>
    <w:p w14:paraId="7638EC20" w14:textId="705DD542" w:rsidR="009A5F33" w:rsidRPr="00F37FAD" w:rsidRDefault="00FC61FE" w:rsidP="00FC61FE">
      <w:pPr>
        <w:spacing w:before="240" w:after="240" w:line="360" w:lineRule="auto"/>
        <w:jc w:val="both"/>
        <w:rPr>
          <w:rFonts w:ascii="Arial" w:hAnsi="Arial" w:cs="Arial"/>
        </w:rPr>
      </w:pPr>
      <w:r w:rsidRPr="00F37FAD">
        <w:rPr>
          <w:rFonts w:ascii="Arial" w:hAnsi="Arial" w:cs="Arial"/>
        </w:rPr>
        <w:t xml:space="preserve">Además, </w:t>
      </w:r>
      <w:r w:rsidR="00A55F3E" w:rsidRPr="00F37FAD">
        <w:rPr>
          <w:rFonts w:ascii="Arial" w:hAnsi="Arial" w:cs="Arial"/>
        </w:rPr>
        <w:t>d</w:t>
      </w:r>
      <w:r w:rsidRPr="00F37FAD">
        <w:rPr>
          <w:rFonts w:ascii="Arial" w:hAnsi="Arial" w:cs="Arial"/>
        </w:rPr>
        <w:t>el establecimiento de medidas para controlar estrictamente la entrada de cualquier persona en los territorios indígenas</w:t>
      </w:r>
      <w:r w:rsidR="009A5F33" w:rsidRPr="00F37FAD">
        <w:rPr>
          <w:rFonts w:ascii="Arial" w:hAnsi="Arial" w:cs="Arial"/>
        </w:rPr>
        <w:t xml:space="preserve"> —</w:t>
      </w:r>
      <w:r w:rsidRPr="00F37FAD">
        <w:rPr>
          <w:rFonts w:ascii="Arial" w:hAnsi="Arial" w:cs="Arial"/>
        </w:rPr>
        <w:t>en consulta y cooperación con los pueblos indígenas interesados, mediante procedimientos adecuados y sus instituciones representativas</w:t>
      </w:r>
      <w:r w:rsidR="009A5F33" w:rsidRPr="00F37FAD">
        <w:rPr>
          <w:rFonts w:ascii="Arial" w:hAnsi="Arial" w:cs="Arial"/>
        </w:rPr>
        <w:t>—</w:t>
      </w:r>
      <w:r w:rsidRPr="00F37FAD">
        <w:rPr>
          <w:rFonts w:ascii="Arial" w:hAnsi="Arial" w:cs="Arial"/>
        </w:rPr>
        <w:t xml:space="preserve"> incluidos los profesionales de la salud, los funcionarios públicos, los visitantes y las instituciones asociadas. </w:t>
      </w:r>
    </w:p>
    <w:p w14:paraId="4A4FD4B9" w14:textId="69CAB240" w:rsidR="00FC61FE" w:rsidRPr="00F37FAD" w:rsidRDefault="00FC61FE" w:rsidP="00FC61FE">
      <w:pPr>
        <w:spacing w:before="240" w:after="240" w:line="360" w:lineRule="auto"/>
        <w:jc w:val="both"/>
        <w:rPr>
          <w:rFonts w:ascii="Arial" w:hAnsi="Arial" w:cs="Arial"/>
        </w:rPr>
      </w:pPr>
      <w:r w:rsidRPr="00F37FAD">
        <w:rPr>
          <w:rFonts w:ascii="Arial" w:hAnsi="Arial" w:cs="Arial"/>
        </w:rPr>
        <w:t>Toda persona que entre en los territorios indígenas debe someterse a pruebas de detección de COVID-19 y a una evaluación médica previa. No obstante, estas medidas no deberían obstaculizar la prestación de asistencia médica y humanitaria a los pueblos indígenas en casos de emergencia o el tránsito de quienes tratan de desplazarse fuera de su comunidad para recibir asistencia médica.</w:t>
      </w:r>
    </w:p>
    <w:p w14:paraId="202542CE" w14:textId="27DBB14D" w:rsidR="00B93DF4" w:rsidRPr="00F37FAD" w:rsidRDefault="008D5B3E" w:rsidP="00FC61FE">
      <w:pPr>
        <w:spacing w:before="240" w:after="240" w:line="360" w:lineRule="auto"/>
        <w:jc w:val="both"/>
        <w:rPr>
          <w:rFonts w:ascii="Arial" w:hAnsi="Arial" w:cs="Arial"/>
        </w:rPr>
      </w:pPr>
      <w:r w:rsidRPr="00F37FAD">
        <w:rPr>
          <w:rFonts w:ascii="Arial" w:hAnsi="Arial" w:cs="Arial"/>
        </w:rPr>
        <w:t>De esta manera, la pandemia del coronavirus (COVID-19) constituye una grave amenaza para la salud de los pueblos indígenas de todo el mundo.</w:t>
      </w:r>
    </w:p>
    <w:p w14:paraId="322DACEB" w14:textId="61DC24D9" w:rsidR="00144701" w:rsidRPr="00F37FAD" w:rsidRDefault="00144701" w:rsidP="00FC61FE">
      <w:pPr>
        <w:spacing w:before="240" w:after="240" w:line="360" w:lineRule="auto"/>
        <w:jc w:val="both"/>
        <w:rPr>
          <w:rFonts w:ascii="Arial" w:hAnsi="Arial" w:cs="Arial"/>
        </w:rPr>
      </w:pPr>
      <w:r w:rsidRPr="00F37FAD">
        <w:rPr>
          <w:rFonts w:ascii="Arial" w:hAnsi="Arial" w:cs="Arial"/>
        </w:rPr>
        <w:t xml:space="preserve">Los estilos de vida tradicionales de los pueblos indígenas son una fuente de resiliencia, pero este momento pueden representar una amenaza para evitar la propagación del virus.  Por ejemplo, la mayoría de los pueblos indígenas organizan periódicamente grandes reuniones tradicionales en sus comunidades para conmemorar acontecimientos especiales como, cosechas, ceremonias de llegada a la mayoría de edad, etc.  Algunas familias indígenas </w:t>
      </w:r>
      <w:r w:rsidRPr="00F37FAD">
        <w:rPr>
          <w:rFonts w:ascii="Arial" w:hAnsi="Arial" w:cs="Arial"/>
        </w:rPr>
        <w:lastRenderedPageBreak/>
        <w:t>también viven en viviendas multigeneracionales, lo que les pone en peligro, especialmente a los ancianos</w:t>
      </w:r>
      <w:r w:rsidR="005213C5" w:rsidRPr="00F37FAD">
        <w:rPr>
          <w:rStyle w:val="Refdenotaalpie"/>
          <w:rFonts w:ascii="Arial" w:hAnsi="Arial"/>
        </w:rPr>
        <w:footnoteReference w:id="18"/>
      </w:r>
      <w:r w:rsidRPr="00F37FAD">
        <w:rPr>
          <w:rFonts w:ascii="Arial" w:hAnsi="Arial" w:cs="Arial"/>
        </w:rPr>
        <w:t>.</w:t>
      </w:r>
    </w:p>
    <w:p w14:paraId="557E85B4" w14:textId="2C0CB58C" w:rsidR="0007275D" w:rsidRPr="00F37FAD" w:rsidRDefault="00E0537A" w:rsidP="00FC61FE">
      <w:pPr>
        <w:spacing w:before="240" w:after="240" w:line="360" w:lineRule="auto"/>
        <w:jc w:val="both"/>
        <w:rPr>
          <w:rFonts w:ascii="Arial" w:hAnsi="Arial" w:cs="Arial"/>
        </w:rPr>
      </w:pPr>
      <w:r w:rsidRPr="00F37FAD">
        <w:rPr>
          <w:rFonts w:ascii="Arial" w:hAnsi="Arial" w:cs="Arial"/>
        </w:rPr>
        <w:t>En consecuencia, l</w:t>
      </w:r>
      <w:r w:rsidR="0007275D" w:rsidRPr="00F37FAD">
        <w:rPr>
          <w:rFonts w:ascii="Arial" w:hAnsi="Arial" w:cs="Arial"/>
        </w:rPr>
        <w:t>os pueblos indígenas experimentan un alto grado de marginación socioeconómica y corren un riesgo desproporcionado en las emergencias de salud pública, haciéndose aún más vulnerables durante esta pandemia mundial, debido a factores como su falta de acceso a sistemas eficaces de vigilancia y alerta temprana y a servicios sanitarios y sociales adecuados</w:t>
      </w:r>
      <w:r w:rsidR="00572656" w:rsidRPr="00F37FAD">
        <w:rPr>
          <w:rStyle w:val="Refdenotaalpie"/>
          <w:rFonts w:ascii="Arial" w:hAnsi="Arial"/>
        </w:rPr>
        <w:footnoteReference w:id="19"/>
      </w:r>
      <w:r w:rsidR="0007275D" w:rsidRPr="00F37FAD">
        <w:rPr>
          <w:rFonts w:ascii="Arial" w:hAnsi="Arial" w:cs="Arial"/>
        </w:rPr>
        <w:t>.</w:t>
      </w:r>
    </w:p>
    <w:p w14:paraId="7E9D8E0D" w14:textId="0F8CDC07" w:rsidR="0098681D" w:rsidRPr="00F37FAD" w:rsidRDefault="00DA6D8D" w:rsidP="00FC61FE">
      <w:pPr>
        <w:spacing w:before="240" w:after="240" w:line="360" w:lineRule="auto"/>
        <w:jc w:val="both"/>
        <w:rPr>
          <w:rFonts w:ascii="Arial" w:hAnsi="Arial" w:cs="Arial"/>
        </w:rPr>
      </w:pPr>
      <w:r w:rsidRPr="00F37FAD">
        <w:rPr>
          <w:rFonts w:ascii="Arial" w:hAnsi="Arial" w:cs="Arial"/>
        </w:rPr>
        <w:t>Finalmente, e</w:t>
      </w:r>
      <w:r w:rsidR="0098681D" w:rsidRPr="00F37FAD">
        <w:rPr>
          <w:rFonts w:ascii="Arial" w:hAnsi="Arial" w:cs="Arial"/>
        </w:rPr>
        <w:t>n México,</w:t>
      </w:r>
      <w:r w:rsidR="004B69A9">
        <w:rPr>
          <w:rFonts w:ascii="Arial" w:hAnsi="Arial" w:cs="Arial"/>
        </w:rPr>
        <w:t xml:space="preserve"> </w:t>
      </w:r>
      <w:r w:rsidR="00DC2AFA">
        <w:rPr>
          <w:rFonts w:ascii="Arial" w:hAnsi="Arial" w:cs="Arial"/>
        </w:rPr>
        <w:t>desde</w:t>
      </w:r>
      <w:r w:rsidR="0098681D" w:rsidRPr="00F37FAD">
        <w:rPr>
          <w:rFonts w:ascii="Arial" w:hAnsi="Arial" w:cs="Arial"/>
        </w:rPr>
        <w:t xml:space="preserve"> el treinta de marzo de dos mil veinte, fue publicado en el Diario Oficial de la Federación el acuerdo por el que se </w:t>
      </w:r>
      <w:r w:rsidR="00A55F3E" w:rsidRPr="00F37FAD">
        <w:rPr>
          <w:rFonts w:ascii="Arial" w:hAnsi="Arial" w:cs="Arial"/>
        </w:rPr>
        <w:t>declaró</w:t>
      </w:r>
      <w:r w:rsidR="0098681D" w:rsidRPr="00F37FAD">
        <w:rPr>
          <w:rFonts w:ascii="Arial" w:hAnsi="Arial" w:cs="Arial"/>
        </w:rPr>
        <w:t xml:space="preserve"> emergencia sanitaria por causa de fuerza mayor a la epidemia de enfermedad generada por el virus señalado.</w:t>
      </w:r>
    </w:p>
    <w:p w14:paraId="3F887B53" w14:textId="585CD927" w:rsidR="00860BD7" w:rsidRPr="00F37FAD" w:rsidRDefault="00FC61FE" w:rsidP="00FC61FE">
      <w:pPr>
        <w:spacing w:before="240" w:after="240" w:line="360" w:lineRule="auto"/>
        <w:jc w:val="both"/>
        <w:rPr>
          <w:rFonts w:ascii="Arial" w:eastAsia="Calibri" w:hAnsi="Arial" w:cs="Arial"/>
          <w:b/>
          <w:bCs/>
        </w:rPr>
      </w:pPr>
      <w:r w:rsidRPr="00F37FAD">
        <w:rPr>
          <w:rFonts w:ascii="Arial" w:eastAsia="Calibri" w:hAnsi="Arial" w:cs="Arial"/>
          <w:b/>
          <w:bCs/>
        </w:rPr>
        <w:t xml:space="preserve">3.2 </w:t>
      </w:r>
      <w:r w:rsidR="005F3582" w:rsidRPr="00F37FAD">
        <w:rPr>
          <w:rFonts w:ascii="Arial" w:eastAsia="Calibri" w:hAnsi="Arial" w:cs="Arial"/>
          <w:b/>
          <w:bCs/>
        </w:rPr>
        <w:t>D</w:t>
      </w:r>
      <w:r w:rsidR="00860BD7" w:rsidRPr="00F37FAD">
        <w:rPr>
          <w:rFonts w:ascii="Arial" w:eastAsia="Calibri" w:hAnsi="Arial" w:cs="Arial"/>
          <w:b/>
          <w:bCs/>
        </w:rPr>
        <w:t xml:space="preserve">erecho colectivo a la consulta de los pueblos y </w:t>
      </w:r>
      <w:r w:rsidR="00EF494C" w:rsidRPr="00F37FAD">
        <w:rPr>
          <w:rFonts w:ascii="Arial" w:eastAsia="Calibri" w:hAnsi="Arial" w:cs="Arial"/>
          <w:b/>
          <w:bCs/>
        </w:rPr>
        <w:t>comunidades</w:t>
      </w:r>
      <w:r w:rsidR="00860BD7" w:rsidRPr="00F37FAD">
        <w:rPr>
          <w:rFonts w:ascii="Arial" w:eastAsia="Calibri" w:hAnsi="Arial" w:cs="Arial"/>
          <w:b/>
          <w:bCs/>
        </w:rPr>
        <w:t xml:space="preserve"> indígenas</w:t>
      </w:r>
    </w:p>
    <w:p w14:paraId="76B634F2" w14:textId="77777777" w:rsidR="00BE5295" w:rsidRPr="00F37FAD" w:rsidRDefault="007C40C5" w:rsidP="00FC61FE">
      <w:pPr>
        <w:spacing w:before="240" w:after="240" w:line="360" w:lineRule="auto"/>
        <w:jc w:val="both"/>
        <w:rPr>
          <w:rFonts w:ascii="Arial" w:hAnsi="Arial" w:cs="Arial"/>
        </w:rPr>
      </w:pPr>
      <w:r w:rsidRPr="00F37FAD">
        <w:rPr>
          <w:rFonts w:ascii="Arial" w:hAnsi="Arial" w:cs="Arial"/>
        </w:rPr>
        <w:t xml:space="preserve">Los pueblos indígenas, como todas las personas, tienen derecho a gozar de todos los derechos humanos. </w:t>
      </w:r>
    </w:p>
    <w:p w14:paraId="2A56E613" w14:textId="2646A6A3" w:rsidR="007C40C5" w:rsidRPr="00F37FAD" w:rsidRDefault="007C40C5" w:rsidP="007C40C5">
      <w:pPr>
        <w:spacing w:before="240" w:after="240" w:line="360" w:lineRule="auto"/>
        <w:jc w:val="both"/>
        <w:rPr>
          <w:rFonts w:ascii="Arial" w:hAnsi="Arial" w:cs="Arial"/>
        </w:rPr>
      </w:pPr>
      <w:r w:rsidRPr="00F37FAD">
        <w:rPr>
          <w:rFonts w:ascii="Arial" w:hAnsi="Arial" w:cs="Arial"/>
        </w:rPr>
        <w:t>Entre los derechos específicos que revisten especial importancia para los pueblos indígenas durante esta crisis</w:t>
      </w:r>
      <w:r w:rsidR="00BE5295" w:rsidRPr="00F37FAD">
        <w:rPr>
          <w:rFonts w:ascii="Arial" w:hAnsi="Arial" w:cs="Arial"/>
        </w:rPr>
        <w:t xml:space="preserve"> sanitaria</w:t>
      </w:r>
      <w:r w:rsidR="0060690E" w:rsidRPr="00F37FAD">
        <w:rPr>
          <w:rFonts w:ascii="Arial" w:hAnsi="Arial" w:cs="Arial"/>
        </w:rPr>
        <w:t xml:space="preserve"> —</w:t>
      </w:r>
      <w:r w:rsidRPr="00F37FAD">
        <w:rPr>
          <w:rFonts w:ascii="Arial" w:hAnsi="Arial" w:cs="Arial"/>
        </w:rPr>
        <w:t>tanto de carácter individual como colectivo</w:t>
      </w:r>
      <w:r w:rsidR="0060690E" w:rsidRPr="00F37FAD">
        <w:rPr>
          <w:rFonts w:ascii="Arial" w:hAnsi="Arial" w:cs="Arial"/>
        </w:rPr>
        <w:t>—</w:t>
      </w:r>
      <w:r w:rsidRPr="00F37FAD">
        <w:rPr>
          <w:rFonts w:ascii="Arial" w:hAnsi="Arial" w:cs="Arial"/>
        </w:rPr>
        <w:t xml:space="preserve"> figuran el derecho a la libre determinación y el derecho de los pueblos indígenas a participar y a ser consultados sobre las medidas que les afectan, incluido el requisito de obtener su consentimiento libre, previo e informado</w:t>
      </w:r>
      <w:r w:rsidR="00BE5295" w:rsidRPr="00F37FAD">
        <w:rPr>
          <w:rStyle w:val="Refdenotaalpie"/>
          <w:rFonts w:ascii="Arial" w:hAnsi="Arial"/>
        </w:rPr>
        <w:footnoteReference w:id="20"/>
      </w:r>
      <w:r w:rsidRPr="00F37FAD">
        <w:rPr>
          <w:rFonts w:ascii="Arial" w:hAnsi="Arial" w:cs="Arial"/>
        </w:rPr>
        <w:t>.</w:t>
      </w:r>
    </w:p>
    <w:p w14:paraId="07FD8988" w14:textId="5E0AFE41" w:rsidR="007F3E9F" w:rsidRPr="00F37FAD" w:rsidRDefault="00E70142" w:rsidP="007C40C5">
      <w:pPr>
        <w:spacing w:before="240" w:after="240" w:line="360" w:lineRule="auto"/>
        <w:jc w:val="both"/>
        <w:rPr>
          <w:rFonts w:ascii="Arial" w:eastAsia="Calibri" w:hAnsi="Arial" w:cs="Arial"/>
        </w:rPr>
      </w:pPr>
      <w:r w:rsidRPr="00F37FAD">
        <w:rPr>
          <w:rFonts w:ascii="Arial" w:eastAsia="Calibri" w:hAnsi="Arial" w:cs="Arial"/>
        </w:rPr>
        <w:t>E</w:t>
      </w:r>
      <w:r w:rsidR="007F7F4B" w:rsidRPr="00F37FAD">
        <w:rPr>
          <w:rFonts w:ascii="Arial" w:eastAsia="Calibri" w:hAnsi="Arial" w:cs="Arial"/>
        </w:rPr>
        <w:t xml:space="preserve">l </w:t>
      </w:r>
      <w:r w:rsidR="007F3E9F" w:rsidRPr="00F37FAD">
        <w:rPr>
          <w:rFonts w:ascii="Arial" w:eastAsia="Calibri" w:hAnsi="Arial" w:cs="Arial"/>
        </w:rPr>
        <w:t xml:space="preserve">Tribunal Pleno de la Suprema Corte de Justicia de la Nación, </w:t>
      </w:r>
      <w:r w:rsidR="009A1B95" w:rsidRPr="00F37FAD">
        <w:rPr>
          <w:rFonts w:ascii="Arial" w:eastAsia="Calibri" w:hAnsi="Arial" w:cs="Arial"/>
        </w:rPr>
        <w:t xml:space="preserve">sostiene que </w:t>
      </w:r>
      <w:r w:rsidR="007F3E9F" w:rsidRPr="00F37FAD">
        <w:rPr>
          <w:rFonts w:ascii="Arial" w:eastAsia="Calibri" w:hAnsi="Arial" w:cs="Arial"/>
        </w:rPr>
        <w:t xml:space="preserve">los pueblos y comunidades indígenas tienen el derecho humano a la consulta. </w:t>
      </w:r>
      <w:bookmarkStart w:id="7" w:name="_Hlk52040938"/>
      <w:r w:rsidR="007F3E9F" w:rsidRPr="00F37FAD">
        <w:rPr>
          <w:rFonts w:ascii="Arial" w:hAnsi="Arial" w:cs="Arial"/>
          <w:lang w:val="es-ES_tradnl"/>
        </w:rPr>
        <w:t xml:space="preserve">Esa consulta a los pueblos indígenas debe realizarse mediante procedimientos culturalmente adecuados, libres, informados y de buena fe </w:t>
      </w:r>
      <w:r w:rsidR="007F3E9F" w:rsidRPr="00F37FAD">
        <w:rPr>
          <w:rFonts w:ascii="Arial" w:hAnsi="Arial" w:cs="Arial"/>
          <w:lang w:val="es-ES_tradnl"/>
        </w:rPr>
        <w:lastRenderedPageBreak/>
        <w:t>con la finalidad de llegar a un acuerdo a través de sus representantes, cada vez que se prevean medidas legislativas susceptibles de afectarles directamente</w:t>
      </w:r>
      <w:bookmarkEnd w:id="7"/>
      <w:r w:rsidR="009A1B95" w:rsidRPr="00F37FAD">
        <w:rPr>
          <w:rStyle w:val="Refdenotaalpie"/>
          <w:rFonts w:ascii="Arial" w:hAnsi="Arial"/>
          <w:lang w:val="es-ES_tradnl"/>
        </w:rPr>
        <w:footnoteReference w:id="21"/>
      </w:r>
      <w:r w:rsidR="007F3E9F" w:rsidRPr="00F37FAD">
        <w:rPr>
          <w:rFonts w:ascii="Arial" w:hAnsi="Arial" w:cs="Arial"/>
          <w:lang w:val="es-ES_tradnl"/>
        </w:rPr>
        <w:t>.</w:t>
      </w:r>
    </w:p>
    <w:p w14:paraId="3BC21A48" w14:textId="77777777" w:rsidR="00AC3A5E" w:rsidRPr="00F37FAD" w:rsidRDefault="00C31C16" w:rsidP="00C31C16">
      <w:pPr>
        <w:pStyle w:val="corte4fondo"/>
        <w:tabs>
          <w:tab w:val="left" w:pos="0"/>
        </w:tabs>
        <w:spacing w:before="240" w:after="240"/>
        <w:ind w:firstLine="0"/>
        <w:rPr>
          <w:rFonts w:cs="Arial"/>
          <w:sz w:val="24"/>
          <w:lang w:val="es-ES_tradnl"/>
        </w:rPr>
      </w:pPr>
      <w:r w:rsidRPr="00F37FAD">
        <w:rPr>
          <w:rFonts w:cs="Arial"/>
          <w:sz w:val="24"/>
          <w:lang w:val="es-ES_tradnl"/>
        </w:rPr>
        <w:t xml:space="preserve">Asimismo, se ha referido que, </w:t>
      </w:r>
      <w:r w:rsidR="007F3E9F" w:rsidRPr="00F37FAD">
        <w:rPr>
          <w:rFonts w:cs="Arial"/>
          <w:sz w:val="24"/>
          <w:lang w:val="es-ES_tradnl"/>
        </w:rPr>
        <w:t xml:space="preserve">la consulta indígena se activa cuando los cambios legislativos son susceptibles de afectar directamente a los pueblos y/o comunidades indígenas, reconociendo que, en parte, el objetivo de esa consulta es valorar qué es o qué no es lo que más les beneficia. </w:t>
      </w:r>
    </w:p>
    <w:p w14:paraId="0C129140" w14:textId="63D349C6" w:rsidR="007F3E9F" w:rsidRPr="00F37FAD" w:rsidRDefault="007F3E9F" w:rsidP="00C31C16">
      <w:pPr>
        <w:pStyle w:val="corte4fondo"/>
        <w:tabs>
          <w:tab w:val="left" w:pos="0"/>
        </w:tabs>
        <w:spacing w:before="240" w:after="240"/>
        <w:ind w:firstLine="0"/>
        <w:rPr>
          <w:rFonts w:cs="Arial"/>
          <w:sz w:val="24"/>
          <w:lang w:val="es-ES_tradnl"/>
        </w:rPr>
      </w:pPr>
      <w:r w:rsidRPr="00F37FAD">
        <w:rPr>
          <w:rFonts w:cs="Arial"/>
          <w:sz w:val="24"/>
          <w:lang w:val="es-ES_tradnl"/>
        </w:rPr>
        <w:t xml:space="preserve">Se ha considerado entonces que basta que se advierta que la normativa impugnada contiene reformas o modificaciones legislativas que inciden en los derechos de los pueblos y comunidades indígenas para exigir constitucionalmente como requisito de validez que se haya celebrado una consulta indígena. </w:t>
      </w:r>
    </w:p>
    <w:p w14:paraId="62B79A19" w14:textId="66877491" w:rsidR="00404303" w:rsidRPr="00F37FAD" w:rsidRDefault="00404303" w:rsidP="009F04AA">
      <w:pPr>
        <w:pStyle w:val="corte4fondo"/>
        <w:tabs>
          <w:tab w:val="left" w:pos="0"/>
        </w:tabs>
        <w:spacing w:before="240" w:after="240"/>
        <w:ind w:firstLine="0"/>
        <w:rPr>
          <w:rFonts w:cs="Arial"/>
          <w:sz w:val="24"/>
          <w:lang w:val="es-ES_tradnl"/>
        </w:rPr>
      </w:pPr>
      <w:r w:rsidRPr="00F37FAD">
        <w:rPr>
          <w:rFonts w:cs="Arial"/>
          <w:sz w:val="24"/>
          <w:lang w:val="es-ES_tradnl"/>
        </w:rPr>
        <w:t>De acuerdo con el Pleno de la Suprema Corte de Justicia de la Nación,</w:t>
      </w:r>
      <w:r w:rsidRPr="00F37FAD">
        <w:rPr>
          <w:rStyle w:val="Refdenotaalpie"/>
          <w:rFonts w:cs="Arial"/>
          <w:sz w:val="24"/>
          <w:lang w:val="es-ES_tradnl"/>
        </w:rPr>
        <w:footnoteReference w:id="22"/>
      </w:r>
      <w:r w:rsidRPr="00F37FAD">
        <w:rPr>
          <w:rFonts w:cs="Arial"/>
          <w:sz w:val="24"/>
          <w:lang w:val="es-ES_tradnl"/>
        </w:rPr>
        <w:t xml:space="preserve"> la consulta indígena debe cumplirse bajo las características reconocidas en el parámetro de regularidad constitucional siguiente:</w:t>
      </w:r>
      <w:r w:rsidR="000270FE" w:rsidRPr="00F37FAD">
        <w:rPr>
          <w:rFonts w:cs="Arial"/>
          <w:sz w:val="24"/>
          <w:lang w:val="es-ES_tradnl"/>
        </w:rPr>
        <w:t xml:space="preserve"> </w:t>
      </w:r>
      <w:r w:rsidR="000270FE" w:rsidRPr="00F37FAD">
        <w:rPr>
          <w:rFonts w:cs="Arial"/>
          <w:b/>
          <w:bCs/>
          <w:sz w:val="24"/>
          <w:lang w:val="es-ES_tradnl"/>
        </w:rPr>
        <w:t>(i)</w:t>
      </w:r>
      <w:r w:rsidR="000270FE" w:rsidRPr="00F37FAD">
        <w:rPr>
          <w:rFonts w:cs="Arial"/>
          <w:sz w:val="24"/>
          <w:lang w:val="es-ES_tradnl"/>
        </w:rPr>
        <w:t xml:space="preserve"> </w:t>
      </w:r>
      <w:r w:rsidRPr="00F37FAD">
        <w:rPr>
          <w:rFonts w:cs="Arial"/>
          <w:sz w:val="24"/>
          <w:lang w:val="es-ES_tradnl"/>
        </w:rPr>
        <w:t>La consulta debe ser previa</w:t>
      </w:r>
      <w:r w:rsidR="009F04AA" w:rsidRPr="00F37FAD">
        <w:rPr>
          <w:rFonts w:cs="Arial"/>
          <w:sz w:val="24"/>
          <w:lang w:val="es-ES_tradnl"/>
        </w:rPr>
        <w:t xml:space="preserve">; </w:t>
      </w:r>
      <w:r w:rsidR="009F04AA" w:rsidRPr="00F37FAD">
        <w:rPr>
          <w:rFonts w:cs="Arial"/>
          <w:b/>
          <w:bCs/>
          <w:sz w:val="24"/>
          <w:lang w:val="es-ES_tradnl"/>
        </w:rPr>
        <w:t>(ii)</w:t>
      </w:r>
      <w:r w:rsidR="009F04AA" w:rsidRPr="00F37FAD">
        <w:rPr>
          <w:rFonts w:cs="Arial"/>
          <w:sz w:val="24"/>
          <w:lang w:val="es-ES_tradnl"/>
        </w:rPr>
        <w:t xml:space="preserve"> </w:t>
      </w:r>
      <w:r w:rsidRPr="00F37FAD">
        <w:rPr>
          <w:rFonts w:cs="Arial"/>
          <w:sz w:val="24"/>
          <w:lang w:val="es-ES_tradnl"/>
        </w:rPr>
        <w:t>Libre</w:t>
      </w:r>
      <w:r w:rsidR="009F04AA" w:rsidRPr="00F37FAD">
        <w:rPr>
          <w:rFonts w:cs="Arial"/>
          <w:sz w:val="24"/>
          <w:lang w:val="es-ES_tradnl"/>
        </w:rPr>
        <w:t xml:space="preserve">; </w:t>
      </w:r>
      <w:r w:rsidR="009F04AA" w:rsidRPr="00F37FAD">
        <w:rPr>
          <w:rFonts w:cs="Arial"/>
          <w:b/>
          <w:bCs/>
          <w:sz w:val="24"/>
          <w:lang w:val="es-ES_tradnl"/>
        </w:rPr>
        <w:t>(iii)</w:t>
      </w:r>
      <w:r w:rsidR="009F04AA" w:rsidRPr="00F37FAD">
        <w:rPr>
          <w:rFonts w:cs="Arial"/>
          <w:sz w:val="24"/>
          <w:lang w:val="es-ES_tradnl"/>
        </w:rPr>
        <w:t xml:space="preserve"> </w:t>
      </w:r>
      <w:r w:rsidRPr="00F37FAD">
        <w:rPr>
          <w:rFonts w:cs="Arial"/>
          <w:sz w:val="24"/>
          <w:lang w:val="es-ES_tradnl"/>
        </w:rPr>
        <w:t>Informada</w:t>
      </w:r>
      <w:r w:rsidR="009F04AA" w:rsidRPr="00F37FAD">
        <w:rPr>
          <w:rFonts w:cs="Arial"/>
          <w:sz w:val="24"/>
          <w:lang w:val="es-ES_tradnl"/>
        </w:rPr>
        <w:t xml:space="preserve">; </w:t>
      </w:r>
      <w:r w:rsidR="009F04AA" w:rsidRPr="00F37FAD">
        <w:rPr>
          <w:rFonts w:cs="Arial"/>
          <w:b/>
          <w:bCs/>
          <w:sz w:val="24"/>
          <w:lang w:val="es-ES_tradnl"/>
        </w:rPr>
        <w:t>(iv)</w:t>
      </w:r>
      <w:r w:rsidR="009F04AA" w:rsidRPr="00F37FAD">
        <w:rPr>
          <w:rFonts w:cs="Arial"/>
          <w:sz w:val="24"/>
          <w:lang w:val="es-ES_tradnl"/>
        </w:rPr>
        <w:t xml:space="preserve"> </w:t>
      </w:r>
      <w:r w:rsidRPr="00F37FAD">
        <w:rPr>
          <w:rFonts w:cs="Arial"/>
          <w:sz w:val="24"/>
          <w:lang w:val="es-ES_tradnl"/>
        </w:rPr>
        <w:t>Culturalmente adecuada</w:t>
      </w:r>
      <w:r w:rsidR="009F04AA" w:rsidRPr="00F37FAD">
        <w:rPr>
          <w:rFonts w:cs="Arial"/>
          <w:sz w:val="24"/>
          <w:lang w:val="es-ES_tradnl"/>
        </w:rPr>
        <w:t xml:space="preserve">, y </w:t>
      </w:r>
      <w:r w:rsidR="009F04AA" w:rsidRPr="00F37FAD">
        <w:rPr>
          <w:rFonts w:cs="Arial"/>
          <w:b/>
          <w:bCs/>
          <w:sz w:val="24"/>
          <w:lang w:val="es-ES_tradnl"/>
        </w:rPr>
        <w:t>(v)</w:t>
      </w:r>
      <w:r w:rsidR="009F04AA" w:rsidRPr="00F37FAD">
        <w:rPr>
          <w:rFonts w:cs="Arial"/>
          <w:sz w:val="24"/>
          <w:lang w:val="es-ES_tradnl"/>
        </w:rPr>
        <w:t xml:space="preserve"> </w:t>
      </w:r>
      <w:r w:rsidRPr="00F37FAD">
        <w:rPr>
          <w:rFonts w:cs="Arial"/>
          <w:sz w:val="24"/>
          <w:lang w:val="es-ES_tradnl"/>
        </w:rPr>
        <w:t>De buena fe, con la finalidad de llegar a un acuerdo</w:t>
      </w:r>
      <w:r w:rsidR="009F04AA" w:rsidRPr="00F37FAD">
        <w:rPr>
          <w:rFonts w:cs="Arial"/>
          <w:sz w:val="24"/>
          <w:lang w:val="es-ES_tradnl"/>
        </w:rPr>
        <w:t>.</w:t>
      </w:r>
    </w:p>
    <w:p w14:paraId="60FC73B7" w14:textId="21B1D7EC" w:rsidR="00404303" w:rsidRPr="00F37FAD" w:rsidRDefault="00404303" w:rsidP="00ED3C6C">
      <w:pPr>
        <w:pStyle w:val="corte4fondo"/>
        <w:tabs>
          <w:tab w:val="left" w:pos="0"/>
        </w:tabs>
        <w:spacing w:before="240" w:after="240"/>
        <w:ind w:firstLine="0"/>
        <w:rPr>
          <w:rFonts w:cs="Arial"/>
          <w:sz w:val="24"/>
          <w:lang w:val="es-ES_tradnl"/>
        </w:rPr>
      </w:pPr>
      <w:r w:rsidRPr="00F37FAD">
        <w:rPr>
          <w:rFonts w:cs="Arial"/>
          <w:sz w:val="24"/>
          <w:lang w:val="es-ES_tradnl"/>
        </w:rPr>
        <w:t>En congruencia con lo anterior,</w:t>
      </w:r>
      <w:r w:rsidR="007C49A2" w:rsidRPr="00F37FAD">
        <w:rPr>
          <w:rFonts w:cs="Arial"/>
          <w:sz w:val="24"/>
          <w:lang w:val="es-ES_tradnl"/>
        </w:rPr>
        <w:t xml:space="preserve"> </w:t>
      </w:r>
      <w:r w:rsidRPr="00F37FAD">
        <w:rPr>
          <w:rFonts w:cs="Arial"/>
          <w:sz w:val="24"/>
          <w:lang w:val="es-ES_tradnl"/>
        </w:rPr>
        <w:t>las legislaturas locales tienen el deber de prever una fase adicional en el proceso de creación de las leyes para consultar a los representantes de ese sector de la población, cuando se trate de medidas legislativas susceptibles de afectarles directamente.</w:t>
      </w:r>
    </w:p>
    <w:p w14:paraId="4B88C2EE" w14:textId="3570F774" w:rsidR="00404303" w:rsidRPr="00F37FAD" w:rsidRDefault="007C49A2" w:rsidP="007C49A2">
      <w:pPr>
        <w:pStyle w:val="corte4fondo"/>
        <w:tabs>
          <w:tab w:val="left" w:pos="0"/>
        </w:tabs>
        <w:spacing w:before="240" w:after="240"/>
        <w:ind w:firstLine="0"/>
        <w:rPr>
          <w:rFonts w:cs="Arial"/>
          <w:sz w:val="24"/>
          <w:lang w:val="es-ES_tradnl"/>
        </w:rPr>
      </w:pPr>
      <w:r w:rsidRPr="00F37FAD">
        <w:rPr>
          <w:rFonts w:cs="Arial"/>
          <w:sz w:val="24"/>
          <w:lang w:val="es-ES_tradnl"/>
        </w:rPr>
        <w:t xml:space="preserve">Asimismo, </w:t>
      </w:r>
      <w:r w:rsidR="00404303" w:rsidRPr="00F37FAD">
        <w:rPr>
          <w:rFonts w:cs="Arial"/>
          <w:sz w:val="24"/>
          <w:lang w:val="es-ES_tradnl"/>
        </w:rPr>
        <w:t>si bien</w:t>
      </w:r>
      <w:r w:rsidRPr="00F37FAD">
        <w:rPr>
          <w:rFonts w:cs="Arial"/>
          <w:sz w:val="24"/>
          <w:lang w:val="es-ES_tradnl"/>
        </w:rPr>
        <w:t>,</w:t>
      </w:r>
      <w:r w:rsidR="00404303" w:rsidRPr="00F37FAD">
        <w:rPr>
          <w:rFonts w:cs="Arial"/>
          <w:sz w:val="24"/>
          <w:lang w:val="es-ES_tradnl"/>
        </w:rPr>
        <w:t xml:space="preserve"> pudiera considerarse que la consulta indígena se activa solo cuando la medida legislativa (o de otro tipo, como se indicó) puede ser perjudicial, lo cierto es que esa posición supondría realizar un pronunciamiento </w:t>
      </w:r>
      <w:r w:rsidR="00404303" w:rsidRPr="00F37FAD">
        <w:rPr>
          <w:rFonts w:cs="Arial"/>
          <w:i/>
          <w:iCs/>
          <w:sz w:val="24"/>
          <w:lang w:val="es-ES_tradnl"/>
        </w:rPr>
        <w:t>a priori</w:t>
      </w:r>
      <w:r w:rsidR="00404303" w:rsidRPr="00F37FAD">
        <w:rPr>
          <w:rFonts w:cs="Arial"/>
          <w:sz w:val="24"/>
          <w:lang w:val="es-ES_tradnl"/>
        </w:rPr>
        <w:t xml:space="preserve">, imponiendo una visión de las autoridades del Estado central sobre los derechos e intereses de los pueblos y comunidades indígenas, ya que, como dice la Suprema Corte, “parte del objetivo de una </w:t>
      </w:r>
      <w:r w:rsidR="00404303" w:rsidRPr="00F37FAD">
        <w:rPr>
          <w:rFonts w:cs="Arial"/>
          <w:sz w:val="24"/>
          <w:lang w:val="es-ES_tradnl"/>
        </w:rPr>
        <w:lastRenderedPageBreak/>
        <w:t>consulta indígena es que sean los propios pueblos y comunidades indígenas quienes valoren qué es o qué no es lo que más les beneficia”</w:t>
      </w:r>
      <w:r w:rsidR="00404303" w:rsidRPr="00F37FAD">
        <w:rPr>
          <w:rStyle w:val="Refdenotaalpie"/>
          <w:rFonts w:cs="Arial"/>
          <w:sz w:val="24"/>
          <w:lang w:val="es-ES_tradnl"/>
        </w:rPr>
        <w:footnoteReference w:id="23"/>
      </w:r>
      <w:r w:rsidR="00404303" w:rsidRPr="00F37FAD">
        <w:rPr>
          <w:rFonts w:cs="Arial"/>
          <w:sz w:val="24"/>
          <w:lang w:val="es-ES_tradnl"/>
        </w:rPr>
        <w:t>.</w:t>
      </w:r>
    </w:p>
    <w:p w14:paraId="02521A1C" w14:textId="65082313" w:rsidR="007F3E9F" w:rsidRPr="00F37FAD" w:rsidRDefault="00CB6A40" w:rsidP="00A90897">
      <w:pPr>
        <w:spacing w:before="240" w:after="240" w:line="360" w:lineRule="auto"/>
        <w:jc w:val="both"/>
        <w:rPr>
          <w:rFonts w:ascii="Arial" w:hAnsi="Arial" w:cs="Arial"/>
        </w:rPr>
      </w:pPr>
      <w:r w:rsidRPr="00F37FAD">
        <w:rPr>
          <w:rFonts w:ascii="Arial" w:eastAsia="Calibri" w:hAnsi="Arial" w:cs="Arial"/>
        </w:rPr>
        <w:t xml:space="preserve">En este sentido, </w:t>
      </w:r>
      <w:r w:rsidR="007F3E9F" w:rsidRPr="00F37FAD">
        <w:rPr>
          <w:rFonts w:ascii="Arial" w:eastAsia="Calibri" w:hAnsi="Arial" w:cs="Arial"/>
        </w:rPr>
        <w:t>la Corte Interamericana de Derechos Humanos ha expresado que la consulta, para ser válida, debe garantizar una participación efectiva de quienes integran la comunidad o el colectivo</w:t>
      </w:r>
      <w:r w:rsidR="007F3E9F" w:rsidRPr="00F37FAD">
        <w:rPr>
          <w:rFonts w:eastAsia="Calibri"/>
          <w:vertAlign w:val="superscript"/>
        </w:rPr>
        <w:footnoteReference w:id="24"/>
      </w:r>
      <w:r w:rsidR="007F3E9F" w:rsidRPr="00F37FAD">
        <w:rPr>
          <w:rFonts w:ascii="Arial" w:eastAsia="Calibri" w:hAnsi="Arial" w:cs="Arial"/>
        </w:rPr>
        <w:t>.</w:t>
      </w:r>
    </w:p>
    <w:p w14:paraId="4565AA35" w14:textId="2FE7367F" w:rsidR="007F3E9F" w:rsidRPr="00F37FAD" w:rsidRDefault="00203BB2" w:rsidP="00A86098">
      <w:pPr>
        <w:spacing w:before="240" w:after="240" w:line="360" w:lineRule="auto"/>
        <w:jc w:val="both"/>
        <w:rPr>
          <w:rFonts w:ascii="Arial" w:eastAsia="Calibri" w:hAnsi="Arial" w:cs="Arial"/>
        </w:rPr>
      </w:pPr>
      <w:r>
        <w:rPr>
          <w:rFonts w:ascii="Arial" w:hAnsi="Arial" w:cs="Arial"/>
        </w:rPr>
        <w:t>Aunado a ello</w:t>
      </w:r>
      <w:r w:rsidR="00A86098" w:rsidRPr="00F37FAD">
        <w:rPr>
          <w:rFonts w:ascii="Arial" w:hAnsi="Arial" w:cs="Arial"/>
        </w:rPr>
        <w:t>, la</w:t>
      </w:r>
      <w:r w:rsidR="007F3E9F" w:rsidRPr="00F37FAD">
        <w:rPr>
          <w:rFonts w:ascii="Arial" w:eastAsia="Calibri" w:hAnsi="Arial" w:cs="Arial"/>
        </w:rPr>
        <w:t xml:space="preserve"> Sala Superior ha </w:t>
      </w:r>
      <w:r w:rsidR="00A15F21" w:rsidRPr="00F37FAD">
        <w:rPr>
          <w:rFonts w:ascii="Arial" w:eastAsia="Calibri" w:hAnsi="Arial" w:cs="Arial"/>
        </w:rPr>
        <w:t xml:space="preserve">sostenido </w:t>
      </w:r>
      <w:r w:rsidR="007F3E9F" w:rsidRPr="00F37FAD">
        <w:rPr>
          <w:rFonts w:ascii="Arial" w:eastAsia="Calibri" w:hAnsi="Arial" w:cs="Arial"/>
        </w:rPr>
        <w:t xml:space="preserve">el criterio relativo a que </w:t>
      </w:r>
      <w:r w:rsidR="007F3E9F" w:rsidRPr="00F37FAD">
        <w:rPr>
          <w:rFonts w:ascii="Arial" w:hAnsi="Arial" w:cs="Arial"/>
          <w:lang w:eastAsia="es-MX"/>
        </w:rPr>
        <w:t xml:space="preserve">las autoridades administrativas electorales de cualquier orden de gobierno, </w:t>
      </w:r>
      <w:bookmarkStart w:id="9" w:name="_Hlk50630729"/>
      <w:r w:rsidR="007F3E9F" w:rsidRPr="00F37FAD">
        <w:rPr>
          <w:rFonts w:ascii="Arial" w:hAnsi="Arial" w:cs="Arial"/>
          <w:lang w:eastAsia="es-MX"/>
        </w:rPr>
        <w:t>tienen el deber de consultar a la comunidad interesada, mediante mecanismos eficaces que garanticen su conocimiento y, por conducto de sus instituciones representativas, cada vez que pretendan emitir alguna medida susceptible de afectarles directamente</w:t>
      </w:r>
      <w:bookmarkEnd w:id="9"/>
      <w:r w:rsidR="007F3E9F" w:rsidRPr="00F37FAD">
        <w:rPr>
          <w:rFonts w:ascii="Arial" w:hAnsi="Arial" w:cs="Arial"/>
          <w:lang w:eastAsia="es-MX"/>
        </w:rPr>
        <w:t>, con el objetivo de garantizar la vigencia de sus derechos indígenas y el desarrollo integral de pueblos y comunidades</w:t>
      </w:r>
      <w:r w:rsidR="007F3E9F" w:rsidRPr="00F37FAD">
        <w:rPr>
          <w:vertAlign w:val="superscript"/>
        </w:rPr>
        <w:footnoteReference w:id="25"/>
      </w:r>
      <w:r w:rsidR="007F3E9F" w:rsidRPr="00F37FAD">
        <w:rPr>
          <w:rFonts w:ascii="Arial" w:hAnsi="Arial" w:cs="Arial"/>
          <w:lang w:eastAsia="es-MX"/>
        </w:rPr>
        <w:t>.</w:t>
      </w:r>
    </w:p>
    <w:p w14:paraId="310E6B28" w14:textId="34C85FB1" w:rsidR="00202550" w:rsidRPr="00F37FAD" w:rsidRDefault="00202550" w:rsidP="003D3621">
      <w:pPr>
        <w:tabs>
          <w:tab w:val="left" w:pos="1215"/>
        </w:tabs>
        <w:spacing w:before="240" w:after="240" w:line="360" w:lineRule="auto"/>
        <w:jc w:val="both"/>
        <w:rPr>
          <w:rFonts w:ascii="Arial" w:eastAsia="Calibri" w:hAnsi="Arial" w:cs="Arial"/>
          <w:b/>
        </w:rPr>
      </w:pPr>
      <w:r w:rsidRPr="00F37FAD">
        <w:rPr>
          <w:rFonts w:ascii="Arial" w:hAnsi="Arial" w:cs="Arial"/>
          <w:b/>
          <w:lang w:val="es-MX"/>
        </w:rPr>
        <w:t>3.</w:t>
      </w:r>
      <w:r w:rsidR="008208BD" w:rsidRPr="00F37FAD">
        <w:rPr>
          <w:rFonts w:ascii="Arial" w:hAnsi="Arial" w:cs="Arial"/>
          <w:b/>
          <w:lang w:val="es-MX"/>
        </w:rPr>
        <w:t>3</w:t>
      </w:r>
      <w:r w:rsidRPr="00F37FAD">
        <w:rPr>
          <w:rFonts w:ascii="Arial" w:hAnsi="Arial" w:cs="Arial"/>
          <w:b/>
          <w:lang w:val="es-MX"/>
        </w:rPr>
        <w:t xml:space="preserve"> </w:t>
      </w:r>
      <w:r w:rsidR="00514D04" w:rsidRPr="00F37FAD">
        <w:rPr>
          <w:rFonts w:ascii="Arial" w:hAnsi="Arial" w:cs="Arial"/>
          <w:b/>
          <w:lang w:val="es-MX"/>
        </w:rPr>
        <w:t xml:space="preserve">Es justificada </w:t>
      </w:r>
      <w:r w:rsidRPr="00F37FAD">
        <w:rPr>
          <w:rFonts w:ascii="Arial" w:eastAsia="Calibri" w:hAnsi="Arial" w:cs="Arial"/>
          <w:b/>
        </w:rPr>
        <w:t>la suspensión temporal del proceso consultivo a los pueblos y comunidades indígenas de Nayarit, respecto a la implementación de medidas afirmativas para el próximo proceso electoral</w:t>
      </w:r>
    </w:p>
    <w:p w14:paraId="6ABBBF1B" w14:textId="212B28BE" w:rsidR="003D3621" w:rsidRPr="00F37FAD" w:rsidRDefault="003D3621" w:rsidP="003D3621">
      <w:pPr>
        <w:spacing w:before="240" w:after="240" w:line="360" w:lineRule="auto"/>
        <w:jc w:val="both"/>
        <w:rPr>
          <w:rFonts w:ascii="Arial" w:hAnsi="Arial" w:cs="Arial"/>
        </w:rPr>
      </w:pPr>
      <w:r w:rsidRPr="00F37FAD">
        <w:rPr>
          <w:rFonts w:ascii="Arial" w:hAnsi="Arial" w:cs="Arial"/>
        </w:rPr>
        <w:t>En respuesta al COVID-19</w:t>
      </w:r>
      <w:r w:rsidR="0008605E" w:rsidRPr="00F37FAD">
        <w:rPr>
          <w:rFonts w:ascii="Arial" w:hAnsi="Arial" w:cs="Arial"/>
        </w:rPr>
        <w:t xml:space="preserve"> se ha reconocido que </w:t>
      </w:r>
      <w:r w:rsidRPr="00F37FAD">
        <w:rPr>
          <w:rFonts w:ascii="Arial" w:hAnsi="Arial" w:cs="Arial"/>
        </w:rPr>
        <w:t>los Estados pueden consultar y cooperar de buena fe con los pueblos indígenas, por conducto de sus instituciones representativas, para asegurar que se incluyan las opiniones y los derechos y necesidades específicas al adoptar y aplicar medidas legislativas, administrativos, normativas, presupuestarias o reglamentarias; sin embargo, la consulta en diversos ámbitos como el político-electora</w:t>
      </w:r>
      <w:r w:rsidR="00C94650" w:rsidRPr="00F37FAD">
        <w:rPr>
          <w:rFonts w:ascii="Arial" w:hAnsi="Arial" w:cs="Arial"/>
        </w:rPr>
        <w:t>l</w:t>
      </w:r>
      <w:r w:rsidRPr="00F37FAD">
        <w:rPr>
          <w:rFonts w:ascii="Arial" w:hAnsi="Arial" w:cs="Arial"/>
        </w:rPr>
        <w:t xml:space="preserve"> puede ajustarse a una temporalidad que no comprometa la salud de éstos. </w:t>
      </w:r>
    </w:p>
    <w:p w14:paraId="3F9F6A71" w14:textId="0783985F" w:rsidR="003D3621" w:rsidRPr="00F37FAD" w:rsidRDefault="0037797B" w:rsidP="003D3621">
      <w:pPr>
        <w:spacing w:before="240" w:after="240" w:line="360" w:lineRule="auto"/>
        <w:jc w:val="both"/>
        <w:rPr>
          <w:rFonts w:ascii="Arial" w:hAnsi="Arial" w:cs="Arial"/>
        </w:rPr>
      </w:pPr>
      <w:r w:rsidRPr="00F37FAD">
        <w:rPr>
          <w:rFonts w:ascii="Arial" w:hAnsi="Arial" w:cs="Arial"/>
        </w:rPr>
        <w:lastRenderedPageBreak/>
        <w:t>En el caso, d</w:t>
      </w:r>
      <w:r w:rsidR="003D3621" w:rsidRPr="00F37FAD">
        <w:rPr>
          <w:rFonts w:ascii="Arial" w:hAnsi="Arial" w:cs="Arial"/>
        </w:rPr>
        <w:t xml:space="preserve">ebe existir un consentimiento de las autoridades representativas de los pueblos y comunidades indígenas en Nayarit con la finalidad de reanudar los trabajos emprendidos, puesto que, la realización de la consulta necesariamente implica un acercamiento con los pueblos y comunidades indígenas, cuestión que los coloca en una situación de especial vulnerabilidad. </w:t>
      </w:r>
    </w:p>
    <w:p w14:paraId="61C33FA6" w14:textId="77777777" w:rsidR="003D3621" w:rsidRPr="00F37FAD" w:rsidRDefault="003D3621" w:rsidP="003D3621">
      <w:pPr>
        <w:spacing w:before="240" w:after="240" w:line="360" w:lineRule="auto"/>
        <w:jc w:val="both"/>
        <w:rPr>
          <w:rFonts w:ascii="Arial" w:hAnsi="Arial" w:cs="Arial"/>
        </w:rPr>
      </w:pPr>
      <w:r w:rsidRPr="00F37FAD">
        <w:rPr>
          <w:rFonts w:ascii="Arial" w:hAnsi="Arial" w:cs="Arial"/>
        </w:rPr>
        <w:t xml:space="preserve">Lo anterior, porque las autoridades representativas se encuentran vinculadas a replicar mediante sus propias asambleas la información que proporcione la autoridad administrativa local, es decir, se les impone él acercamiento con todas las personas indígenas de los pueblos y comunidades. </w:t>
      </w:r>
    </w:p>
    <w:p w14:paraId="09184BF9" w14:textId="15E8AE88" w:rsidR="001565B1" w:rsidRPr="00F37FAD" w:rsidRDefault="00A02105" w:rsidP="003D3621">
      <w:pPr>
        <w:autoSpaceDN w:val="0"/>
        <w:spacing w:before="240" w:after="240" w:line="360" w:lineRule="auto"/>
        <w:jc w:val="both"/>
        <w:textAlignment w:val="baseline"/>
        <w:rPr>
          <w:rFonts w:ascii="Arial" w:eastAsia="Calibri" w:hAnsi="Arial" w:cs="Arial"/>
          <w:bCs/>
        </w:rPr>
      </w:pPr>
      <w:r w:rsidRPr="00F37FAD">
        <w:rPr>
          <w:rFonts w:ascii="Arial" w:hAnsi="Arial" w:cs="Arial"/>
          <w:bCs/>
          <w:lang w:val="es-MX"/>
        </w:rPr>
        <w:t>De esta manera, l</w:t>
      </w:r>
      <w:r w:rsidR="00195720" w:rsidRPr="00F37FAD">
        <w:rPr>
          <w:rFonts w:ascii="Arial" w:hAnsi="Arial" w:cs="Arial"/>
          <w:bCs/>
          <w:lang w:val="es-MX"/>
        </w:rPr>
        <w:t xml:space="preserve">a Sala Superior </w:t>
      </w:r>
      <w:r w:rsidR="004F07C0" w:rsidRPr="00F37FAD">
        <w:rPr>
          <w:rFonts w:ascii="Arial" w:hAnsi="Arial" w:cs="Arial"/>
          <w:bCs/>
          <w:lang w:val="es-MX"/>
        </w:rPr>
        <w:t>teniendo en consideración las condiciones prevalecientes de salubridad en ese momento</w:t>
      </w:r>
      <w:r w:rsidR="003A0DD9" w:rsidRPr="00F37FAD">
        <w:rPr>
          <w:rFonts w:ascii="Arial" w:hAnsi="Arial" w:cs="Arial"/>
          <w:bCs/>
          <w:lang w:val="es-MX"/>
        </w:rPr>
        <w:t xml:space="preserve">, </w:t>
      </w:r>
      <w:r w:rsidR="00562CAF" w:rsidRPr="00F37FAD">
        <w:rPr>
          <w:rFonts w:ascii="Arial" w:hAnsi="Arial" w:cs="Arial"/>
          <w:bCs/>
          <w:lang w:val="es-MX"/>
        </w:rPr>
        <w:t xml:space="preserve">encuentra </w:t>
      </w:r>
      <w:r w:rsidR="001565B1" w:rsidRPr="00F37FAD">
        <w:rPr>
          <w:rFonts w:ascii="Arial" w:eastAsia="Calibri" w:hAnsi="Arial" w:cs="Arial"/>
          <w:bCs/>
        </w:rPr>
        <w:t xml:space="preserve">una justificación suficiente que se ajusta a Derecho y no implica un desconocimiento arbitrario de una obligación </w:t>
      </w:r>
      <w:r w:rsidR="0019508C" w:rsidRPr="00F37FAD">
        <w:rPr>
          <w:rFonts w:ascii="Arial" w:eastAsia="Calibri" w:hAnsi="Arial" w:cs="Arial"/>
          <w:bCs/>
        </w:rPr>
        <w:t>respecto al derecho a la consulta de los pueblos y comunidades indígenas en la entidad federativa de Nayarit</w:t>
      </w:r>
      <w:r w:rsidR="00BB475D" w:rsidRPr="00F37FAD">
        <w:rPr>
          <w:rFonts w:ascii="Arial" w:eastAsia="Calibri" w:hAnsi="Arial" w:cs="Arial"/>
          <w:bCs/>
        </w:rPr>
        <w:t>, para que la consulta se lleve a cabo en cuanto las condiciones del Estado cambien a semáforo amarillo</w:t>
      </w:r>
      <w:r w:rsidR="0019508C" w:rsidRPr="00F37FAD">
        <w:rPr>
          <w:rFonts w:ascii="Arial" w:eastAsia="Calibri" w:hAnsi="Arial" w:cs="Arial"/>
          <w:bCs/>
        </w:rPr>
        <w:t xml:space="preserve">. </w:t>
      </w:r>
    </w:p>
    <w:p w14:paraId="72539014" w14:textId="649D05E8" w:rsidR="001565B1" w:rsidRPr="00F37FAD" w:rsidRDefault="001565B1" w:rsidP="0019508C">
      <w:pPr>
        <w:autoSpaceDN w:val="0"/>
        <w:spacing w:before="240" w:after="240" w:line="360" w:lineRule="auto"/>
        <w:jc w:val="both"/>
        <w:textAlignment w:val="baseline"/>
        <w:rPr>
          <w:rFonts w:ascii="Arial" w:eastAsia="Calibri" w:hAnsi="Arial" w:cs="Arial"/>
          <w:bCs/>
        </w:rPr>
      </w:pPr>
      <w:r w:rsidRPr="00F37FAD">
        <w:rPr>
          <w:rFonts w:ascii="Arial" w:eastAsia="Calibri" w:hAnsi="Arial" w:cs="Arial"/>
          <w:bCs/>
        </w:rPr>
        <w:t xml:space="preserve">Aceptar el criterio de </w:t>
      </w:r>
      <w:r w:rsidR="0019508C" w:rsidRPr="00F37FAD">
        <w:rPr>
          <w:rFonts w:ascii="Arial" w:eastAsia="Calibri" w:hAnsi="Arial" w:cs="Arial"/>
          <w:bCs/>
        </w:rPr>
        <w:t xml:space="preserve">la parte recurrente </w:t>
      </w:r>
      <w:r w:rsidRPr="00F37FAD">
        <w:rPr>
          <w:rFonts w:ascii="Arial" w:eastAsia="Calibri" w:hAnsi="Arial" w:cs="Arial"/>
          <w:bCs/>
        </w:rPr>
        <w:t xml:space="preserve">implicaría que se permitiera </w:t>
      </w:r>
      <w:r w:rsidR="00340972" w:rsidRPr="00F37FAD">
        <w:rPr>
          <w:rFonts w:ascii="Arial" w:eastAsia="Calibri" w:hAnsi="Arial" w:cs="Arial"/>
          <w:bCs/>
        </w:rPr>
        <w:t>su realización</w:t>
      </w:r>
      <w:r w:rsidRPr="00F37FAD">
        <w:rPr>
          <w:rFonts w:ascii="Arial" w:eastAsia="Calibri" w:hAnsi="Arial" w:cs="Arial"/>
          <w:bCs/>
        </w:rPr>
        <w:t xml:space="preserve">, sin que se garantizara, mediante la consulta previa e informada, la participación real y efectiva de los pueblos y </w:t>
      </w:r>
      <w:r w:rsidR="00340972" w:rsidRPr="00F37FAD">
        <w:rPr>
          <w:rFonts w:ascii="Arial" w:eastAsia="Calibri" w:hAnsi="Arial" w:cs="Arial"/>
          <w:bCs/>
        </w:rPr>
        <w:t xml:space="preserve">comunidades </w:t>
      </w:r>
      <w:r w:rsidRPr="00F37FAD">
        <w:rPr>
          <w:rFonts w:ascii="Arial" w:eastAsia="Calibri" w:hAnsi="Arial" w:cs="Arial"/>
          <w:bCs/>
        </w:rPr>
        <w:t xml:space="preserve">indígenas, como sujetos colectivos de derecho público, respecto de una decisión que impactará en el derecho a votar y ser votados de sus integrantes. </w:t>
      </w:r>
    </w:p>
    <w:p w14:paraId="32D755CF" w14:textId="79737D0B" w:rsidR="001565B1" w:rsidRPr="00F37FAD" w:rsidRDefault="00340972" w:rsidP="00340972">
      <w:pPr>
        <w:autoSpaceDN w:val="0"/>
        <w:spacing w:before="240" w:after="240" w:line="360" w:lineRule="auto"/>
        <w:jc w:val="both"/>
        <w:textAlignment w:val="baseline"/>
        <w:rPr>
          <w:rFonts w:ascii="Arial" w:eastAsia="Calibri" w:hAnsi="Arial" w:cs="Arial"/>
          <w:bCs/>
        </w:rPr>
      </w:pPr>
      <w:r w:rsidRPr="00F37FAD">
        <w:rPr>
          <w:rFonts w:ascii="Arial" w:eastAsia="Calibri" w:hAnsi="Arial" w:cs="Arial"/>
          <w:bCs/>
        </w:rPr>
        <w:t>Además, s</w:t>
      </w:r>
      <w:r w:rsidR="001565B1" w:rsidRPr="00F37FAD">
        <w:rPr>
          <w:rFonts w:ascii="Arial" w:eastAsia="Calibri" w:hAnsi="Arial" w:cs="Arial"/>
          <w:bCs/>
        </w:rPr>
        <w:t xml:space="preserve">e correría el riesgo de que las consultas a estas comunidades se pudieran convertir en una simulación para cumplir con tal requisito, ante la escasa o nula participación que podría </w:t>
      </w:r>
      <w:r w:rsidR="00BB475D" w:rsidRPr="00F37FAD">
        <w:rPr>
          <w:rFonts w:ascii="Arial" w:eastAsia="Calibri" w:hAnsi="Arial" w:cs="Arial"/>
          <w:bCs/>
        </w:rPr>
        <w:t>tenerse</w:t>
      </w:r>
      <w:r w:rsidR="001565B1" w:rsidRPr="00F37FAD">
        <w:rPr>
          <w:rFonts w:ascii="Arial" w:eastAsia="Calibri" w:hAnsi="Arial" w:cs="Arial"/>
          <w:bCs/>
        </w:rPr>
        <w:t>, lo que a todas luces es contrario a la obligación del Estado de actuar con una perspectiva intercultural y otorgar una especial protección a estos grupos que se encuentran en condiciones de vulnerabilidad.</w:t>
      </w:r>
    </w:p>
    <w:p w14:paraId="4CEDF12D" w14:textId="5CFFE81C" w:rsidR="001565B1" w:rsidRPr="00F37FAD" w:rsidRDefault="00CC49F9" w:rsidP="00CC49F9">
      <w:pPr>
        <w:autoSpaceDN w:val="0"/>
        <w:spacing w:before="240" w:after="240" w:line="360" w:lineRule="auto"/>
        <w:jc w:val="both"/>
        <w:textAlignment w:val="baseline"/>
        <w:rPr>
          <w:rFonts w:ascii="Arial" w:eastAsia="Calibri" w:hAnsi="Arial" w:cs="Arial"/>
          <w:bCs/>
        </w:rPr>
      </w:pPr>
      <w:r w:rsidRPr="00F37FAD">
        <w:rPr>
          <w:rFonts w:ascii="Arial" w:eastAsia="Calibri" w:hAnsi="Arial" w:cs="Arial"/>
          <w:bCs/>
        </w:rPr>
        <w:t xml:space="preserve">Permitir, </w:t>
      </w:r>
      <w:r w:rsidR="001565B1" w:rsidRPr="00F37FAD">
        <w:rPr>
          <w:rFonts w:ascii="Arial" w:eastAsia="Calibri" w:hAnsi="Arial" w:cs="Arial"/>
          <w:bCs/>
        </w:rPr>
        <w:t>en este momento</w:t>
      </w:r>
      <w:r w:rsidRPr="00F37FAD">
        <w:rPr>
          <w:rFonts w:ascii="Arial" w:eastAsia="Calibri" w:hAnsi="Arial" w:cs="Arial"/>
          <w:bCs/>
        </w:rPr>
        <w:t>,</w:t>
      </w:r>
      <w:r w:rsidR="001565B1" w:rsidRPr="00F37FAD">
        <w:rPr>
          <w:rFonts w:ascii="Arial" w:eastAsia="Calibri" w:hAnsi="Arial" w:cs="Arial"/>
          <w:bCs/>
        </w:rPr>
        <w:t xml:space="preserve"> que las consultas se hagan de manera presencial según las prácticas tradicionales de estos colectivos, podría poner seriamente en riesgo su salud e integridad</w:t>
      </w:r>
      <w:r w:rsidR="00346FD1" w:rsidRPr="00F37FAD">
        <w:rPr>
          <w:rFonts w:ascii="Arial" w:eastAsia="Calibri" w:hAnsi="Arial" w:cs="Arial"/>
          <w:bCs/>
        </w:rPr>
        <w:t>.</w:t>
      </w:r>
    </w:p>
    <w:p w14:paraId="46187A1F" w14:textId="125A1F45" w:rsidR="00F87F6F" w:rsidRPr="00F37FAD" w:rsidRDefault="001565B1" w:rsidP="00312C13">
      <w:pPr>
        <w:autoSpaceDN w:val="0"/>
        <w:spacing w:before="240" w:after="240" w:line="360" w:lineRule="auto"/>
        <w:jc w:val="both"/>
        <w:textAlignment w:val="baseline"/>
        <w:rPr>
          <w:rFonts w:ascii="Arial" w:hAnsi="Arial" w:cs="Arial"/>
          <w:bCs/>
        </w:rPr>
      </w:pPr>
      <w:r w:rsidRPr="00F37FAD">
        <w:rPr>
          <w:rFonts w:ascii="Arial" w:eastAsia="Calibri" w:hAnsi="Arial" w:cs="Arial"/>
          <w:bCs/>
        </w:rPr>
        <w:lastRenderedPageBreak/>
        <w:t xml:space="preserve">Así, ante los riesgos que supone realizar estas asambleas </w:t>
      </w:r>
      <w:r w:rsidR="004B765F" w:rsidRPr="00F37FAD">
        <w:rPr>
          <w:rFonts w:ascii="Arial" w:eastAsia="Calibri" w:hAnsi="Arial" w:cs="Arial"/>
          <w:bCs/>
        </w:rPr>
        <w:t>consultivas</w:t>
      </w:r>
      <w:r w:rsidRPr="00F37FAD">
        <w:rPr>
          <w:rFonts w:ascii="Arial" w:eastAsia="Calibri" w:hAnsi="Arial" w:cs="Arial"/>
          <w:bCs/>
        </w:rPr>
        <w:t xml:space="preserve">, </w:t>
      </w:r>
      <w:r w:rsidR="00BB475D" w:rsidRPr="00F37FAD">
        <w:rPr>
          <w:rFonts w:ascii="Arial" w:eastAsia="Calibri" w:hAnsi="Arial" w:cs="Arial"/>
          <w:bCs/>
        </w:rPr>
        <w:t>tal como lo determin</w:t>
      </w:r>
      <w:r w:rsidR="00BE23EE">
        <w:rPr>
          <w:rFonts w:ascii="Arial" w:eastAsia="Calibri" w:hAnsi="Arial" w:cs="Arial"/>
          <w:bCs/>
        </w:rPr>
        <w:t>ó</w:t>
      </w:r>
      <w:r w:rsidR="00BB475D" w:rsidRPr="00F37FAD">
        <w:rPr>
          <w:rFonts w:ascii="Arial" w:eastAsia="Calibri" w:hAnsi="Arial" w:cs="Arial"/>
          <w:bCs/>
        </w:rPr>
        <w:t xml:space="preserve"> la responsable</w:t>
      </w:r>
      <w:r w:rsidR="00BE7392">
        <w:rPr>
          <w:rFonts w:ascii="Arial" w:eastAsia="Calibri" w:hAnsi="Arial" w:cs="Arial"/>
          <w:bCs/>
        </w:rPr>
        <w:t>,</w:t>
      </w:r>
      <w:r w:rsidR="00BB475D" w:rsidRPr="00F37FAD">
        <w:rPr>
          <w:rFonts w:ascii="Arial" w:eastAsia="Calibri" w:hAnsi="Arial" w:cs="Arial"/>
          <w:bCs/>
        </w:rPr>
        <w:t xml:space="preserve"> </w:t>
      </w:r>
      <w:r w:rsidRPr="00F37FAD">
        <w:rPr>
          <w:rFonts w:ascii="Arial" w:eastAsia="Calibri" w:hAnsi="Arial" w:cs="Arial"/>
          <w:bCs/>
        </w:rPr>
        <w:t>no resulta pertinente que la autoridad electoral administrativa continúe con la realización de las consultas y, consecuentemente, con los trabajos</w:t>
      </w:r>
      <w:r w:rsidR="00F87F6F" w:rsidRPr="00F37FAD">
        <w:rPr>
          <w:rFonts w:ascii="Arial" w:eastAsia="Calibri" w:hAnsi="Arial" w:cs="Arial"/>
          <w:bCs/>
        </w:rPr>
        <w:t xml:space="preserve"> emprendido</w:t>
      </w:r>
      <w:r w:rsidR="00BB475D" w:rsidRPr="00F37FAD">
        <w:rPr>
          <w:rFonts w:ascii="Arial" w:eastAsia="Calibri" w:hAnsi="Arial" w:cs="Arial"/>
          <w:bCs/>
        </w:rPr>
        <w:t>s</w:t>
      </w:r>
      <w:r w:rsidR="00F87F6F" w:rsidRPr="00F37FAD">
        <w:rPr>
          <w:rFonts w:ascii="Arial" w:eastAsia="Calibri" w:hAnsi="Arial" w:cs="Arial"/>
          <w:bCs/>
        </w:rPr>
        <w:t xml:space="preserve"> para dictar acciones afirmativas </w:t>
      </w:r>
      <w:r w:rsidR="00F87F6F" w:rsidRPr="00F37FAD">
        <w:rPr>
          <w:rFonts w:ascii="Arial" w:hAnsi="Arial" w:cs="Arial"/>
          <w:bCs/>
        </w:rPr>
        <w:t>en favor de los integrantes de las comunidades y pueblos indígenas de Nayarit para el proceso electoral 2021</w:t>
      </w:r>
      <w:r w:rsidR="00BB475D" w:rsidRPr="00F37FAD">
        <w:rPr>
          <w:rFonts w:ascii="Arial" w:hAnsi="Arial" w:cs="Arial"/>
          <w:bCs/>
        </w:rPr>
        <w:t xml:space="preserve">, hasta en tanto las condiciones de salud no mejoren en el </w:t>
      </w:r>
      <w:r w:rsidR="00BE7392">
        <w:rPr>
          <w:rFonts w:ascii="Arial" w:hAnsi="Arial" w:cs="Arial"/>
          <w:bCs/>
        </w:rPr>
        <w:t>E</w:t>
      </w:r>
      <w:r w:rsidR="00BB475D" w:rsidRPr="00F37FAD">
        <w:rPr>
          <w:rFonts w:ascii="Arial" w:hAnsi="Arial" w:cs="Arial"/>
          <w:bCs/>
        </w:rPr>
        <w:t>stado</w:t>
      </w:r>
      <w:r w:rsidR="00693019" w:rsidRPr="00F37FAD">
        <w:rPr>
          <w:rStyle w:val="Refdenotaalpie"/>
          <w:rFonts w:ascii="Arial" w:hAnsi="Arial"/>
          <w:bCs/>
        </w:rPr>
        <w:footnoteReference w:id="26"/>
      </w:r>
      <w:r w:rsidR="00F87F6F" w:rsidRPr="00F37FAD">
        <w:rPr>
          <w:rFonts w:ascii="Arial" w:hAnsi="Arial" w:cs="Arial"/>
          <w:bCs/>
        </w:rPr>
        <w:t>.</w:t>
      </w:r>
    </w:p>
    <w:p w14:paraId="2E52F5A3" w14:textId="04E0BF9F" w:rsidR="003751C9" w:rsidRDefault="001565B1" w:rsidP="002E6E1A">
      <w:pPr>
        <w:autoSpaceDN w:val="0"/>
        <w:spacing w:before="240" w:after="240" w:line="360" w:lineRule="auto"/>
        <w:jc w:val="both"/>
        <w:textAlignment w:val="baseline"/>
        <w:rPr>
          <w:rFonts w:ascii="Arial" w:eastAsia="Calibri" w:hAnsi="Arial" w:cs="Arial"/>
          <w:bCs/>
        </w:rPr>
      </w:pPr>
      <w:r w:rsidRPr="00F37FAD">
        <w:rPr>
          <w:rFonts w:ascii="Arial" w:eastAsia="Calibri" w:hAnsi="Arial" w:cs="Arial"/>
          <w:bCs/>
        </w:rPr>
        <w:t>De ahí que</w:t>
      </w:r>
      <w:r w:rsidR="00086B89" w:rsidRPr="00F37FAD">
        <w:rPr>
          <w:rFonts w:ascii="Arial" w:eastAsia="Calibri" w:hAnsi="Arial" w:cs="Arial"/>
          <w:bCs/>
        </w:rPr>
        <w:t>,</w:t>
      </w:r>
      <w:r w:rsidRPr="00F37FAD">
        <w:rPr>
          <w:rFonts w:ascii="Arial" w:eastAsia="Calibri" w:hAnsi="Arial" w:cs="Arial"/>
          <w:bCs/>
        </w:rPr>
        <w:t xml:space="preserve"> se encuentra justificado que </w:t>
      </w:r>
      <w:r w:rsidR="0059088A" w:rsidRPr="00F37FAD">
        <w:rPr>
          <w:rFonts w:ascii="Arial" w:eastAsia="Calibri" w:hAnsi="Arial" w:cs="Arial"/>
          <w:bCs/>
          <w:lang w:val="es-MX"/>
        </w:rPr>
        <w:t>las consultas y los trabajos correspondientes se reanudarán una vez que existan las condiciones de salud que lo permitan</w:t>
      </w:r>
      <w:r w:rsidR="00EB52A1" w:rsidRPr="00F37FAD">
        <w:rPr>
          <w:rFonts w:ascii="Arial" w:eastAsia="Calibri" w:hAnsi="Arial" w:cs="Arial"/>
          <w:bCs/>
          <w:lang w:val="es-MX"/>
        </w:rPr>
        <w:t>, tal como lo sostiene la Sala responsable</w:t>
      </w:r>
      <w:r w:rsidR="005158C3" w:rsidRPr="00F37FAD">
        <w:rPr>
          <w:rStyle w:val="Refdenotaalpie"/>
          <w:rFonts w:ascii="Arial" w:eastAsia="Calibri" w:hAnsi="Arial"/>
          <w:bCs/>
        </w:rPr>
        <w:footnoteReference w:id="27"/>
      </w:r>
      <w:r w:rsidR="00BB475D" w:rsidRPr="00F37FAD">
        <w:rPr>
          <w:rFonts w:ascii="Arial" w:eastAsia="Calibri" w:hAnsi="Arial" w:cs="Arial"/>
          <w:bCs/>
          <w:lang w:val="es-MX"/>
        </w:rPr>
        <w:t xml:space="preserve">, </w:t>
      </w:r>
      <w:r w:rsidR="00BB475D" w:rsidRPr="00F37FAD">
        <w:rPr>
          <w:rFonts w:ascii="Arial" w:hAnsi="Arial" w:cs="Arial"/>
          <w:bCs/>
        </w:rPr>
        <w:t>máxime que, el proceso electoral en la entidad federativa comenzará el próximo siete de enero</w:t>
      </w:r>
      <w:r w:rsidR="00BB475D" w:rsidRPr="00F37FAD">
        <w:rPr>
          <w:rStyle w:val="Refdenotaalpie"/>
          <w:rFonts w:ascii="Arial" w:hAnsi="Arial"/>
          <w:bCs/>
        </w:rPr>
        <w:footnoteReference w:id="28"/>
      </w:r>
      <w:r w:rsidR="002E6E1A">
        <w:rPr>
          <w:rFonts w:ascii="Arial" w:hAnsi="Arial" w:cs="Arial"/>
          <w:bCs/>
        </w:rPr>
        <w:t xml:space="preserve">, aunado a que, </w:t>
      </w:r>
      <w:r w:rsidR="002E6E1A">
        <w:rPr>
          <w:rFonts w:ascii="Arial" w:eastAsia="Calibri" w:hAnsi="Arial" w:cs="Arial"/>
          <w:bCs/>
        </w:rPr>
        <w:t xml:space="preserve">el </w:t>
      </w:r>
      <w:r w:rsidR="006041CF" w:rsidRPr="00F37FAD">
        <w:rPr>
          <w:rFonts w:ascii="Arial" w:eastAsia="Calibri" w:hAnsi="Arial" w:cs="Arial"/>
          <w:bCs/>
        </w:rPr>
        <w:t>inicio de las precampañas electorales</w:t>
      </w:r>
      <w:r w:rsidR="002E6E1A">
        <w:rPr>
          <w:rFonts w:ascii="Arial" w:eastAsia="Calibri" w:hAnsi="Arial" w:cs="Arial"/>
          <w:bCs/>
        </w:rPr>
        <w:t xml:space="preserve"> se encuentra estipulado </w:t>
      </w:r>
      <w:r w:rsidR="003751C9" w:rsidRPr="00F37FAD">
        <w:rPr>
          <w:rFonts w:ascii="Arial" w:eastAsia="Calibri" w:hAnsi="Arial" w:cs="Arial"/>
          <w:bCs/>
        </w:rPr>
        <w:t>para las diputaciones y ayuntamientos</w:t>
      </w:r>
      <w:r w:rsidR="00187E1A" w:rsidRPr="00F37FAD">
        <w:rPr>
          <w:rFonts w:ascii="Arial" w:eastAsia="Calibri" w:hAnsi="Arial" w:cs="Arial"/>
          <w:bCs/>
        </w:rPr>
        <w:t xml:space="preserve">, </w:t>
      </w:r>
      <w:r w:rsidR="000124BA" w:rsidRPr="00F37FAD">
        <w:rPr>
          <w:rFonts w:ascii="Arial" w:eastAsia="Calibri" w:hAnsi="Arial" w:cs="Arial"/>
          <w:bCs/>
        </w:rPr>
        <w:t>d</w:t>
      </w:r>
      <w:r w:rsidR="003751C9" w:rsidRPr="00F37FAD">
        <w:rPr>
          <w:rFonts w:ascii="Arial" w:eastAsia="Calibri" w:hAnsi="Arial" w:cs="Arial"/>
          <w:bCs/>
        </w:rPr>
        <w:t xml:space="preserve">entro de los </w:t>
      </w:r>
      <w:r w:rsidR="000124BA" w:rsidRPr="00F37FAD">
        <w:rPr>
          <w:rFonts w:ascii="Arial" w:eastAsia="Calibri" w:hAnsi="Arial" w:cs="Arial"/>
          <w:bCs/>
        </w:rPr>
        <w:t xml:space="preserve">sesenta y nueve </w:t>
      </w:r>
      <w:r w:rsidR="003751C9" w:rsidRPr="00F37FAD">
        <w:rPr>
          <w:rFonts w:ascii="Arial" w:eastAsia="Calibri" w:hAnsi="Arial" w:cs="Arial"/>
          <w:bCs/>
        </w:rPr>
        <w:t xml:space="preserve">y hasta </w:t>
      </w:r>
      <w:r w:rsidR="000124BA" w:rsidRPr="00F37FAD">
        <w:rPr>
          <w:rFonts w:ascii="Arial" w:eastAsia="Calibri" w:hAnsi="Arial" w:cs="Arial"/>
          <w:bCs/>
        </w:rPr>
        <w:t xml:space="preserve">cincuenta </w:t>
      </w:r>
      <w:r w:rsidR="003751C9" w:rsidRPr="00F37FAD">
        <w:rPr>
          <w:rFonts w:ascii="Arial" w:eastAsia="Calibri" w:hAnsi="Arial" w:cs="Arial"/>
          <w:bCs/>
        </w:rPr>
        <w:t>días inclusive, antes de la jornada electoral</w:t>
      </w:r>
      <w:r w:rsidR="003F0A10" w:rsidRPr="00F37FAD">
        <w:rPr>
          <w:rStyle w:val="Refdenotaalpie"/>
          <w:rFonts w:ascii="Arial" w:eastAsia="Calibri" w:hAnsi="Arial"/>
          <w:bCs/>
        </w:rPr>
        <w:footnoteReference w:id="29"/>
      </w:r>
      <w:r w:rsidR="002E6E1A">
        <w:rPr>
          <w:rFonts w:ascii="Arial" w:eastAsia="Calibri" w:hAnsi="Arial" w:cs="Arial"/>
          <w:bCs/>
        </w:rPr>
        <w:t>.</w:t>
      </w:r>
      <w:r w:rsidR="00B00138">
        <w:rPr>
          <w:rFonts w:ascii="Arial" w:eastAsia="Calibri" w:hAnsi="Arial" w:cs="Arial"/>
          <w:bCs/>
        </w:rPr>
        <w:t xml:space="preserve"> </w:t>
      </w:r>
    </w:p>
    <w:p w14:paraId="6961E801" w14:textId="4F20C8E9" w:rsidR="002E6E1A" w:rsidRPr="00DB0511" w:rsidRDefault="00521882" w:rsidP="002E6E1A">
      <w:pPr>
        <w:autoSpaceDN w:val="0"/>
        <w:spacing w:before="240" w:after="240" w:line="360" w:lineRule="auto"/>
        <w:jc w:val="both"/>
        <w:textAlignment w:val="baseline"/>
        <w:rPr>
          <w:rFonts w:ascii="Arial" w:eastAsia="Calibri" w:hAnsi="Arial" w:cs="Arial"/>
          <w:bCs/>
          <w:lang w:val="es-MX"/>
        </w:rPr>
      </w:pPr>
      <w:r>
        <w:rPr>
          <w:rFonts w:ascii="Arial" w:eastAsia="Calibri" w:hAnsi="Arial" w:cs="Arial"/>
          <w:bCs/>
        </w:rPr>
        <w:t xml:space="preserve">En consecuencia, </w:t>
      </w:r>
      <w:r w:rsidR="002E6E1A" w:rsidRPr="00D02B56">
        <w:rPr>
          <w:rFonts w:ascii="Arial" w:eastAsia="Calibri" w:hAnsi="Arial" w:cs="Arial"/>
          <w:bCs/>
        </w:rPr>
        <w:t xml:space="preserve">se encuentra justificado que </w:t>
      </w:r>
      <w:r w:rsidR="002E6E1A" w:rsidRPr="00D02B56">
        <w:rPr>
          <w:rFonts w:ascii="Arial" w:eastAsia="Calibri" w:hAnsi="Arial" w:cs="Arial"/>
          <w:bCs/>
          <w:lang w:val="es-MX"/>
        </w:rPr>
        <w:t xml:space="preserve">las consultas y los trabajos correspondientes se reanudarán una vez que </w:t>
      </w:r>
      <w:r w:rsidR="002E6E1A" w:rsidRPr="00B236F6">
        <w:rPr>
          <w:rFonts w:ascii="Arial" w:eastAsia="Calibri" w:hAnsi="Arial" w:cs="Arial"/>
          <w:bCs/>
          <w:lang w:val="es-MX"/>
        </w:rPr>
        <w:t xml:space="preserve">existan las condiciones de </w:t>
      </w:r>
      <w:r w:rsidR="002E6E1A" w:rsidRPr="00DB0511">
        <w:rPr>
          <w:rFonts w:ascii="Arial" w:eastAsia="Calibri" w:hAnsi="Arial" w:cs="Arial"/>
          <w:bCs/>
          <w:lang w:val="es-MX"/>
        </w:rPr>
        <w:t>salud que lo permitan, tal como lo sostiene la Sala responsable.</w:t>
      </w:r>
    </w:p>
    <w:p w14:paraId="1BF3A0D6" w14:textId="6BBCA864" w:rsidR="009B663E" w:rsidRPr="00DB0511" w:rsidRDefault="007E63E7" w:rsidP="009B663E">
      <w:pPr>
        <w:autoSpaceDN w:val="0"/>
        <w:spacing w:before="240" w:after="240" w:line="360" w:lineRule="auto"/>
        <w:jc w:val="both"/>
        <w:textAlignment w:val="baseline"/>
        <w:rPr>
          <w:rFonts w:ascii="Arial" w:eastAsia="Calibri" w:hAnsi="Arial" w:cs="Arial"/>
          <w:bCs/>
        </w:rPr>
      </w:pPr>
      <w:r w:rsidRPr="00DB0511">
        <w:rPr>
          <w:rFonts w:ascii="Arial" w:eastAsia="Calibri" w:hAnsi="Arial" w:cs="Arial"/>
          <w:bCs/>
        </w:rPr>
        <w:t xml:space="preserve">Así, </w:t>
      </w:r>
      <w:r w:rsidR="009B663E" w:rsidRPr="00DB0511">
        <w:rPr>
          <w:rFonts w:ascii="Arial" w:eastAsia="Calibri" w:hAnsi="Arial" w:cs="Arial"/>
          <w:bCs/>
        </w:rPr>
        <w:t xml:space="preserve">una vez que las condiciones sanitarias lo permitan, a la mayor brevedad el Instituto local debe concluir con las asambleas consultivas pendientes e implementar las medidas conducentes. </w:t>
      </w:r>
    </w:p>
    <w:p w14:paraId="6C6DE571" w14:textId="4625A935" w:rsidR="009B663E" w:rsidRPr="00DB0511" w:rsidRDefault="009B663E" w:rsidP="009B663E">
      <w:pPr>
        <w:autoSpaceDN w:val="0"/>
        <w:spacing w:before="240" w:after="240" w:line="360" w:lineRule="auto"/>
        <w:jc w:val="both"/>
        <w:textAlignment w:val="baseline"/>
        <w:rPr>
          <w:rFonts w:ascii="Arial" w:eastAsia="Calibri" w:hAnsi="Arial" w:cs="Arial"/>
          <w:bCs/>
        </w:rPr>
      </w:pPr>
      <w:r w:rsidRPr="00DB0511">
        <w:rPr>
          <w:rFonts w:ascii="Arial" w:eastAsia="Calibri" w:hAnsi="Arial" w:cs="Arial"/>
          <w:bCs/>
        </w:rPr>
        <w:t xml:space="preserve">Lo anterior, de manera previa al inicio de las precampañas electorales estipuladas para las diputaciones y ayuntamientos, las cuales, dan inicio dentro de los sesenta y nueve y hasta cincuenta días inclusive, antes de la </w:t>
      </w:r>
      <w:r w:rsidRPr="00DB0511">
        <w:rPr>
          <w:rFonts w:ascii="Arial" w:eastAsia="Calibri" w:hAnsi="Arial" w:cs="Arial"/>
          <w:bCs/>
        </w:rPr>
        <w:lastRenderedPageBreak/>
        <w:t>jornada electoral</w:t>
      </w:r>
      <w:r w:rsidRPr="00DB0511">
        <w:rPr>
          <w:rStyle w:val="Refdenotaalpie"/>
          <w:rFonts w:ascii="Arial" w:eastAsia="Calibri" w:hAnsi="Arial"/>
          <w:bCs/>
        </w:rPr>
        <w:footnoteReference w:id="30"/>
      </w:r>
      <w:r w:rsidRPr="00DB0511">
        <w:rPr>
          <w:rFonts w:ascii="Arial" w:eastAsia="Calibri" w:hAnsi="Arial" w:cs="Arial"/>
          <w:bCs/>
        </w:rPr>
        <w:t xml:space="preserve">, ello con la finalidad de que se garantice la implementación de acciones afirmativas a favor de indígenas, con el objeto de que se </w:t>
      </w:r>
      <w:r w:rsidR="00D502F4" w:rsidRPr="00DB0511">
        <w:rPr>
          <w:rFonts w:ascii="Arial" w:eastAsia="Calibri" w:hAnsi="Arial" w:cs="Arial"/>
          <w:bCs/>
        </w:rPr>
        <w:t xml:space="preserve">tutele </w:t>
      </w:r>
      <w:r w:rsidRPr="00DB0511">
        <w:rPr>
          <w:rFonts w:ascii="Arial" w:eastAsia="Calibri" w:hAnsi="Arial" w:cs="Arial"/>
          <w:bCs/>
        </w:rPr>
        <w:t xml:space="preserve">su debida participación en el próximo proceso electoral, en aras de que exista una posibilidad real de lograr una representación en los cargos a renovarse. </w:t>
      </w:r>
    </w:p>
    <w:p w14:paraId="6C0E61C0" w14:textId="77777777" w:rsidR="002E6E1A" w:rsidRPr="00B236F6" w:rsidRDefault="002E6E1A" w:rsidP="002E6E1A">
      <w:pPr>
        <w:spacing w:before="240" w:after="240" w:line="360" w:lineRule="auto"/>
        <w:jc w:val="both"/>
        <w:rPr>
          <w:rFonts w:ascii="Arial" w:eastAsia="Calibri" w:hAnsi="Arial" w:cs="Arial"/>
          <w:bCs/>
          <w:lang w:val="es-MX" w:eastAsia="es-MX"/>
        </w:rPr>
      </w:pPr>
      <w:r w:rsidRPr="00DB0511">
        <w:rPr>
          <w:rFonts w:ascii="Arial" w:hAnsi="Arial" w:cs="Arial"/>
          <w:bCs/>
          <w:lang w:val="es-MX"/>
        </w:rPr>
        <w:t xml:space="preserve">Por lo expuesto y fundado, </w:t>
      </w:r>
      <w:r w:rsidRPr="00DB0511">
        <w:rPr>
          <w:rFonts w:ascii="Arial" w:eastAsia="Calibri" w:hAnsi="Arial" w:cs="Arial"/>
          <w:bCs/>
          <w:lang w:val="es-MX" w:eastAsia="es-MX"/>
        </w:rPr>
        <w:t>la Sala Superior aprueba</w:t>
      </w:r>
      <w:r w:rsidRPr="00B236F6">
        <w:rPr>
          <w:rFonts w:ascii="Arial" w:eastAsia="Calibri" w:hAnsi="Arial" w:cs="Arial"/>
          <w:bCs/>
          <w:lang w:val="es-MX" w:eastAsia="es-MX"/>
        </w:rPr>
        <w:t xml:space="preserve"> el siguiente</w:t>
      </w:r>
    </w:p>
    <w:p w14:paraId="7EC8F875" w14:textId="77777777" w:rsidR="002E6E1A" w:rsidRPr="005158C3" w:rsidRDefault="002E6E1A" w:rsidP="002E6E1A">
      <w:pPr>
        <w:tabs>
          <w:tab w:val="left" w:pos="1215"/>
        </w:tabs>
        <w:spacing w:before="240" w:after="240" w:line="360" w:lineRule="auto"/>
        <w:jc w:val="center"/>
        <w:rPr>
          <w:rFonts w:ascii="Arial" w:hAnsi="Arial" w:cs="Arial"/>
          <w:b/>
        </w:rPr>
      </w:pPr>
      <w:r w:rsidRPr="005158C3">
        <w:rPr>
          <w:rFonts w:ascii="Arial" w:hAnsi="Arial" w:cs="Arial"/>
          <w:b/>
        </w:rPr>
        <w:t>RESOLUTIVO</w:t>
      </w:r>
    </w:p>
    <w:p w14:paraId="7EF0AE7D" w14:textId="77777777" w:rsidR="002E6E1A" w:rsidRPr="00AA72AC" w:rsidRDefault="002E6E1A" w:rsidP="002E6E1A">
      <w:pPr>
        <w:tabs>
          <w:tab w:val="left" w:pos="1215"/>
        </w:tabs>
        <w:spacing w:before="240" w:after="240" w:line="360" w:lineRule="auto"/>
        <w:jc w:val="both"/>
        <w:rPr>
          <w:rFonts w:ascii="Arial" w:hAnsi="Arial" w:cs="Arial"/>
          <w:bCs/>
        </w:rPr>
      </w:pPr>
      <w:r w:rsidRPr="005158C3">
        <w:rPr>
          <w:rFonts w:ascii="Arial" w:hAnsi="Arial" w:cs="Arial"/>
          <w:b/>
        </w:rPr>
        <w:t>ÚNICO.</w:t>
      </w:r>
      <w:r w:rsidRPr="00B236F6">
        <w:rPr>
          <w:rFonts w:ascii="Arial" w:hAnsi="Arial" w:cs="Arial"/>
          <w:bCs/>
        </w:rPr>
        <w:t xml:space="preserve"> Se confirma</w:t>
      </w:r>
      <w:r w:rsidRPr="007F7F4B">
        <w:rPr>
          <w:rFonts w:ascii="Arial" w:hAnsi="Arial" w:cs="Arial"/>
          <w:b/>
        </w:rPr>
        <w:t xml:space="preserve"> </w:t>
      </w:r>
      <w:r w:rsidRPr="007F7F4B">
        <w:rPr>
          <w:rFonts w:ascii="Arial" w:hAnsi="Arial" w:cs="Arial"/>
          <w:bCs/>
        </w:rPr>
        <w:t>la sentencia controvertida, por lo que hace a la materia de impugnación.</w:t>
      </w:r>
      <w:r>
        <w:rPr>
          <w:rFonts w:ascii="Arial" w:hAnsi="Arial" w:cs="Arial"/>
          <w:b/>
        </w:rPr>
        <w:t xml:space="preserve"> </w:t>
      </w:r>
    </w:p>
    <w:p w14:paraId="7BB32E35" w14:textId="77777777" w:rsidR="0017788D" w:rsidRPr="00F37FAD" w:rsidRDefault="0017788D" w:rsidP="0017788D">
      <w:pPr>
        <w:tabs>
          <w:tab w:val="left" w:pos="1215"/>
        </w:tabs>
        <w:spacing w:before="240" w:after="240" w:line="360" w:lineRule="auto"/>
        <w:jc w:val="both"/>
        <w:rPr>
          <w:rFonts w:ascii="Arial" w:hAnsi="Arial" w:cs="Arial"/>
          <w:bCs/>
        </w:rPr>
      </w:pPr>
      <w:r w:rsidRPr="00F37FAD">
        <w:rPr>
          <w:rFonts w:ascii="Arial" w:hAnsi="Arial" w:cs="Arial"/>
          <w:b/>
          <w:bCs/>
        </w:rPr>
        <w:t>NOTIFÍQUESE</w:t>
      </w:r>
      <w:r w:rsidRPr="00F37FAD">
        <w:rPr>
          <w:rFonts w:ascii="Arial" w:hAnsi="Arial" w:cs="Arial"/>
          <w:bCs/>
        </w:rPr>
        <w:t xml:space="preserve"> como corresponda.</w:t>
      </w:r>
    </w:p>
    <w:p w14:paraId="240093C1" w14:textId="77777777" w:rsidR="0017788D" w:rsidRPr="00F37FAD" w:rsidRDefault="0017788D" w:rsidP="0017788D">
      <w:pPr>
        <w:tabs>
          <w:tab w:val="left" w:pos="1215"/>
        </w:tabs>
        <w:spacing w:before="240" w:after="240" w:line="360" w:lineRule="auto"/>
        <w:jc w:val="both"/>
        <w:rPr>
          <w:rFonts w:ascii="Arial" w:hAnsi="Arial" w:cs="Arial"/>
          <w:bCs/>
        </w:rPr>
      </w:pPr>
      <w:bookmarkStart w:id="10" w:name="_Hlk512526530"/>
      <w:r w:rsidRPr="00F37FAD">
        <w:rPr>
          <w:rFonts w:ascii="Arial" w:hAnsi="Arial" w:cs="Arial"/>
          <w:bCs/>
        </w:rPr>
        <w:t xml:space="preserve">En su oportunidad, devuélvanse las constancias y archívese el expediente como asunto total y definitivamente concluido. </w:t>
      </w:r>
    </w:p>
    <w:bookmarkEnd w:id="10"/>
    <w:p w14:paraId="45310730" w14:textId="0E01579F" w:rsidR="0017788D" w:rsidRPr="00F37FAD" w:rsidRDefault="0017788D" w:rsidP="0017788D">
      <w:pPr>
        <w:spacing w:before="240" w:after="240" w:line="360" w:lineRule="auto"/>
        <w:jc w:val="both"/>
        <w:rPr>
          <w:rFonts w:ascii="Arial" w:hAnsi="Arial" w:cs="Arial"/>
        </w:rPr>
      </w:pPr>
      <w:r w:rsidRPr="00F37FAD">
        <w:rPr>
          <w:rFonts w:ascii="Arial" w:hAnsi="Arial" w:cs="Arial"/>
        </w:rPr>
        <w:t>Por</w:t>
      </w:r>
      <w:r w:rsidR="00DB0511">
        <w:rPr>
          <w:rFonts w:ascii="Arial" w:hAnsi="Arial" w:cs="Arial"/>
        </w:rPr>
        <w:t xml:space="preserve"> unanimidad </w:t>
      </w:r>
      <w:r w:rsidRPr="00F37FAD">
        <w:rPr>
          <w:rFonts w:ascii="Arial" w:hAnsi="Arial" w:cs="Arial"/>
        </w:rPr>
        <w:t xml:space="preserve">de votos, lo resolvieron y firmaron las Magistradas y los Magistrados que integran la Sala Superior del Tribunal Electoral del Poder Judicial de la Federación. </w:t>
      </w:r>
      <w:r w:rsidR="00996A55" w:rsidRPr="00996A55">
        <w:rPr>
          <w:rFonts w:ascii="Arial" w:hAnsi="Arial" w:cs="Arial"/>
        </w:rPr>
        <w:t>El Secretario General de Acuerdos da fe que la presente resolución se firma de manera electrónica.</w:t>
      </w:r>
    </w:p>
    <w:p w14:paraId="04ED9F7F" w14:textId="77777777" w:rsidR="0017788D" w:rsidRPr="007036BA" w:rsidRDefault="0017788D" w:rsidP="0009037E">
      <w:pPr>
        <w:spacing w:before="240" w:after="240"/>
        <w:jc w:val="both"/>
        <w:rPr>
          <w:rFonts w:ascii="Arial" w:hAnsi="Arial" w:cs="Arial"/>
          <w:sz w:val="20"/>
          <w:szCs w:val="20"/>
        </w:rPr>
      </w:pPr>
      <w:r w:rsidRPr="00F37FAD">
        <w:rPr>
          <w:rFonts w:ascii="Arial" w:hAnsi="Arial" w:cs="Arial"/>
          <w:sz w:val="20"/>
          <w:szCs w:val="20"/>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r w:rsidRPr="007036BA">
        <w:rPr>
          <w:rFonts w:ascii="Arial" w:hAnsi="Arial" w:cs="Arial"/>
          <w:sz w:val="20"/>
          <w:szCs w:val="20"/>
        </w:rPr>
        <w:t xml:space="preserve"> </w:t>
      </w:r>
    </w:p>
    <w:sectPr w:rsidR="0017788D" w:rsidRPr="007036BA" w:rsidSect="003208E7">
      <w:headerReference w:type="even" r:id="rId11"/>
      <w:headerReference w:type="default" r:id="rId12"/>
      <w:footerReference w:type="even" r:id="rId13"/>
      <w:footerReference w:type="default" r:id="rId14"/>
      <w:headerReference w:type="first" r:id="rId15"/>
      <w:pgSz w:w="12242" w:h="18722" w:code="14"/>
      <w:pgMar w:top="2835" w:right="1247" w:bottom="1418" w:left="2835" w:header="1985"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9FCB" w14:textId="77777777" w:rsidR="00CA67EA" w:rsidRDefault="00CA67EA" w:rsidP="0017788D">
      <w:r>
        <w:separator/>
      </w:r>
    </w:p>
  </w:endnote>
  <w:endnote w:type="continuationSeparator" w:id="0">
    <w:p w14:paraId="4715E56C" w14:textId="77777777" w:rsidR="00CA67EA" w:rsidRDefault="00CA67EA" w:rsidP="0017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476372964"/>
      <w:docPartObj>
        <w:docPartGallery w:val="Page Numbers (Bottom of Page)"/>
        <w:docPartUnique/>
      </w:docPartObj>
    </w:sdtPr>
    <w:sdtEndPr>
      <w:rPr>
        <w:rFonts w:ascii="Univers" w:hAnsi="Univers"/>
        <w:b/>
      </w:rPr>
    </w:sdtEndPr>
    <w:sdtContent>
      <w:p w14:paraId="103668B2" w14:textId="77777777" w:rsidR="008C7E79" w:rsidRPr="00F50426" w:rsidRDefault="00661B4C" w:rsidP="00147981">
        <w:pPr>
          <w:pStyle w:val="Piedepgina"/>
          <w:jc w:val="center"/>
          <w:rPr>
            <w:rFonts w:ascii="Univers" w:hAnsi="Univers"/>
            <w:b/>
            <w:sz w:val="22"/>
            <w:szCs w:val="22"/>
          </w:rPr>
        </w:pPr>
        <w:r w:rsidRPr="00147981">
          <w:rPr>
            <w:rFonts w:ascii="Univers" w:hAnsi="Univers"/>
            <w:b/>
          </w:rPr>
          <w:fldChar w:fldCharType="begin"/>
        </w:r>
        <w:r w:rsidRPr="00147981">
          <w:rPr>
            <w:rFonts w:ascii="Univers" w:hAnsi="Univers"/>
            <w:b/>
          </w:rPr>
          <w:instrText>PAGE   \* MERGEFORMAT</w:instrText>
        </w:r>
        <w:r w:rsidRPr="00147981">
          <w:rPr>
            <w:rFonts w:ascii="Univers" w:hAnsi="Univers"/>
            <w:b/>
          </w:rPr>
          <w:fldChar w:fldCharType="separate"/>
        </w:r>
        <w:r>
          <w:rPr>
            <w:rFonts w:ascii="Univers" w:hAnsi="Univers"/>
            <w:b/>
            <w:noProof/>
          </w:rPr>
          <w:t>6</w:t>
        </w:r>
        <w:r w:rsidRPr="00147981">
          <w:rPr>
            <w:rFonts w:ascii="Univers" w:hAnsi="Univers"/>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F5C1" w14:textId="77777777" w:rsidR="008C7E79" w:rsidRDefault="00CA67EA" w:rsidP="00147981">
    <w:pPr>
      <w:pStyle w:val="Piedepgina"/>
      <w:jc w:val="center"/>
      <w:rPr>
        <w:rFonts w:ascii="Univers" w:hAnsi="Univers" w:cs="Arial"/>
        <w:b/>
      </w:rPr>
    </w:pPr>
  </w:p>
  <w:p w14:paraId="4016C47B" w14:textId="77777777" w:rsidR="008C7E79" w:rsidRPr="00D12BC0" w:rsidRDefault="00661B4C" w:rsidP="00147981">
    <w:pPr>
      <w:pStyle w:val="Piedepgina"/>
      <w:jc w:val="center"/>
      <w:rPr>
        <w:rFonts w:ascii="Arial" w:hAnsi="Arial" w:cs="Arial"/>
      </w:rPr>
    </w:pPr>
    <w:r w:rsidRPr="00D12BC0">
      <w:rPr>
        <w:rFonts w:ascii="Arial" w:hAnsi="Arial" w:cs="Arial"/>
        <w:b/>
      </w:rPr>
      <w:fldChar w:fldCharType="begin"/>
    </w:r>
    <w:r w:rsidRPr="00D12BC0">
      <w:rPr>
        <w:rFonts w:ascii="Arial" w:hAnsi="Arial" w:cs="Arial"/>
        <w:b/>
      </w:rPr>
      <w:instrText xml:space="preserve"> PAGE   \* MERGEFORMAT </w:instrText>
    </w:r>
    <w:r w:rsidRPr="00D12BC0">
      <w:rPr>
        <w:rFonts w:ascii="Arial" w:hAnsi="Arial" w:cs="Arial"/>
        <w:b/>
      </w:rPr>
      <w:fldChar w:fldCharType="separate"/>
    </w:r>
    <w:r w:rsidRPr="00D12BC0">
      <w:rPr>
        <w:rFonts w:ascii="Arial" w:hAnsi="Arial" w:cs="Arial"/>
        <w:b/>
        <w:noProof/>
      </w:rPr>
      <w:t>7</w:t>
    </w:r>
    <w:r w:rsidRPr="00D12BC0">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8D82" w14:textId="77777777" w:rsidR="00CA67EA" w:rsidRDefault="00CA67EA" w:rsidP="0017788D">
      <w:r>
        <w:separator/>
      </w:r>
    </w:p>
  </w:footnote>
  <w:footnote w:type="continuationSeparator" w:id="0">
    <w:p w14:paraId="1F843A51" w14:textId="77777777" w:rsidR="00CA67EA" w:rsidRDefault="00CA67EA" w:rsidP="0017788D">
      <w:r>
        <w:continuationSeparator/>
      </w:r>
    </w:p>
  </w:footnote>
  <w:footnote w:id="1">
    <w:p w14:paraId="4683E171" w14:textId="486A431B" w:rsidR="0017788D" w:rsidRPr="00DB0511" w:rsidRDefault="0017788D"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Pr="00DB0511">
        <w:rPr>
          <w:rFonts w:ascii="Arial" w:hAnsi="Arial" w:cs="Arial"/>
          <w:sz w:val="18"/>
          <w:szCs w:val="18"/>
          <w:lang w:val="es-MX"/>
        </w:rPr>
        <w:t xml:space="preserve">En adelante Sala </w:t>
      </w:r>
      <w:r w:rsidR="009034D7" w:rsidRPr="00DB0511">
        <w:rPr>
          <w:rFonts w:ascii="Arial" w:hAnsi="Arial" w:cs="Arial"/>
          <w:sz w:val="18"/>
          <w:szCs w:val="18"/>
          <w:lang w:val="es-MX"/>
        </w:rPr>
        <w:t>responsable</w:t>
      </w:r>
      <w:r w:rsidRPr="00DB0511">
        <w:rPr>
          <w:rFonts w:ascii="Arial" w:hAnsi="Arial" w:cs="Arial"/>
          <w:sz w:val="18"/>
          <w:szCs w:val="18"/>
          <w:lang w:val="es-MX"/>
        </w:rPr>
        <w:t xml:space="preserve">. </w:t>
      </w:r>
    </w:p>
  </w:footnote>
  <w:footnote w:id="2">
    <w:p w14:paraId="4C6C769B" w14:textId="77777777" w:rsidR="0017788D" w:rsidRPr="00DB0511" w:rsidRDefault="0017788D"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Pr="00DB0511">
        <w:rPr>
          <w:rFonts w:ascii="Arial" w:hAnsi="Arial" w:cs="Arial"/>
          <w:sz w:val="18"/>
          <w:szCs w:val="18"/>
          <w:lang w:val="es-MX"/>
        </w:rPr>
        <w:t xml:space="preserve">En lo subsecuente </w:t>
      </w:r>
      <w:r w:rsidRPr="00DB0511">
        <w:rPr>
          <w:rFonts w:ascii="Arial" w:hAnsi="Arial" w:cs="Arial"/>
          <w:sz w:val="18"/>
          <w:szCs w:val="18"/>
        </w:rPr>
        <w:t>Sala Superior o TEPJF.</w:t>
      </w:r>
    </w:p>
  </w:footnote>
  <w:footnote w:id="3">
    <w:p w14:paraId="7B3D7E60" w14:textId="77777777" w:rsidR="002E6E1A" w:rsidRPr="00DB0511" w:rsidRDefault="002E6E1A" w:rsidP="002E6E1A">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Pr="00DB0511">
        <w:rPr>
          <w:rFonts w:ascii="Arial" w:hAnsi="Arial" w:cs="Arial"/>
          <w:sz w:val="18"/>
          <w:szCs w:val="18"/>
          <w:lang w:val="es-MX"/>
        </w:rPr>
        <w:t>En adelante Instituto local.</w:t>
      </w:r>
    </w:p>
  </w:footnote>
  <w:footnote w:id="4">
    <w:p w14:paraId="0F486D2B" w14:textId="365929F5" w:rsidR="00016A27" w:rsidRPr="00DB0511" w:rsidRDefault="00016A27"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Pr="00DB0511">
        <w:rPr>
          <w:rFonts w:ascii="Arial" w:hAnsi="Arial" w:cs="Arial"/>
          <w:sz w:val="18"/>
          <w:szCs w:val="18"/>
          <w:lang w:val="es-MX"/>
        </w:rPr>
        <w:t xml:space="preserve">En adelante las fechas corresponde al año dos mil veinte, salvo mención en contrario. </w:t>
      </w:r>
    </w:p>
  </w:footnote>
  <w:footnote w:id="5">
    <w:p w14:paraId="345DE16C" w14:textId="56D97D75" w:rsidR="00696129" w:rsidRPr="00DB0511" w:rsidRDefault="00696129"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Pr="00DB0511">
        <w:rPr>
          <w:rFonts w:ascii="Arial" w:hAnsi="Arial" w:cs="Arial"/>
          <w:sz w:val="18"/>
          <w:szCs w:val="18"/>
          <w:lang w:val="es-MX"/>
        </w:rPr>
        <w:t xml:space="preserve">En adelante Tribunal local. </w:t>
      </w:r>
    </w:p>
  </w:footnote>
  <w:footnote w:id="6">
    <w:p w14:paraId="2DB06873" w14:textId="44F489F3" w:rsidR="0022397D" w:rsidRPr="00DB0511" w:rsidRDefault="0022397D"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Ver sentencia clave SUP-JE-51/2020</w:t>
      </w:r>
      <w:r w:rsidR="00D54F27" w:rsidRPr="00DB0511">
        <w:rPr>
          <w:rFonts w:ascii="Arial" w:hAnsi="Arial" w:cs="Arial"/>
          <w:sz w:val="18"/>
          <w:szCs w:val="18"/>
        </w:rPr>
        <w:t>.</w:t>
      </w:r>
    </w:p>
  </w:footnote>
  <w:footnote w:id="7">
    <w:p w14:paraId="6BB2F618" w14:textId="77777777" w:rsidR="0017788D" w:rsidRPr="00DB0511" w:rsidRDefault="0017788D"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Lo anterior, de conformidad con lo previsto en los artículos 41, párrafo segundo, Base VI, y 99, párrafo cuarto, fracción X, de la Constitución Política de los Estados Unidos Mexicanos (en adelante Constitución federal); 186, fracción X, y 189, fracción I, inciso b), de la Ley Orgánica del Poder Judicial de la Federación (en adelante Ley Orgánica), y 64 de la Ley de General del Sistema de Medios de Impugnación en Materia Electoral (en adelante Ley de Medios).</w:t>
      </w:r>
    </w:p>
  </w:footnote>
  <w:footnote w:id="8">
    <w:p w14:paraId="2C1836D7" w14:textId="77777777" w:rsidR="005A7BF3" w:rsidRPr="00DB0511" w:rsidRDefault="005A7BF3"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ACUERDO GENERAL DE LA SALA SUPERIOR DEL TRIBUNAL ELECTORAL DEL PODER JUDICIAL DE LA FEDERACIÓN NÚMERO 8/2020, POR EL QUE SE REANUDA LA RESOLUCIÓN DE TODOS LOS MEDIOS DE IMPUGNACIÓN. Aprobado el primero de octubre de dos mil veinte. Publicado en el Diario Oficial de la Federación el trece de octubre de dos mil veinte, en vigor a partir del día siguiente.</w:t>
      </w:r>
    </w:p>
  </w:footnote>
  <w:footnote w:id="9">
    <w:p w14:paraId="30846A0B" w14:textId="77777777" w:rsidR="00DB64FE" w:rsidRPr="00DB0511" w:rsidRDefault="00DB64FE"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De conformidad con lo previsto en los artículos 7, párrafo 1, 8, párrafo 2, inciso a), 9, 12, párrafo 1, incisos a) y b), 61, párrafo 1, 62, párrafo 1, inciso a), 63, 65, 66, párrafo 1, inciso a) y 68 de la Ley de Medios.</w:t>
      </w:r>
    </w:p>
  </w:footnote>
  <w:footnote w:id="10">
    <w:p w14:paraId="5C9CFA3B" w14:textId="77777777" w:rsidR="00461D30" w:rsidRPr="00DB0511" w:rsidRDefault="00461D30" w:rsidP="00461D30">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De conformidad con lo previsto en el artículo 66, párrafo1, inciso a) de la Ley de Medios</w:t>
      </w:r>
    </w:p>
  </w:footnote>
  <w:footnote w:id="11">
    <w:p w14:paraId="27E4B61F" w14:textId="03BFE4B1" w:rsidR="00D40C6C" w:rsidRPr="00DB0511" w:rsidRDefault="004B212E" w:rsidP="00FE617C">
      <w:pPr>
        <w:pStyle w:val="Textonotapie"/>
        <w:jc w:val="both"/>
        <w:rPr>
          <w:rFonts w:ascii="Arial" w:hAnsi="Arial" w:cs="Arial"/>
          <w:color w:val="000000" w:themeColor="text1"/>
          <w:sz w:val="18"/>
          <w:szCs w:val="18"/>
        </w:rPr>
      </w:pPr>
      <w:r w:rsidRPr="00DB0511">
        <w:rPr>
          <w:rStyle w:val="Refdenotaalpie"/>
          <w:rFonts w:ascii="Arial" w:hAnsi="Arial" w:cs="Arial"/>
          <w:color w:val="000000" w:themeColor="text1"/>
          <w:sz w:val="18"/>
          <w:szCs w:val="18"/>
        </w:rPr>
        <w:footnoteRef/>
      </w:r>
      <w:r w:rsidR="00D40C6C" w:rsidRPr="00DB0511">
        <w:rPr>
          <w:rFonts w:ascii="Arial" w:hAnsi="Arial" w:cs="Arial"/>
          <w:color w:val="000000" w:themeColor="text1"/>
          <w:sz w:val="18"/>
          <w:szCs w:val="18"/>
        </w:rPr>
        <w:t xml:space="preserve"> Artículo 61, fracción II, de la Ley de Medios. </w:t>
      </w:r>
    </w:p>
    <w:p w14:paraId="3C44FA25" w14:textId="0C2B8A72" w:rsidR="004B212E" w:rsidRPr="00DB0511" w:rsidRDefault="004B212E" w:rsidP="00FE617C">
      <w:pPr>
        <w:pStyle w:val="Textonotapie"/>
        <w:jc w:val="both"/>
        <w:rPr>
          <w:rFonts w:ascii="Arial" w:hAnsi="Arial" w:cs="Arial"/>
          <w:color w:val="000000" w:themeColor="text1"/>
          <w:sz w:val="18"/>
          <w:szCs w:val="18"/>
        </w:rPr>
      </w:pPr>
      <w:r w:rsidRPr="00DB0511">
        <w:rPr>
          <w:rFonts w:ascii="Arial" w:hAnsi="Arial" w:cs="Arial"/>
          <w:color w:val="000000" w:themeColor="text1"/>
          <w:sz w:val="18"/>
          <w:szCs w:val="18"/>
        </w:rPr>
        <w:t xml:space="preserve"> </w:t>
      </w:r>
    </w:p>
  </w:footnote>
  <w:footnote w:id="12">
    <w:p w14:paraId="4D9435A4" w14:textId="7AEC6BBB" w:rsidR="00EC3F05" w:rsidRPr="00DB0511" w:rsidRDefault="00EC3F05"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Resulta orientadora la tesis 2.a. LXXV/2017 (10. a)</w:t>
      </w:r>
      <w:r w:rsidR="004578C8" w:rsidRPr="00DB0511">
        <w:rPr>
          <w:rFonts w:ascii="Arial" w:hAnsi="Arial" w:cs="Arial"/>
          <w:sz w:val="18"/>
          <w:szCs w:val="18"/>
        </w:rPr>
        <w:t xml:space="preserve"> de la </w:t>
      </w:r>
      <w:r w:rsidRPr="00DB0511">
        <w:rPr>
          <w:rFonts w:ascii="Arial" w:hAnsi="Arial" w:cs="Arial"/>
          <w:sz w:val="18"/>
          <w:szCs w:val="18"/>
        </w:rPr>
        <w:t>Segunda Sala de la Suprema Corte de Justicia de la Nación, de rubro REVISIÓN EN AMPARO DIRECTO. DENTRO DE LAS CUESTIONES PROPIAMENTE CONSTITUCIONALES PARA EFECTOS DE LA PROCEDENCIA DE ESE RECURSO, SE ENCUENTRA EL ANÁLISIS DE LA PONDERACIÓN REALIZADA EN LA SENTENCIA RECURRIDA PARA RESOLVER LA APARENTE COLISIÓN ENTRE DOS DERECHOS FUNDAMENTALES.</w:t>
      </w:r>
    </w:p>
  </w:footnote>
  <w:footnote w:id="13">
    <w:p w14:paraId="55280B91" w14:textId="7707A3F5" w:rsidR="00E61DD4" w:rsidRPr="00DB0511" w:rsidRDefault="00E61DD4"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Pr="00DB0511">
        <w:rPr>
          <w:rFonts w:ascii="Arial" w:hAnsi="Arial" w:cs="Arial"/>
          <w:sz w:val="18"/>
          <w:szCs w:val="18"/>
          <w:lang w:val="es-MX"/>
        </w:rPr>
        <w:t xml:space="preserve">Similar criterio se sostuvo al resolver el recurso de reconsideración </w:t>
      </w:r>
      <w:r w:rsidRPr="00DB0511">
        <w:rPr>
          <w:rFonts w:ascii="Arial" w:hAnsi="Arial" w:cs="Arial"/>
          <w:bCs/>
          <w:sz w:val="18"/>
          <w:szCs w:val="18"/>
          <w:lang w:val="es-MX"/>
        </w:rPr>
        <w:t xml:space="preserve">SUP-REC-173/2020 </w:t>
      </w:r>
      <w:r w:rsidR="007876C3" w:rsidRPr="00DB0511">
        <w:rPr>
          <w:rFonts w:ascii="Arial" w:hAnsi="Arial" w:cs="Arial"/>
          <w:bCs/>
          <w:sz w:val="18"/>
          <w:szCs w:val="18"/>
          <w:lang w:val="es-MX"/>
        </w:rPr>
        <w:t>y acumulados</w:t>
      </w:r>
      <w:r w:rsidRPr="00DB0511">
        <w:rPr>
          <w:rFonts w:ascii="Arial" w:hAnsi="Arial" w:cs="Arial"/>
          <w:bCs/>
          <w:sz w:val="18"/>
          <w:szCs w:val="18"/>
          <w:lang w:val="es-MX"/>
        </w:rPr>
        <w:t xml:space="preserve">. </w:t>
      </w:r>
    </w:p>
  </w:footnote>
  <w:footnote w:id="14">
    <w:p w14:paraId="7A23ABD7" w14:textId="431589E9" w:rsidR="00BC6885" w:rsidRPr="00DB0511" w:rsidRDefault="00BC6885"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003E5431" w:rsidRPr="00DB0511">
        <w:rPr>
          <w:rFonts w:ascii="Arial" w:hAnsi="Arial" w:cs="Arial"/>
          <w:sz w:val="18"/>
          <w:szCs w:val="18"/>
        </w:rPr>
        <w:t xml:space="preserve">Ver acuerdo IEEN-CLE-091/2020 de siete de septiembre de dos mil veinte. </w:t>
      </w:r>
    </w:p>
  </w:footnote>
  <w:footnote w:id="15">
    <w:p w14:paraId="3AD36F80" w14:textId="4256CE86" w:rsidR="00D72DA3" w:rsidRPr="00DB0511" w:rsidRDefault="00D72DA3"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Entre las fases de la consulta se previeron las siguientes: etapa informativa (del ocho al diez de septiembre)</w:t>
      </w:r>
      <w:r w:rsidR="005621E2" w:rsidRPr="00DB0511">
        <w:rPr>
          <w:rFonts w:ascii="Arial" w:hAnsi="Arial" w:cs="Arial"/>
          <w:sz w:val="18"/>
          <w:szCs w:val="18"/>
        </w:rPr>
        <w:t>;</w:t>
      </w:r>
      <w:r w:rsidR="000A765B" w:rsidRPr="00DB0511">
        <w:rPr>
          <w:rFonts w:ascii="Arial" w:hAnsi="Arial" w:cs="Arial"/>
          <w:sz w:val="18"/>
          <w:szCs w:val="18"/>
        </w:rPr>
        <w:t xml:space="preserve"> etapa </w:t>
      </w:r>
      <w:r w:rsidRPr="00DB0511">
        <w:rPr>
          <w:rFonts w:ascii="Arial" w:hAnsi="Arial" w:cs="Arial"/>
          <w:sz w:val="18"/>
          <w:szCs w:val="18"/>
        </w:rPr>
        <w:t>deliberativa (del diez al quince de septiembre)</w:t>
      </w:r>
      <w:r w:rsidR="004E0BD9" w:rsidRPr="00DB0511">
        <w:rPr>
          <w:rFonts w:ascii="Arial" w:hAnsi="Arial" w:cs="Arial"/>
          <w:sz w:val="18"/>
          <w:szCs w:val="18"/>
        </w:rPr>
        <w:t>;</w:t>
      </w:r>
      <w:r w:rsidR="000A765B" w:rsidRPr="00DB0511">
        <w:rPr>
          <w:rFonts w:ascii="Arial" w:hAnsi="Arial" w:cs="Arial"/>
          <w:sz w:val="18"/>
          <w:szCs w:val="18"/>
        </w:rPr>
        <w:t xml:space="preserve"> </w:t>
      </w:r>
      <w:r w:rsidR="005621E2" w:rsidRPr="00DB0511">
        <w:rPr>
          <w:rFonts w:ascii="Arial" w:hAnsi="Arial" w:cs="Arial"/>
          <w:sz w:val="18"/>
          <w:szCs w:val="18"/>
        </w:rPr>
        <w:t>etapa consultiva (del quince al treinta de septiembre)</w:t>
      </w:r>
      <w:r w:rsidR="004E0BD9" w:rsidRPr="00DB0511">
        <w:rPr>
          <w:rFonts w:ascii="Arial" w:hAnsi="Arial" w:cs="Arial"/>
          <w:sz w:val="18"/>
          <w:szCs w:val="18"/>
        </w:rPr>
        <w:t>, así como etapa de seguimiento (del uno al cinco de octubre).</w:t>
      </w:r>
    </w:p>
  </w:footnote>
  <w:footnote w:id="16">
    <w:p w14:paraId="7136338A" w14:textId="77777777" w:rsidR="00F034D0" w:rsidRPr="00DB0511" w:rsidRDefault="00F034D0"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Pr="00DB0511">
        <w:rPr>
          <w:rFonts w:ascii="Arial" w:hAnsi="Arial" w:cs="Arial"/>
          <w:sz w:val="18"/>
          <w:szCs w:val="18"/>
          <w:lang w:val="es-MX"/>
        </w:rPr>
        <w:t>Cabe señalar que, la Sala responsable sobreseyó el juicio electoral SG-JE-48/2020 al advertir un cambio de situación jurídica. Tal medio de impugnación se presentó contra la sentencia del Tribunal local TEE-JDCN-12/2019 que, entre otras cuestiones, ordenó al Consejo Local Electoral del Instituto Estatal Electoral que, a más tardar noventa días antes del inicio del proceso electoral emitiera un acuerdo en el que determine concretamente las acciones afirmativas que implementará en favor de los integrantes de las comunidades y pueblos indígenas de dicha entidad federativa para el proceso electoral 2020-2021, realizando de manera previa una consulta.</w:t>
      </w:r>
    </w:p>
    <w:p w14:paraId="4764333D" w14:textId="57FBEDC4" w:rsidR="00F034D0" w:rsidRPr="00DB0511" w:rsidRDefault="00F034D0" w:rsidP="00FE617C">
      <w:pPr>
        <w:pStyle w:val="Textonotapie"/>
        <w:jc w:val="both"/>
        <w:rPr>
          <w:rFonts w:ascii="Arial" w:hAnsi="Arial" w:cs="Arial"/>
          <w:sz w:val="18"/>
          <w:szCs w:val="18"/>
          <w:lang w:val="es-MX"/>
        </w:rPr>
      </w:pPr>
      <w:r w:rsidRPr="00DB0511">
        <w:rPr>
          <w:rFonts w:ascii="Arial" w:hAnsi="Arial" w:cs="Arial"/>
          <w:sz w:val="18"/>
          <w:szCs w:val="18"/>
          <w:lang w:val="es-MX"/>
        </w:rPr>
        <w:t xml:space="preserve">Asimismo, respecto de los agravios sobre una presunta transgresión al principio de autodeterminación y </w:t>
      </w:r>
      <w:r w:rsidR="009C6A0D" w:rsidRPr="00DB0511">
        <w:rPr>
          <w:rFonts w:ascii="Arial" w:hAnsi="Arial" w:cs="Arial"/>
          <w:sz w:val="18"/>
          <w:szCs w:val="18"/>
          <w:lang w:val="es-MX"/>
        </w:rPr>
        <w:t>autorregulación</w:t>
      </w:r>
      <w:r w:rsidRPr="00DB0511">
        <w:rPr>
          <w:rFonts w:ascii="Arial" w:hAnsi="Arial" w:cs="Arial"/>
          <w:sz w:val="18"/>
          <w:szCs w:val="18"/>
          <w:lang w:val="es-MX"/>
        </w:rPr>
        <w:t xml:space="preserve"> de los partidos políticos, el agravio se calificó de inoperante, al estimar que se cuestionaban actos consentidos. </w:t>
      </w:r>
    </w:p>
  </w:footnote>
  <w:footnote w:id="17">
    <w:p w14:paraId="79205C8C" w14:textId="002B3D6B" w:rsidR="008208BD" w:rsidRPr="00DB0511" w:rsidRDefault="008208BD" w:rsidP="00FE617C">
      <w:pPr>
        <w:pStyle w:val="Textonotapie"/>
        <w:jc w:val="both"/>
        <w:rPr>
          <w:rFonts w:ascii="Arial" w:hAnsi="Arial" w:cs="Arial"/>
          <w:sz w:val="18"/>
          <w:szCs w:val="18"/>
        </w:rPr>
      </w:pPr>
      <w:r w:rsidRPr="00DB0511">
        <w:rPr>
          <w:rStyle w:val="Refdenotaalpie"/>
          <w:rFonts w:ascii="Arial" w:hAnsi="Arial" w:cs="Arial"/>
          <w:sz w:val="18"/>
          <w:szCs w:val="18"/>
        </w:rPr>
        <w:footnoteRef/>
      </w:r>
      <w:r w:rsidRPr="00DB0511">
        <w:rPr>
          <w:rFonts w:ascii="Arial" w:hAnsi="Arial" w:cs="Arial"/>
          <w:sz w:val="18"/>
          <w:szCs w:val="18"/>
        </w:rPr>
        <w:t xml:space="preserve"> COVID-19 y los Derechos Humanos de los Pueblos Indígenas. Naciones Unidas Derechos Humanos, Oficina del Alto Comisionado. 8 de julio de 2020.</w:t>
      </w:r>
    </w:p>
    <w:p w14:paraId="6A0F6B99" w14:textId="57148FEB" w:rsidR="00581749" w:rsidRPr="00DB0511" w:rsidRDefault="00581749" w:rsidP="00FE617C">
      <w:pPr>
        <w:pStyle w:val="Textonotapie"/>
        <w:jc w:val="both"/>
        <w:rPr>
          <w:rFonts w:ascii="Arial" w:hAnsi="Arial" w:cs="Arial"/>
          <w:sz w:val="18"/>
          <w:szCs w:val="18"/>
        </w:rPr>
      </w:pPr>
      <w:r w:rsidRPr="00DB0511">
        <w:rPr>
          <w:rFonts w:ascii="Arial" w:hAnsi="Arial" w:cs="Arial"/>
          <w:sz w:val="18"/>
          <w:szCs w:val="18"/>
        </w:rPr>
        <w:t xml:space="preserve">Asimismo, </w:t>
      </w:r>
      <w:r w:rsidR="00A1041E" w:rsidRPr="00DB0511">
        <w:rPr>
          <w:rFonts w:ascii="Arial" w:hAnsi="Arial" w:cs="Arial"/>
          <w:sz w:val="18"/>
          <w:szCs w:val="18"/>
        </w:rPr>
        <w:t>e</w:t>
      </w:r>
      <w:r w:rsidRPr="00DB0511">
        <w:rPr>
          <w:rFonts w:ascii="Arial" w:hAnsi="Arial" w:cs="Arial"/>
          <w:sz w:val="18"/>
          <w:szCs w:val="18"/>
        </w:rPr>
        <w:t>ntre otros documentos, es posible atender a los siguientes:</w:t>
      </w:r>
    </w:p>
    <w:p w14:paraId="331F4B42" w14:textId="77777777" w:rsidR="00A1041E" w:rsidRPr="00DB0511" w:rsidRDefault="00581749" w:rsidP="00FE617C">
      <w:pPr>
        <w:pStyle w:val="Textonotapie"/>
        <w:numPr>
          <w:ilvl w:val="0"/>
          <w:numId w:val="8"/>
        </w:numPr>
        <w:jc w:val="both"/>
        <w:rPr>
          <w:rFonts w:ascii="Arial" w:hAnsi="Arial" w:cs="Arial"/>
          <w:sz w:val="18"/>
          <w:szCs w:val="18"/>
        </w:rPr>
      </w:pPr>
      <w:r w:rsidRPr="00DB0511">
        <w:rPr>
          <w:rFonts w:ascii="Arial" w:hAnsi="Arial" w:cs="Arial"/>
          <w:sz w:val="18"/>
          <w:szCs w:val="18"/>
        </w:rPr>
        <w:t>Guía: Covid-19 y los derechos de los pueblos indígenas de la Oficina del Alto Comisionado de las Naciones Unidas y Derechos Humanos.</w:t>
      </w:r>
    </w:p>
    <w:p w14:paraId="370C0C5F" w14:textId="77777777" w:rsidR="00A1041E" w:rsidRPr="00DB0511" w:rsidRDefault="00581749" w:rsidP="00FE617C">
      <w:pPr>
        <w:pStyle w:val="Textonotapie"/>
        <w:numPr>
          <w:ilvl w:val="0"/>
          <w:numId w:val="8"/>
        </w:numPr>
        <w:jc w:val="both"/>
        <w:rPr>
          <w:rFonts w:ascii="Arial" w:hAnsi="Arial" w:cs="Arial"/>
          <w:sz w:val="18"/>
          <w:szCs w:val="18"/>
        </w:rPr>
      </w:pPr>
      <w:r w:rsidRPr="00DB0511">
        <w:rPr>
          <w:rFonts w:ascii="Arial" w:hAnsi="Arial" w:cs="Arial"/>
          <w:sz w:val="18"/>
          <w:szCs w:val="18"/>
        </w:rPr>
        <w:t>Pandemia y Derechos Humanos en las Américas de la Comisión Interamericana de Derechos Humanos en la resolución 1/2020.</w:t>
      </w:r>
    </w:p>
    <w:p w14:paraId="15DFE068" w14:textId="4C2CD6B4" w:rsidR="00581749" w:rsidRPr="00DB0511" w:rsidRDefault="00581749" w:rsidP="00FE617C">
      <w:pPr>
        <w:pStyle w:val="Textonotapie"/>
        <w:numPr>
          <w:ilvl w:val="0"/>
          <w:numId w:val="8"/>
        </w:numPr>
        <w:jc w:val="both"/>
        <w:rPr>
          <w:rFonts w:ascii="Arial" w:hAnsi="Arial" w:cs="Arial"/>
          <w:sz w:val="18"/>
          <w:szCs w:val="18"/>
        </w:rPr>
      </w:pPr>
      <w:r w:rsidRPr="00DB0511">
        <w:rPr>
          <w:rFonts w:ascii="Arial" w:hAnsi="Arial" w:cs="Arial"/>
          <w:sz w:val="18"/>
          <w:szCs w:val="18"/>
        </w:rPr>
        <w:t>Guía para la atención de pueblos y comunidades indígenas y afromexicanas ante la emergencia sanitaria generada por el virus SARS-CoV2 (COVID-19) del Instituto Nacional de los Pueblos Indígenas.</w:t>
      </w:r>
    </w:p>
  </w:footnote>
  <w:footnote w:id="18">
    <w:p w14:paraId="19BC6250" w14:textId="1C129DD8" w:rsidR="005213C5" w:rsidRPr="00DB0511" w:rsidRDefault="005213C5"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00176F05" w:rsidRPr="00DB0511">
        <w:rPr>
          <w:rFonts w:ascii="Arial" w:hAnsi="Arial" w:cs="Arial"/>
          <w:sz w:val="18"/>
          <w:szCs w:val="18"/>
        </w:rPr>
        <w:t>Los Pueblos Indígenas y la COVID-19. Presidente del Foro Permanente de las Naciones Unidas para las Cuestiones Indígenas, Anne Nuorgam.</w:t>
      </w:r>
      <w:r w:rsidR="0075528F" w:rsidRPr="00DB0511">
        <w:rPr>
          <w:rFonts w:ascii="Arial" w:hAnsi="Arial" w:cs="Arial"/>
          <w:sz w:val="18"/>
          <w:szCs w:val="18"/>
        </w:rPr>
        <w:t xml:space="preserve"> Departamento de Asuntos Económicos y Sociales Pueblos Indígenas de Naciones Unidas. Consultable en: </w:t>
      </w:r>
      <w:r w:rsidR="00353F51" w:rsidRPr="00DB0511">
        <w:rPr>
          <w:rFonts w:ascii="Arial" w:hAnsi="Arial" w:cs="Arial"/>
          <w:sz w:val="18"/>
          <w:szCs w:val="18"/>
        </w:rPr>
        <w:t>https://bit.ly/37vTFGV.</w:t>
      </w:r>
    </w:p>
  </w:footnote>
  <w:footnote w:id="19">
    <w:p w14:paraId="19B7E894" w14:textId="1410C044" w:rsidR="00572656" w:rsidRPr="00DB0511" w:rsidRDefault="00572656"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Pr="00DB0511">
        <w:rPr>
          <w:rFonts w:ascii="Arial" w:hAnsi="Arial" w:cs="Arial"/>
          <w:sz w:val="18"/>
          <w:szCs w:val="18"/>
          <w:lang w:val="es-MX"/>
        </w:rPr>
        <w:t xml:space="preserve">Idem. </w:t>
      </w:r>
    </w:p>
  </w:footnote>
  <w:footnote w:id="20">
    <w:p w14:paraId="040222BB" w14:textId="38CF25EF" w:rsidR="00BE5295" w:rsidRPr="00DB0511" w:rsidRDefault="00BE5295"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Todos estos derechos se basan en el derecho de los pueblos indígenas a la autodeterminación. Véanse los artículos 10, 19, 21, 22, 23, 24, 28, 29 y 30 de la Declaración de las Naciones Unidas sobre los derechos de los pueblos indígenas.</w:t>
      </w:r>
    </w:p>
  </w:footnote>
  <w:footnote w:id="21">
    <w:p w14:paraId="1197BD11" w14:textId="17B34865" w:rsidR="009A1B95" w:rsidRPr="00DB0511" w:rsidRDefault="009A1B95"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Ver </w:t>
      </w:r>
      <w:r w:rsidR="00404303" w:rsidRPr="00DB0511">
        <w:rPr>
          <w:rFonts w:ascii="Arial" w:hAnsi="Arial" w:cs="Arial"/>
          <w:sz w:val="18"/>
          <w:szCs w:val="18"/>
        </w:rPr>
        <w:t>A</w:t>
      </w:r>
      <w:r w:rsidRPr="00DB0511">
        <w:rPr>
          <w:rFonts w:ascii="Arial" w:hAnsi="Arial" w:cs="Arial"/>
          <w:sz w:val="18"/>
          <w:szCs w:val="18"/>
        </w:rPr>
        <w:t xml:space="preserve">cción de </w:t>
      </w:r>
      <w:r w:rsidR="00404303" w:rsidRPr="00DB0511">
        <w:rPr>
          <w:rFonts w:ascii="Arial" w:hAnsi="Arial" w:cs="Arial"/>
          <w:sz w:val="18"/>
          <w:szCs w:val="18"/>
        </w:rPr>
        <w:t>I</w:t>
      </w:r>
      <w:r w:rsidRPr="00DB0511">
        <w:rPr>
          <w:rFonts w:ascii="Arial" w:hAnsi="Arial" w:cs="Arial"/>
          <w:sz w:val="18"/>
          <w:szCs w:val="18"/>
        </w:rPr>
        <w:t>nconstitucionalidad 81/2018.</w:t>
      </w:r>
      <w:r w:rsidR="00404303" w:rsidRPr="00DB0511">
        <w:rPr>
          <w:rFonts w:ascii="Arial" w:hAnsi="Arial" w:cs="Arial"/>
          <w:sz w:val="18"/>
          <w:szCs w:val="18"/>
        </w:rPr>
        <w:t xml:space="preserve"> Asimismo, ver </w:t>
      </w:r>
      <w:r w:rsidR="00404303" w:rsidRPr="00DB0511">
        <w:rPr>
          <w:rFonts w:ascii="Arial" w:hAnsi="Arial" w:cs="Arial"/>
          <w:color w:val="000000" w:themeColor="text1"/>
          <w:sz w:val="18"/>
          <w:szCs w:val="18"/>
        </w:rPr>
        <w:t>Amparo en Revisión 631/2012 (</w:t>
      </w:r>
      <w:r w:rsidR="00404303" w:rsidRPr="00DB0511">
        <w:rPr>
          <w:rFonts w:ascii="Arial" w:hAnsi="Arial" w:cs="Arial"/>
          <w:i/>
          <w:color w:val="000000" w:themeColor="text1"/>
          <w:sz w:val="18"/>
          <w:szCs w:val="18"/>
        </w:rPr>
        <w:t>Caso de la Tribu Yaqui</w:t>
      </w:r>
      <w:r w:rsidR="00404303" w:rsidRPr="00DB0511">
        <w:rPr>
          <w:rFonts w:ascii="Arial" w:hAnsi="Arial" w:cs="Arial"/>
          <w:color w:val="000000" w:themeColor="text1"/>
          <w:sz w:val="18"/>
          <w:szCs w:val="18"/>
        </w:rPr>
        <w:t>) y Controversia Constitucional 32/2012 (</w:t>
      </w:r>
      <w:r w:rsidR="00404303" w:rsidRPr="00DB0511">
        <w:rPr>
          <w:rFonts w:ascii="Arial" w:hAnsi="Arial" w:cs="Arial"/>
          <w:i/>
          <w:color w:val="000000" w:themeColor="text1"/>
          <w:sz w:val="18"/>
          <w:szCs w:val="18"/>
        </w:rPr>
        <w:t>Caso Cherán</w:t>
      </w:r>
      <w:r w:rsidR="00404303" w:rsidRPr="00DB0511">
        <w:rPr>
          <w:rFonts w:ascii="Arial" w:hAnsi="Arial" w:cs="Arial"/>
          <w:color w:val="000000" w:themeColor="text1"/>
          <w:sz w:val="18"/>
          <w:szCs w:val="18"/>
        </w:rPr>
        <w:t>).</w:t>
      </w:r>
    </w:p>
  </w:footnote>
  <w:footnote w:id="22">
    <w:p w14:paraId="58AAF861" w14:textId="3BB3C962" w:rsidR="00404303" w:rsidRPr="00DB0511" w:rsidRDefault="00404303" w:rsidP="00FE617C">
      <w:pPr>
        <w:pStyle w:val="Textonotapie"/>
        <w:jc w:val="both"/>
        <w:rPr>
          <w:rFonts w:ascii="Arial" w:hAnsi="Arial" w:cs="Arial"/>
          <w:color w:val="000000" w:themeColor="text1"/>
          <w:sz w:val="18"/>
          <w:szCs w:val="18"/>
          <w:lang w:val="es-MX"/>
        </w:rPr>
      </w:pPr>
      <w:r w:rsidRPr="00DB0511">
        <w:rPr>
          <w:rStyle w:val="Refdenotaalpie"/>
          <w:rFonts w:ascii="Arial" w:hAnsi="Arial" w:cs="Arial"/>
          <w:color w:val="000000" w:themeColor="text1"/>
          <w:sz w:val="18"/>
          <w:szCs w:val="18"/>
        </w:rPr>
        <w:footnoteRef/>
      </w:r>
      <w:r w:rsidRPr="00DB0511">
        <w:rPr>
          <w:rFonts w:ascii="Arial" w:hAnsi="Arial" w:cs="Arial"/>
          <w:color w:val="000000" w:themeColor="text1"/>
          <w:sz w:val="18"/>
          <w:szCs w:val="18"/>
        </w:rPr>
        <w:t xml:space="preserve"> </w:t>
      </w:r>
      <w:bookmarkStart w:id="8" w:name="_Hlk52048570"/>
      <w:r w:rsidRPr="00DB0511">
        <w:rPr>
          <w:rFonts w:ascii="Arial" w:hAnsi="Arial" w:cs="Arial"/>
          <w:color w:val="000000" w:themeColor="text1"/>
          <w:sz w:val="18"/>
          <w:szCs w:val="18"/>
          <w:lang w:val="es-MX"/>
        </w:rPr>
        <w:t>Acción de inconstitucionalidad 81/20</w:t>
      </w:r>
      <w:r w:rsidR="000270FE" w:rsidRPr="00DB0511">
        <w:rPr>
          <w:rFonts w:ascii="Arial" w:hAnsi="Arial" w:cs="Arial"/>
          <w:color w:val="000000" w:themeColor="text1"/>
          <w:sz w:val="18"/>
          <w:szCs w:val="18"/>
          <w:lang w:val="es-MX"/>
        </w:rPr>
        <w:t>1</w:t>
      </w:r>
      <w:r w:rsidRPr="00DB0511">
        <w:rPr>
          <w:rFonts w:ascii="Arial" w:hAnsi="Arial" w:cs="Arial"/>
          <w:color w:val="000000" w:themeColor="text1"/>
          <w:sz w:val="18"/>
          <w:szCs w:val="18"/>
          <w:lang w:val="es-MX"/>
        </w:rPr>
        <w:t>8</w:t>
      </w:r>
      <w:bookmarkEnd w:id="8"/>
      <w:r w:rsidRPr="00DB0511">
        <w:rPr>
          <w:rFonts w:ascii="Arial" w:hAnsi="Arial" w:cs="Arial"/>
          <w:color w:val="000000" w:themeColor="text1"/>
          <w:sz w:val="18"/>
          <w:szCs w:val="18"/>
          <w:lang w:val="es-MX"/>
        </w:rPr>
        <w:t>, párr. 51.</w:t>
      </w:r>
    </w:p>
  </w:footnote>
  <w:footnote w:id="23">
    <w:p w14:paraId="668D62F7" w14:textId="77777777" w:rsidR="00404303" w:rsidRPr="00DB0511" w:rsidRDefault="00404303" w:rsidP="00FE617C">
      <w:pPr>
        <w:pStyle w:val="Textonotapie"/>
        <w:jc w:val="both"/>
        <w:rPr>
          <w:rFonts w:ascii="Arial" w:hAnsi="Arial" w:cs="Arial"/>
          <w:color w:val="000000" w:themeColor="text1"/>
          <w:sz w:val="18"/>
          <w:szCs w:val="18"/>
          <w:lang w:val="es-MX"/>
        </w:rPr>
      </w:pPr>
      <w:r w:rsidRPr="00DB0511">
        <w:rPr>
          <w:rStyle w:val="Refdenotaalpie"/>
          <w:rFonts w:ascii="Arial" w:hAnsi="Arial" w:cs="Arial"/>
          <w:color w:val="000000" w:themeColor="text1"/>
          <w:sz w:val="18"/>
          <w:szCs w:val="18"/>
        </w:rPr>
        <w:footnoteRef/>
      </w:r>
      <w:r w:rsidRPr="00DB0511">
        <w:rPr>
          <w:rFonts w:ascii="Arial" w:hAnsi="Arial" w:cs="Arial"/>
          <w:color w:val="000000" w:themeColor="text1"/>
          <w:sz w:val="18"/>
          <w:szCs w:val="18"/>
        </w:rPr>
        <w:t xml:space="preserve"> </w:t>
      </w:r>
      <w:r w:rsidRPr="00DB0511">
        <w:rPr>
          <w:rFonts w:ascii="Arial" w:hAnsi="Arial" w:cs="Arial"/>
          <w:color w:val="000000" w:themeColor="text1"/>
          <w:sz w:val="18"/>
          <w:szCs w:val="18"/>
          <w:lang w:val="es-MX"/>
        </w:rPr>
        <w:t>Acción de inconstitucionalidad 81/2028, párr. 62.</w:t>
      </w:r>
    </w:p>
  </w:footnote>
  <w:footnote w:id="24">
    <w:p w14:paraId="59ED8AC7" w14:textId="77777777" w:rsidR="007F3E9F" w:rsidRPr="00DB0511" w:rsidRDefault="007F3E9F" w:rsidP="00FE617C">
      <w:pPr>
        <w:pStyle w:val="Textonotapie"/>
        <w:jc w:val="both"/>
        <w:rPr>
          <w:rFonts w:ascii="Arial" w:eastAsia="Times New Roman" w:hAnsi="Arial" w:cs="Arial"/>
          <w:color w:val="000000" w:themeColor="text1"/>
          <w:sz w:val="18"/>
          <w:szCs w:val="18"/>
        </w:rPr>
      </w:pPr>
      <w:r w:rsidRPr="00DB0511">
        <w:rPr>
          <w:rStyle w:val="Refdenotaalpie"/>
          <w:rFonts w:ascii="Arial" w:hAnsi="Arial" w:cs="Arial"/>
          <w:color w:val="000000" w:themeColor="text1"/>
          <w:sz w:val="18"/>
          <w:szCs w:val="18"/>
        </w:rPr>
        <w:footnoteRef/>
      </w:r>
      <w:r w:rsidRPr="00DB0511">
        <w:rPr>
          <w:rFonts w:ascii="Arial" w:hAnsi="Arial" w:cs="Arial"/>
          <w:color w:val="000000" w:themeColor="text1"/>
          <w:sz w:val="18"/>
          <w:szCs w:val="18"/>
        </w:rPr>
        <w:t xml:space="preserve"> </w:t>
      </w:r>
      <w:r w:rsidRPr="00DB0511">
        <w:rPr>
          <w:rFonts w:ascii="Arial" w:eastAsia="Times New Roman" w:hAnsi="Arial" w:cs="Arial"/>
          <w:color w:val="000000" w:themeColor="text1"/>
          <w:sz w:val="18"/>
          <w:szCs w:val="18"/>
        </w:rPr>
        <w:t xml:space="preserve">Ver </w:t>
      </w:r>
      <w:r w:rsidRPr="00DB0511">
        <w:rPr>
          <w:rFonts w:ascii="Arial" w:eastAsia="Times New Roman" w:hAnsi="Arial" w:cs="Arial"/>
          <w:i/>
          <w:color w:val="000000" w:themeColor="text1"/>
          <w:sz w:val="18"/>
          <w:szCs w:val="18"/>
        </w:rPr>
        <w:t>Caso del Pueblo Saramaka vs. Surinam</w:t>
      </w:r>
      <w:r w:rsidRPr="00DB0511">
        <w:rPr>
          <w:rFonts w:ascii="Arial" w:eastAsia="Times New Roman" w:hAnsi="Arial" w:cs="Arial"/>
          <w:color w:val="000000" w:themeColor="text1"/>
          <w:sz w:val="18"/>
          <w:szCs w:val="18"/>
        </w:rPr>
        <w:t xml:space="preserve">. Excepciones Preliminares, Fondo, Reparaciones y Costas. Sentencia del 28 (veintiocho) de noviembre de 2007 (dos mil siete), en especial los párrafos 129, 131, 133 y 134 y </w:t>
      </w:r>
      <w:r w:rsidRPr="00DB0511">
        <w:rPr>
          <w:rFonts w:ascii="Arial" w:eastAsia="Times New Roman" w:hAnsi="Arial" w:cs="Arial"/>
          <w:i/>
          <w:color w:val="000000" w:themeColor="text1"/>
          <w:sz w:val="18"/>
          <w:szCs w:val="18"/>
        </w:rPr>
        <w:t>Caso Pueblo Indígena Kichwa de Sarayaku vs. Ecuador. Fondo y reparaciones</w:t>
      </w:r>
      <w:r w:rsidRPr="00DB0511">
        <w:rPr>
          <w:rFonts w:ascii="Arial" w:eastAsia="Times New Roman" w:hAnsi="Arial" w:cs="Arial"/>
          <w:color w:val="000000" w:themeColor="text1"/>
          <w:sz w:val="18"/>
          <w:szCs w:val="18"/>
        </w:rPr>
        <w:t>. Sentencia de 27 (veintisiete) de junio de 2012 (dos mil doce), párrafos 177, 201 y 202.</w:t>
      </w:r>
    </w:p>
    <w:p w14:paraId="08F1CF1C" w14:textId="77777777" w:rsidR="007F3E9F" w:rsidRPr="00DB0511" w:rsidRDefault="007F3E9F" w:rsidP="00FE617C">
      <w:pPr>
        <w:jc w:val="both"/>
        <w:rPr>
          <w:rFonts w:ascii="Arial" w:hAnsi="Arial" w:cs="Arial"/>
          <w:color w:val="000000" w:themeColor="text1"/>
          <w:sz w:val="18"/>
          <w:szCs w:val="18"/>
          <w:lang w:eastAsia="es-MX"/>
        </w:rPr>
      </w:pPr>
      <w:r w:rsidRPr="00DB0511">
        <w:rPr>
          <w:rFonts w:ascii="Arial" w:hAnsi="Arial" w:cs="Arial"/>
          <w:i/>
          <w:color w:val="000000" w:themeColor="text1"/>
          <w:sz w:val="18"/>
          <w:szCs w:val="18"/>
          <w:lang w:eastAsia="es-MX"/>
        </w:rPr>
        <w:t>Caso Pueblo Indígena Kichwa de Sarayaku vs. Ecuador. Fondo y reparaciones</w:t>
      </w:r>
      <w:r w:rsidRPr="00DB0511">
        <w:rPr>
          <w:rFonts w:ascii="Arial" w:hAnsi="Arial" w:cs="Arial"/>
          <w:color w:val="000000" w:themeColor="text1"/>
          <w:sz w:val="18"/>
          <w:szCs w:val="18"/>
          <w:lang w:eastAsia="es-MX"/>
        </w:rPr>
        <w:t>. Sentencia de 27 (veintisiete) de junio de 2012 (dos mil doce), párrafo 202.</w:t>
      </w:r>
    </w:p>
  </w:footnote>
  <w:footnote w:id="25">
    <w:p w14:paraId="3FA31E58" w14:textId="77777777" w:rsidR="007F3E9F" w:rsidRPr="00DB0511" w:rsidRDefault="007F3E9F" w:rsidP="00FE617C">
      <w:pPr>
        <w:jc w:val="both"/>
        <w:rPr>
          <w:rFonts w:ascii="Arial" w:hAnsi="Arial" w:cs="Arial"/>
          <w:color w:val="000000" w:themeColor="text1"/>
          <w:sz w:val="18"/>
          <w:szCs w:val="18"/>
          <w:lang w:eastAsia="es-MX"/>
        </w:rPr>
      </w:pPr>
      <w:r w:rsidRPr="00DB0511">
        <w:rPr>
          <w:rStyle w:val="Refdenotaalpie"/>
          <w:rFonts w:ascii="Arial" w:hAnsi="Arial" w:cs="Arial"/>
          <w:color w:val="000000" w:themeColor="text1"/>
          <w:sz w:val="18"/>
          <w:szCs w:val="18"/>
        </w:rPr>
        <w:footnoteRef/>
      </w:r>
      <w:r w:rsidRPr="00DB0511">
        <w:rPr>
          <w:rFonts w:ascii="Arial" w:hAnsi="Arial" w:cs="Arial"/>
          <w:color w:val="000000" w:themeColor="text1"/>
          <w:sz w:val="18"/>
          <w:szCs w:val="18"/>
        </w:rPr>
        <w:t xml:space="preserve"> Véase la </w:t>
      </w:r>
      <w:r w:rsidRPr="00DB0511">
        <w:rPr>
          <w:rFonts w:ascii="Arial" w:hAnsi="Arial" w:cs="Arial"/>
          <w:color w:val="000000" w:themeColor="text1"/>
          <w:sz w:val="18"/>
          <w:szCs w:val="18"/>
          <w:lang w:eastAsia="es-MX"/>
        </w:rPr>
        <w:t xml:space="preserve">jurisprudencia 37/2015, de rubro </w:t>
      </w:r>
      <w:r w:rsidRPr="00DB0511">
        <w:rPr>
          <w:rFonts w:ascii="Arial" w:hAnsi="Arial" w:cs="Arial"/>
          <w:smallCaps/>
          <w:color w:val="000000" w:themeColor="text1"/>
          <w:sz w:val="18"/>
          <w:szCs w:val="18"/>
          <w:lang w:eastAsia="es-MX"/>
        </w:rPr>
        <w:t>consulta previa a comunidades indígenas. debe realizarse por autoridades administrativas electorales de cualquier orden de gobierno, cuando emitan actos susceptibles de afectar sus derechos</w:t>
      </w:r>
      <w:r w:rsidRPr="00DB0511">
        <w:rPr>
          <w:rFonts w:ascii="Arial" w:hAnsi="Arial" w:cs="Arial"/>
          <w:color w:val="000000" w:themeColor="text1"/>
          <w:sz w:val="18"/>
          <w:szCs w:val="18"/>
          <w:lang w:eastAsia="es-MX"/>
        </w:rPr>
        <w:t>.</w:t>
      </w:r>
    </w:p>
  </w:footnote>
  <w:footnote w:id="26">
    <w:p w14:paraId="34FDE8EE" w14:textId="20762B29" w:rsidR="00693019" w:rsidRPr="00DB0511" w:rsidRDefault="00693019"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00BA38E7" w:rsidRPr="00DB0511">
        <w:rPr>
          <w:rFonts w:ascii="Arial" w:hAnsi="Arial" w:cs="Arial"/>
          <w:sz w:val="18"/>
          <w:szCs w:val="18"/>
        </w:rPr>
        <w:t>C</w:t>
      </w:r>
      <w:r w:rsidRPr="00DB0511">
        <w:rPr>
          <w:rFonts w:ascii="Arial" w:hAnsi="Arial" w:cs="Arial"/>
          <w:sz w:val="18"/>
          <w:szCs w:val="18"/>
        </w:rPr>
        <w:t xml:space="preserve">omo se puede advertir de la información contenida en la página </w:t>
      </w:r>
      <w:hyperlink r:id="rId1" w:history="1">
        <w:r w:rsidRPr="00DB0511">
          <w:rPr>
            <w:rStyle w:val="Hipervnculo"/>
            <w:rFonts w:ascii="Arial" w:hAnsi="Arial" w:cs="Arial"/>
            <w:sz w:val="18"/>
            <w:szCs w:val="18"/>
          </w:rPr>
          <w:t>https://coronavirus.gob.mx/</w:t>
        </w:r>
      </w:hyperlink>
      <w:r w:rsidRPr="00DB0511">
        <w:rPr>
          <w:rFonts w:ascii="Arial" w:hAnsi="Arial" w:cs="Arial"/>
          <w:sz w:val="18"/>
          <w:szCs w:val="18"/>
        </w:rPr>
        <w:t xml:space="preserve">, en el menú Datos, Tablero General </w:t>
      </w:r>
      <w:r w:rsidR="00BB475D" w:rsidRPr="00DB0511">
        <w:rPr>
          <w:rFonts w:ascii="Arial" w:hAnsi="Arial" w:cs="Arial"/>
          <w:sz w:val="18"/>
          <w:szCs w:val="18"/>
        </w:rPr>
        <w:t>CONACYT en donde aparece el Semáforo Epidemiológico, se advierte que el Estado de Nayarit se encuentra en color</w:t>
      </w:r>
      <w:r w:rsidR="00BA38E7" w:rsidRPr="00DB0511">
        <w:rPr>
          <w:rFonts w:ascii="Arial" w:hAnsi="Arial" w:cs="Arial"/>
          <w:sz w:val="18"/>
          <w:szCs w:val="18"/>
        </w:rPr>
        <w:t xml:space="preserve"> amarillo, lo que significa que hay más actividades pero con precaución. Todas las actividades laborales están permitidas, cuidando a las personas con mayor riesgo de presentar un cuadro grave de COVID-19. El espacio público abierto se abre de forma regular, y los espacios públicos cerrados se pueden abrir con aforo reducido. Como en otros colores del semáforo, estas actividades deben realizarse con medidas básicas de prevención y máximo cuidado a las personas con mayor riesgo de presentar un cuadro grave de COVID-19.</w:t>
      </w:r>
      <w:r w:rsidR="00BB475D" w:rsidRPr="00DB0511">
        <w:rPr>
          <w:rFonts w:ascii="Arial" w:hAnsi="Arial" w:cs="Arial"/>
          <w:sz w:val="18"/>
          <w:szCs w:val="18"/>
        </w:rPr>
        <w:t xml:space="preserve"> </w:t>
      </w:r>
    </w:p>
  </w:footnote>
  <w:footnote w:id="27">
    <w:p w14:paraId="032D696A" w14:textId="31C0BB54" w:rsidR="005158C3" w:rsidRPr="00DB0511" w:rsidRDefault="005158C3"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Pr="00DB0511">
        <w:rPr>
          <w:rFonts w:ascii="Arial" w:hAnsi="Arial" w:cs="Arial"/>
          <w:sz w:val="18"/>
          <w:szCs w:val="18"/>
          <w:lang w:val="es-MX"/>
        </w:rPr>
        <w:t xml:space="preserve">Similares consideraciones son adoptadas en la sentencia SUP-REC-173/2020. </w:t>
      </w:r>
    </w:p>
  </w:footnote>
  <w:footnote w:id="28">
    <w:p w14:paraId="7F06B29A" w14:textId="26E354F9" w:rsidR="00BB475D" w:rsidRPr="00DB0511" w:rsidRDefault="00BB475D" w:rsidP="00FE617C">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002E6E1A" w:rsidRPr="00DB0511">
        <w:rPr>
          <w:rFonts w:ascii="Arial" w:hAnsi="Arial" w:cs="Arial"/>
          <w:sz w:val="18"/>
          <w:szCs w:val="18"/>
          <w:lang w:val="es-MX"/>
        </w:rPr>
        <w:t>Artículo</w:t>
      </w:r>
      <w:r w:rsidRPr="00DB0511">
        <w:rPr>
          <w:rFonts w:ascii="Arial" w:hAnsi="Arial" w:cs="Arial"/>
          <w:sz w:val="18"/>
          <w:szCs w:val="18"/>
          <w:lang w:val="es-MX"/>
        </w:rPr>
        <w:t xml:space="preserve"> 117 de la Ley Electoral del Estado de Nayarit</w:t>
      </w:r>
      <w:r w:rsidR="002E6E1A" w:rsidRPr="00DB0511">
        <w:rPr>
          <w:rFonts w:ascii="Arial" w:hAnsi="Arial" w:cs="Arial"/>
          <w:sz w:val="18"/>
          <w:szCs w:val="18"/>
          <w:lang w:val="es-MX"/>
        </w:rPr>
        <w:t>.</w:t>
      </w:r>
    </w:p>
  </w:footnote>
  <w:footnote w:id="29">
    <w:p w14:paraId="204AA291" w14:textId="29C88E18" w:rsidR="003F0A10" w:rsidRPr="00DB0511" w:rsidRDefault="003F0A10" w:rsidP="00B00138">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w:t>
      </w:r>
      <w:r w:rsidR="002E6E1A" w:rsidRPr="00DB0511">
        <w:rPr>
          <w:rFonts w:ascii="Arial" w:hAnsi="Arial" w:cs="Arial"/>
          <w:sz w:val="18"/>
          <w:szCs w:val="18"/>
        </w:rPr>
        <w:t>A</w:t>
      </w:r>
      <w:r w:rsidR="00076C99" w:rsidRPr="00DB0511">
        <w:rPr>
          <w:rFonts w:ascii="Arial" w:hAnsi="Arial" w:cs="Arial"/>
          <w:sz w:val="18"/>
          <w:szCs w:val="18"/>
        </w:rPr>
        <w:t>rtículos 135, Apartado B, fracción IV, párrafo segundo,</w:t>
      </w:r>
      <w:r w:rsidR="009D7F57" w:rsidRPr="00DB0511">
        <w:rPr>
          <w:rFonts w:ascii="Arial" w:hAnsi="Arial" w:cs="Arial"/>
          <w:sz w:val="18"/>
          <w:szCs w:val="18"/>
        </w:rPr>
        <w:t xml:space="preserve"> de la</w:t>
      </w:r>
      <w:r w:rsidR="00076C99" w:rsidRPr="00DB0511">
        <w:rPr>
          <w:rFonts w:ascii="Arial" w:hAnsi="Arial" w:cs="Arial"/>
          <w:sz w:val="18"/>
          <w:szCs w:val="18"/>
        </w:rPr>
        <w:t xml:space="preserve"> </w:t>
      </w:r>
      <w:r w:rsidR="009D7F57" w:rsidRPr="00DB0511">
        <w:rPr>
          <w:rFonts w:ascii="Arial" w:hAnsi="Arial" w:cs="Arial"/>
          <w:sz w:val="18"/>
          <w:szCs w:val="18"/>
        </w:rPr>
        <w:t>Constitución Política del Estado Libre y Soberano de Nayarit</w:t>
      </w:r>
      <w:r w:rsidR="00076C99" w:rsidRPr="00DB0511">
        <w:rPr>
          <w:rFonts w:ascii="Arial" w:hAnsi="Arial" w:cs="Arial"/>
          <w:sz w:val="18"/>
          <w:szCs w:val="18"/>
        </w:rPr>
        <w:t xml:space="preserve">, así como, </w:t>
      </w:r>
      <w:r w:rsidR="00416555" w:rsidRPr="00DB0511">
        <w:rPr>
          <w:rFonts w:ascii="Arial" w:hAnsi="Arial" w:cs="Arial"/>
          <w:sz w:val="18"/>
          <w:szCs w:val="18"/>
        </w:rPr>
        <w:t xml:space="preserve">120, fracción II, </w:t>
      </w:r>
      <w:r w:rsidR="00076C99" w:rsidRPr="00DB0511">
        <w:rPr>
          <w:rFonts w:ascii="Arial" w:hAnsi="Arial" w:cs="Arial"/>
          <w:sz w:val="18"/>
          <w:szCs w:val="18"/>
        </w:rPr>
        <w:t xml:space="preserve">de la </w:t>
      </w:r>
      <w:r w:rsidR="00E528B9" w:rsidRPr="00DB0511">
        <w:rPr>
          <w:rFonts w:ascii="Arial" w:hAnsi="Arial" w:cs="Arial"/>
          <w:sz w:val="18"/>
          <w:szCs w:val="18"/>
        </w:rPr>
        <w:t>Ley Electoral del Estado de Nayarit</w:t>
      </w:r>
      <w:r w:rsidR="00076C99" w:rsidRPr="00DB0511">
        <w:rPr>
          <w:rFonts w:ascii="Arial" w:hAnsi="Arial" w:cs="Arial"/>
          <w:sz w:val="18"/>
          <w:szCs w:val="18"/>
        </w:rPr>
        <w:t>.</w:t>
      </w:r>
      <w:r w:rsidR="00416555" w:rsidRPr="00DB0511">
        <w:rPr>
          <w:rFonts w:ascii="Arial" w:hAnsi="Arial" w:cs="Arial"/>
          <w:sz w:val="18"/>
          <w:szCs w:val="18"/>
        </w:rPr>
        <w:t xml:space="preserve"> </w:t>
      </w:r>
    </w:p>
  </w:footnote>
  <w:footnote w:id="30">
    <w:p w14:paraId="4F0806A1" w14:textId="77777777" w:rsidR="009B663E" w:rsidRPr="00DB0511" w:rsidRDefault="009B663E" w:rsidP="009B663E">
      <w:pPr>
        <w:pStyle w:val="Textonotapie"/>
        <w:jc w:val="both"/>
        <w:rPr>
          <w:rFonts w:ascii="Arial" w:hAnsi="Arial" w:cs="Arial"/>
          <w:sz w:val="18"/>
          <w:szCs w:val="18"/>
          <w:lang w:val="es-MX"/>
        </w:rPr>
      </w:pPr>
      <w:r w:rsidRPr="00DB0511">
        <w:rPr>
          <w:rStyle w:val="Refdenotaalpie"/>
          <w:rFonts w:ascii="Arial" w:hAnsi="Arial" w:cs="Arial"/>
          <w:sz w:val="18"/>
          <w:szCs w:val="18"/>
        </w:rPr>
        <w:footnoteRef/>
      </w:r>
      <w:r w:rsidRPr="00DB0511">
        <w:rPr>
          <w:rFonts w:ascii="Arial" w:hAnsi="Arial" w:cs="Arial"/>
          <w:sz w:val="18"/>
          <w:szCs w:val="18"/>
        </w:rPr>
        <w:t xml:space="preserve"> Ver artículos 135, Apartado B, fracción IV, párrafo segundo, de la Constitución Política del Estado Libre y Soberano de Nayarit, así como, 120, fracción II, de la Ley Electoral del Estado de Nayarit.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7757" w14:textId="77777777" w:rsidR="008C7E79" w:rsidRPr="00147981" w:rsidRDefault="00661B4C" w:rsidP="00D81B16">
    <w:pPr>
      <w:pStyle w:val="Encabezado"/>
      <w:rPr>
        <w:rFonts w:ascii="Univers" w:hAnsi="Univers" w:cs="Arial"/>
      </w:rPr>
    </w:pPr>
    <w:r w:rsidRPr="00D81B16">
      <w:rPr>
        <w:rFonts w:ascii="Arial" w:hAnsi="Arial" w:cs="Arial"/>
        <w:b/>
      </w:rPr>
      <w:t>SUP-REC-</w:t>
    </w:r>
    <w:r w:rsidR="0017788D">
      <w:rPr>
        <w:rFonts w:ascii="Arial" w:hAnsi="Arial" w:cs="Arial"/>
        <w:b/>
      </w:rPr>
      <w:t>211</w:t>
    </w:r>
    <w:r w:rsidRPr="00D81B16">
      <w:rPr>
        <w:rFonts w:ascii="Arial" w:hAnsi="Arial" w:cs="Arial"/>
        <w:b/>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72D9" w14:textId="77777777" w:rsidR="008C7E79" w:rsidRPr="0017788D" w:rsidRDefault="00661B4C" w:rsidP="00D81B16">
    <w:pPr>
      <w:pStyle w:val="Encabezado"/>
      <w:jc w:val="right"/>
      <w:rPr>
        <w:sz w:val="22"/>
        <w:szCs w:val="22"/>
      </w:rPr>
    </w:pPr>
    <w:r>
      <w:rPr>
        <w:noProof/>
      </w:rPr>
      <w:drawing>
        <wp:anchor distT="0" distB="0" distL="114300" distR="114300" simplePos="0" relativeHeight="251660288" behindDoc="0" locked="0" layoutInCell="1" allowOverlap="1" wp14:anchorId="45D43856" wp14:editId="79822184">
          <wp:simplePos x="0" y="0"/>
          <wp:positionH relativeFrom="column">
            <wp:posOffset>-1543050</wp:posOffset>
          </wp:positionH>
          <wp:positionV relativeFrom="paragraph">
            <wp:posOffset>-695960</wp:posOffset>
          </wp:positionV>
          <wp:extent cx="1377950" cy="119253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Pr>
        <w:rFonts w:ascii="Arial" w:hAnsi="Arial" w:cs="Arial"/>
        <w:b/>
      </w:rPr>
      <w:tab/>
    </w:r>
    <w:r w:rsidRPr="0017788D">
      <w:rPr>
        <w:rFonts w:ascii="Arial" w:hAnsi="Arial" w:cs="Arial"/>
        <w:b/>
        <w:sz w:val="22"/>
        <w:szCs w:val="22"/>
      </w:rPr>
      <w:t>SUP-REC-</w:t>
    </w:r>
    <w:r w:rsidR="0017788D" w:rsidRPr="0017788D">
      <w:rPr>
        <w:rFonts w:ascii="Arial" w:hAnsi="Arial" w:cs="Arial"/>
        <w:b/>
        <w:sz w:val="22"/>
        <w:szCs w:val="22"/>
      </w:rPr>
      <w:t>211</w:t>
    </w:r>
    <w:r w:rsidRPr="0017788D">
      <w:rPr>
        <w:rFonts w:ascii="Arial" w:hAnsi="Arial" w:cs="Arial"/>
        <w:b/>
        <w:sz w:val="22"/>
        <w:szCs w:val="22"/>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400F" w14:textId="77777777" w:rsidR="00A9228C" w:rsidRDefault="00661B4C">
    <w:pPr>
      <w:pStyle w:val="Encabezado"/>
    </w:pPr>
    <w:r>
      <w:rPr>
        <w:noProof/>
      </w:rPr>
      <w:drawing>
        <wp:anchor distT="0" distB="0" distL="114300" distR="114300" simplePos="0" relativeHeight="251659264" behindDoc="0" locked="0" layoutInCell="1" allowOverlap="1" wp14:anchorId="104CC2D6" wp14:editId="6BDB4536">
          <wp:simplePos x="0" y="0"/>
          <wp:positionH relativeFrom="column">
            <wp:posOffset>-1430574</wp:posOffset>
          </wp:positionH>
          <wp:positionV relativeFrom="paragraph">
            <wp:posOffset>-724535</wp:posOffset>
          </wp:positionV>
          <wp:extent cx="1377950" cy="1192530"/>
          <wp:effectExtent l="0" t="0" r="0" b="0"/>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BB"/>
    <w:multiLevelType w:val="hybridMultilevel"/>
    <w:tmpl w:val="7BBC57D4"/>
    <w:lvl w:ilvl="0" w:tplc="E296245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4B4634"/>
    <w:multiLevelType w:val="hybridMultilevel"/>
    <w:tmpl w:val="CB88D488"/>
    <w:lvl w:ilvl="0" w:tplc="FB72D496">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E1190"/>
    <w:multiLevelType w:val="hybridMultilevel"/>
    <w:tmpl w:val="C3A63B5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A0F19C2"/>
    <w:multiLevelType w:val="hybridMultilevel"/>
    <w:tmpl w:val="9D682042"/>
    <w:lvl w:ilvl="0" w:tplc="F222946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8160DC"/>
    <w:multiLevelType w:val="hybridMultilevel"/>
    <w:tmpl w:val="B9A808A4"/>
    <w:lvl w:ilvl="0" w:tplc="DF486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EF0FCA"/>
    <w:multiLevelType w:val="hybridMultilevel"/>
    <w:tmpl w:val="57D6352C"/>
    <w:lvl w:ilvl="0" w:tplc="26EA34C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E45695"/>
    <w:multiLevelType w:val="hybridMultilevel"/>
    <w:tmpl w:val="8AE626A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252C3A"/>
    <w:multiLevelType w:val="hybridMultilevel"/>
    <w:tmpl w:val="C74ADE4A"/>
    <w:lvl w:ilvl="0" w:tplc="41FCD8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7153FD"/>
    <w:multiLevelType w:val="hybridMultilevel"/>
    <w:tmpl w:val="FEAA6068"/>
    <w:lvl w:ilvl="0" w:tplc="9A68103A">
      <w:start w:val="1"/>
      <w:numFmt w:val="lowerLetter"/>
      <w:lvlText w:val="%1)"/>
      <w:lvlJc w:val="left"/>
      <w:pPr>
        <w:ind w:left="1260" w:hanging="54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EA0489"/>
    <w:multiLevelType w:val="hybridMultilevel"/>
    <w:tmpl w:val="709EC776"/>
    <w:lvl w:ilvl="0" w:tplc="705C14BE">
      <w:start w:val="1"/>
      <w:numFmt w:val="decimal"/>
      <w:pStyle w:val="numerados"/>
      <w:lvlText w:val="%1."/>
      <w:lvlJc w:val="left"/>
      <w:pPr>
        <w:ind w:left="502" w:hanging="360"/>
      </w:pPr>
      <w:rPr>
        <w:b/>
        <w:sz w:val="28"/>
        <w:szCs w:val="28"/>
      </w:rPr>
    </w:lvl>
    <w:lvl w:ilvl="1" w:tplc="E51E34C0">
      <w:start w:val="1"/>
      <w:numFmt w:val="lowerRoman"/>
      <w:lvlText w:val="%2."/>
      <w:lvlJc w:val="left"/>
      <w:pPr>
        <w:ind w:left="1800" w:hanging="72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8D"/>
    <w:rsid w:val="00005DCE"/>
    <w:rsid w:val="000124BA"/>
    <w:rsid w:val="00016A27"/>
    <w:rsid w:val="0002400F"/>
    <w:rsid w:val="00025295"/>
    <w:rsid w:val="000270FE"/>
    <w:rsid w:val="000348BA"/>
    <w:rsid w:val="000364B9"/>
    <w:rsid w:val="0004000A"/>
    <w:rsid w:val="00052343"/>
    <w:rsid w:val="000652B2"/>
    <w:rsid w:val="00071286"/>
    <w:rsid w:val="0007275D"/>
    <w:rsid w:val="0007504F"/>
    <w:rsid w:val="00076C99"/>
    <w:rsid w:val="0008605E"/>
    <w:rsid w:val="00086B89"/>
    <w:rsid w:val="0009037E"/>
    <w:rsid w:val="000A39F9"/>
    <w:rsid w:val="000A765B"/>
    <w:rsid w:val="000B3777"/>
    <w:rsid w:val="000C1B47"/>
    <w:rsid w:val="000E2732"/>
    <w:rsid w:val="000E7545"/>
    <w:rsid w:val="000E7954"/>
    <w:rsid w:val="000F5F00"/>
    <w:rsid w:val="00102E9C"/>
    <w:rsid w:val="00110E52"/>
    <w:rsid w:val="00114B7D"/>
    <w:rsid w:val="00120BE4"/>
    <w:rsid w:val="00136BFA"/>
    <w:rsid w:val="00144701"/>
    <w:rsid w:val="001467E1"/>
    <w:rsid w:val="001565B1"/>
    <w:rsid w:val="00160AB4"/>
    <w:rsid w:val="001643D9"/>
    <w:rsid w:val="0016761D"/>
    <w:rsid w:val="0017266E"/>
    <w:rsid w:val="00176F05"/>
    <w:rsid w:val="0017788D"/>
    <w:rsid w:val="00187E1A"/>
    <w:rsid w:val="0019508C"/>
    <w:rsid w:val="00195720"/>
    <w:rsid w:val="001A1B45"/>
    <w:rsid w:val="001A6B0A"/>
    <w:rsid w:val="001B4693"/>
    <w:rsid w:val="001D204D"/>
    <w:rsid w:val="001D485E"/>
    <w:rsid w:val="001D6026"/>
    <w:rsid w:val="001D65E4"/>
    <w:rsid w:val="001E30D3"/>
    <w:rsid w:val="001E72DB"/>
    <w:rsid w:val="00202550"/>
    <w:rsid w:val="00203BB2"/>
    <w:rsid w:val="00207707"/>
    <w:rsid w:val="00213712"/>
    <w:rsid w:val="002171AC"/>
    <w:rsid w:val="00217766"/>
    <w:rsid w:val="00220022"/>
    <w:rsid w:val="0022397D"/>
    <w:rsid w:val="00237120"/>
    <w:rsid w:val="002476EE"/>
    <w:rsid w:val="00262385"/>
    <w:rsid w:val="00262CA1"/>
    <w:rsid w:val="002663B2"/>
    <w:rsid w:val="00274A91"/>
    <w:rsid w:val="00280BA4"/>
    <w:rsid w:val="00283E80"/>
    <w:rsid w:val="00295F8B"/>
    <w:rsid w:val="002A1EEF"/>
    <w:rsid w:val="002A699F"/>
    <w:rsid w:val="002B564E"/>
    <w:rsid w:val="002E2ADA"/>
    <w:rsid w:val="002E387F"/>
    <w:rsid w:val="002E6E1A"/>
    <w:rsid w:val="002F408B"/>
    <w:rsid w:val="00301A04"/>
    <w:rsid w:val="00311035"/>
    <w:rsid w:val="0031117B"/>
    <w:rsid w:val="00312C13"/>
    <w:rsid w:val="00314940"/>
    <w:rsid w:val="003208E7"/>
    <w:rsid w:val="00327C44"/>
    <w:rsid w:val="00340972"/>
    <w:rsid w:val="003421CC"/>
    <w:rsid w:val="003466CF"/>
    <w:rsid w:val="00346BB7"/>
    <w:rsid w:val="00346FD1"/>
    <w:rsid w:val="0035216F"/>
    <w:rsid w:val="00353F51"/>
    <w:rsid w:val="00356AEB"/>
    <w:rsid w:val="00360B04"/>
    <w:rsid w:val="003614E4"/>
    <w:rsid w:val="00362D83"/>
    <w:rsid w:val="003707B7"/>
    <w:rsid w:val="003751C9"/>
    <w:rsid w:val="0037797B"/>
    <w:rsid w:val="0039047B"/>
    <w:rsid w:val="003A0DD9"/>
    <w:rsid w:val="003A6C9C"/>
    <w:rsid w:val="003B6AC9"/>
    <w:rsid w:val="003C3823"/>
    <w:rsid w:val="003D3621"/>
    <w:rsid w:val="003E0753"/>
    <w:rsid w:val="003E1B29"/>
    <w:rsid w:val="003E5431"/>
    <w:rsid w:val="003F0A10"/>
    <w:rsid w:val="003F3FDA"/>
    <w:rsid w:val="003F5AB8"/>
    <w:rsid w:val="00401336"/>
    <w:rsid w:val="00404303"/>
    <w:rsid w:val="00410461"/>
    <w:rsid w:val="00416555"/>
    <w:rsid w:val="00424EA3"/>
    <w:rsid w:val="004304FD"/>
    <w:rsid w:val="00441AA3"/>
    <w:rsid w:val="00456517"/>
    <w:rsid w:val="004578C8"/>
    <w:rsid w:val="00461D30"/>
    <w:rsid w:val="00466020"/>
    <w:rsid w:val="004748AE"/>
    <w:rsid w:val="00477E02"/>
    <w:rsid w:val="00477F35"/>
    <w:rsid w:val="00486699"/>
    <w:rsid w:val="00490A25"/>
    <w:rsid w:val="00494D1C"/>
    <w:rsid w:val="004A25AD"/>
    <w:rsid w:val="004B1CCD"/>
    <w:rsid w:val="004B212E"/>
    <w:rsid w:val="004B3237"/>
    <w:rsid w:val="004B69A9"/>
    <w:rsid w:val="004B765F"/>
    <w:rsid w:val="004C41CC"/>
    <w:rsid w:val="004C432B"/>
    <w:rsid w:val="004C520B"/>
    <w:rsid w:val="004E0BD9"/>
    <w:rsid w:val="004E139C"/>
    <w:rsid w:val="004E2E36"/>
    <w:rsid w:val="004E56C9"/>
    <w:rsid w:val="004F0543"/>
    <w:rsid w:val="004F07C0"/>
    <w:rsid w:val="004F453C"/>
    <w:rsid w:val="004F7719"/>
    <w:rsid w:val="0050115E"/>
    <w:rsid w:val="00514D04"/>
    <w:rsid w:val="005158C3"/>
    <w:rsid w:val="005213C5"/>
    <w:rsid w:val="00521882"/>
    <w:rsid w:val="00523126"/>
    <w:rsid w:val="005434AE"/>
    <w:rsid w:val="00543937"/>
    <w:rsid w:val="00545F64"/>
    <w:rsid w:val="005610AE"/>
    <w:rsid w:val="0056119B"/>
    <w:rsid w:val="005621E2"/>
    <w:rsid w:val="00562CAF"/>
    <w:rsid w:val="005643D0"/>
    <w:rsid w:val="00572656"/>
    <w:rsid w:val="0057792A"/>
    <w:rsid w:val="00581749"/>
    <w:rsid w:val="005851AC"/>
    <w:rsid w:val="005875D0"/>
    <w:rsid w:val="00587764"/>
    <w:rsid w:val="0059088A"/>
    <w:rsid w:val="00591423"/>
    <w:rsid w:val="00593437"/>
    <w:rsid w:val="005A7BF3"/>
    <w:rsid w:val="005C2761"/>
    <w:rsid w:val="005D13EA"/>
    <w:rsid w:val="005E4294"/>
    <w:rsid w:val="005F3582"/>
    <w:rsid w:val="00602606"/>
    <w:rsid w:val="006041CF"/>
    <w:rsid w:val="0060690E"/>
    <w:rsid w:val="0061219C"/>
    <w:rsid w:val="00620636"/>
    <w:rsid w:val="006345BC"/>
    <w:rsid w:val="006442E2"/>
    <w:rsid w:val="00646BAC"/>
    <w:rsid w:val="00661B4C"/>
    <w:rsid w:val="00670C0C"/>
    <w:rsid w:val="00675A0D"/>
    <w:rsid w:val="00684612"/>
    <w:rsid w:val="00693019"/>
    <w:rsid w:val="00696129"/>
    <w:rsid w:val="006A5B93"/>
    <w:rsid w:val="006B3350"/>
    <w:rsid w:val="006F4AEE"/>
    <w:rsid w:val="00701A3D"/>
    <w:rsid w:val="00704FF2"/>
    <w:rsid w:val="00705551"/>
    <w:rsid w:val="00706C14"/>
    <w:rsid w:val="00707A0E"/>
    <w:rsid w:val="0071167B"/>
    <w:rsid w:val="007213DE"/>
    <w:rsid w:val="007229D5"/>
    <w:rsid w:val="007244F2"/>
    <w:rsid w:val="00731094"/>
    <w:rsid w:val="00731AC5"/>
    <w:rsid w:val="007511A6"/>
    <w:rsid w:val="0075528F"/>
    <w:rsid w:val="00765138"/>
    <w:rsid w:val="00772512"/>
    <w:rsid w:val="00773C49"/>
    <w:rsid w:val="007876C3"/>
    <w:rsid w:val="00792FC4"/>
    <w:rsid w:val="007A24A7"/>
    <w:rsid w:val="007B0DAD"/>
    <w:rsid w:val="007B3B6D"/>
    <w:rsid w:val="007C05E9"/>
    <w:rsid w:val="007C40C5"/>
    <w:rsid w:val="007C49A2"/>
    <w:rsid w:val="007E30F2"/>
    <w:rsid w:val="007E55BE"/>
    <w:rsid w:val="007E63E7"/>
    <w:rsid w:val="007F288D"/>
    <w:rsid w:val="007F3E9F"/>
    <w:rsid w:val="007F5F3E"/>
    <w:rsid w:val="007F7F4B"/>
    <w:rsid w:val="00800A26"/>
    <w:rsid w:val="008031A2"/>
    <w:rsid w:val="008208BD"/>
    <w:rsid w:val="00822B66"/>
    <w:rsid w:val="008249EF"/>
    <w:rsid w:val="00831334"/>
    <w:rsid w:val="00841363"/>
    <w:rsid w:val="00842C14"/>
    <w:rsid w:val="008448D7"/>
    <w:rsid w:val="00846EB6"/>
    <w:rsid w:val="00860BD7"/>
    <w:rsid w:val="00877B88"/>
    <w:rsid w:val="00886A57"/>
    <w:rsid w:val="008A79CB"/>
    <w:rsid w:val="008B3A38"/>
    <w:rsid w:val="008C0E1F"/>
    <w:rsid w:val="008C4C78"/>
    <w:rsid w:val="008C5B95"/>
    <w:rsid w:val="008D0E6B"/>
    <w:rsid w:val="008D5B3E"/>
    <w:rsid w:val="008E69E2"/>
    <w:rsid w:val="008F5EC4"/>
    <w:rsid w:val="009034D7"/>
    <w:rsid w:val="00935C93"/>
    <w:rsid w:val="0097704B"/>
    <w:rsid w:val="009771CD"/>
    <w:rsid w:val="009813F6"/>
    <w:rsid w:val="009819D1"/>
    <w:rsid w:val="00984072"/>
    <w:rsid w:val="0098681D"/>
    <w:rsid w:val="00986C23"/>
    <w:rsid w:val="00996A55"/>
    <w:rsid w:val="009A1B95"/>
    <w:rsid w:val="009A5F33"/>
    <w:rsid w:val="009B663E"/>
    <w:rsid w:val="009B67C7"/>
    <w:rsid w:val="009C0A09"/>
    <w:rsid w:val="009C6A0D"/>
    <w:rsid w:val="009D7F57"/>
    <w:rsid w:val="009E3225"/>
    <w:rsid w:val="009F04AA"/>
    <w:rsid w:val="00A02105"/>
    <w:rsid w:val="00A02FCE"/>
    <w:rsid w:val="00A1041E"/>
    <w:rsid w:val="00A15F21"/>
    <w:rsid w:val="00A217EF"/>
    <w:rsid w:val="00A30B15"/>
    <w:rsid w:val="00A43300"/>
    <w:rsid w:val="00A43D9B"/>
    <w:rsid w:val="00A449BF"/>
    <w:rsid w:val="00A54BE3"/>
    <w:rsid w:val="00A55F3E"/>
    <w:rsid w:val="00A709C0"/>
    <w:rsid w:val="00A84FCB"/>
    <w:rsid w:val="00A86098"/>
    <w:rsid w:val="00A90897"/>
    <w:rsid w:val="00A93C94"/>
    <w:rsid w:val="00A961DF"/>
    <w:rsid w:val="00AA2176"/>
    <w:rsid w:val="00AA66C9"/>
    <w:rsid w:val="00AB11AF"/>
    <w:rsid w:val="00AB2A76"/>
    <w:rsid w:val="00AB4689"/>
    <w:rsid w:val="00AC233D"/>
    <w:rsid w:val="00AC2979"/>
    <w:rsid w:val="00AC359C"/>
    <w:rsid w:val="00AC3A5E"/>
    <w:rsid w:val="00AD2DA3"/>
    <w:rsid w:val="00AF1DE7"/>
    <w:rsid w:val="00AF2A3D"/>
    <w:rsid w:val="00B00138"/>
    <w:rsid w:val="00B03E5D"/>
    <w:rsid w:val="00B04DC6"/>
    <w:rsid w:val="00B074F1"/>
    <w:rsid w:val="00B1482D"/>
    <w:rsid w:val="00B21D31"/>
    <w:rsid w:val="00B236F6"/>
    <w:rsid w:val="00B27E08"/>
    <w:rsid w:val="00B37BDC"/>
    <w:rsid w:val="00B461FD"/>
    <w:rsid w:val="00B61354"/>
    <w:rsid w:val="00B66FCA"/>
    <w:rsid w:val="00B809AF"/>
    <w:rsid w:val="00B93DF4"/>
    <w:rsid w:val="00BA119E"/>
    <w:rsid w:val="00BA38E7"/>
    <w:rsid w:val="00BA453C"/>
    <w:rsid w:val="00BA79A2"/>
    <w:rsid w:val="00BB475D"/>
    <w:rsid w:val="00BC0795"/>
    <w:rsid w:val="00BC6885"/>
    <w:rsid w:val="00BD25AB"/>
    <w:rsid w:val="00BE11B9"/>
    <w:rsid w:val="00BE23EE"/>
    <w:rsid w:val="00BE5295"/>
    <w:rsid w:val="00BE7392"/>
    <w:rsid w:val="00BE797B"/>
    <w:rsid w:val="00BF61F8"/>
    <w:rsid w:val="00BF744C"/>
    <w:rsid w:val="00C277BD"/>
    <w:rsid w:val="00C31C16"/>
    <w:rsid w:val="00C367AD"/>
    <w:rsid w:val="00C36F21"/>
    <w:rsid w:val="00C45FB1"/>
    <w:rsid w:val="00C705F8"/>
    <w:rsid w:val="00C714BD"/>
    <w:rsid w:val="00C72E81"/>
    <w:rsid w:val="00C7355B"/>
    <w:rsid w:val="00C87925"/>
    <w:rsid w:val="00C93DDB"/>
    <w:rsid w:val="00C94650"/>
    <w:rsid w:val="00CA67EA"/>
    <w:rsid w:val="00CB6A40"/>
    <w:rsid w:val="00CC21D9"/>
    <w:rsid w:val="00CC49F9"/>
    <w:rsid w:val="00CD3CAC"/>
    <w:rsid w:val="00CD6A80"/>
    <w:rsid w:val="00CE227F"/>
    <w:rsid w:val="00D02B56"/>
    <w:rsid w:val="00D10820"/>
    <w:rsid w:val="00D11F31"/>
    <w:rsid w:val="00D14C56"/>
    <w:rsid w:val="00D2041B"/>
    <w:rsid w:val="00D23273"/>
    <w:rsid w:val="00D32DA3"/>
    <w:rsid w:val="00D32E1E"/>
    <w:rsid w:val="00D40C6C"/>
    <w:rsid w:val="00D42254"/>
    <w:rsid w:val="00D502F4"/>
    <w:rsid w:val="00D54F27"/>
    <w:rsid w:val="00D55871"/>
    <w:rsid w:val="00D72DA3"/>
    <w:rsid w:val="00D738E2"/>
    <w:rsid w:val="00D810EB"/>
    <w:rsid w:val="00D83964"/>
    <w:rsid w:val="00D9522A"/>
    <w:rsid w:val="00DA21BE"/>
    <w:rsid w:val="00DA6D8D"/>
    <w:rsid w:val="00DB0511"/>
    <w:rsid w:val="00DB64FE"/>
    <w:rsid w:val="00DB7B4F"/>
    <w:rsid w:val="00DC05DF"/>
    <w:rsid w:val="00DC2AFA"/>
    <w:rsid w:val="00DC64B8"/>
    <w:rsid w:val="00DC64EF"/>
    <w:rsid w:val="00DC6CE2"/>
    <w:rsid w:val="00DC791E"/>
    <w:rsid w:val="00DD0123"/>
    <w:rsid w:val="00DD3EF4"/>
    <w:rsid w:val="00DD6D78"/>
    <w:rsid w:val="00DE70F8"/>
    <w:rsid w:val="00DF01FC"/>
    <w:rsid w:val="00DF6A2A"/>
    <w:rsid w:val="00E0537A"/>
    <w:rsid w:val="00E14348"/>
    <w:rsid w:val="00E323DD"/>
    <w:rsid w:val="00E332AC"/>
    <w:rsid w:val="00E46854"/>
    <w:rsid w:val="00E50559"/>
    <w:rsid w:val="00E528B9"/>
    <w:rsid w:val="00E5667F"/>
    <w:rsid w:val="00E61DD4"/>
    <w:rsid w:val="00E66849"/>
    <w:rsid w:val="00E70142"/>
    <w:rsid w:val="00E919CD"/>
    <w:rsid w:val="00EB175A"/>
    <w:rsid w:val="00EB52A1"/>
    <w:rsid w:val="00EC3D4E"/>
    <w:rsid w:val="00EC3F05"/>
    <w:rsid w:val="00EC55ED"/>
    <w:rsid w:val="00ED01A2"/>
    <w:rsid w:val="00ED3C6C"/>
    <w:rsid w:val="00EF494C"/>
    <w:rsid w:val="00F034D0"/>
    <w:rsid w:val="00F139AB"/>
    <w:rsid w:val="00F13B6B"/>
    <w:rsid w:val="00F16FD9"/>
    <w:rsid w:val="00F36461"/>
    <w:rsid w:val="00F37FAD"/>
    <w:rsid w:val="00F51D3D"/>
    <w:rsid w:val="00F566C8"/>
    <w:rsid w:val="00F65248"/>
    <w:rsid w:val="00F6653D"/>
    <w:rsid w:val="00F87F6F"/>
    <w:rsid w:val="00FA01A0"/>
    <w:rsid w:val="00FA3027"/>
    <w:rsid w:val="00FA7DDF"/>
    <w:rsid w:val="00FC171D"/>
    <w:rsid w:val="00FC6056"/>
    <w:rsid w:val="00FC61FE"/>
    <w:rsid w:val="00FD25BF"/>
    <w:rsid w:val="00FE1F58"/>
    <w:rsid w:val="00FE617C"/>
    <w:rsid w:val="00FE6BCE"/>
    <w:rsid w:val="00FF7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ECF94"/>
  <w15:chartTrackingRefBased/>
  <w15:docId w15:val="{D5AC3138-D042-4820-BB80-7E57A5A9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78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788D"/>
    <w:pPr>
      <w:tabs>
        <w:tab w:val="center" w:pos="4419"/>
        <w:tab w:val="right" w:pos="8838"/>
      </w:tabs>
    </w:pPr>
  </w:style>
  <w:style w:type="character" w:customStyle="1" w:styleId="EncabezadoCar">
    <w:name w:val="Encabezado Car"/>
    <w:basedOn w:val="Fuentedeprrafopredeter"/>
    <w:link w:val="Encabezado"/>
    <w:uiPriority w:val="99"/>
    <w:rsid w:val="0017788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qFormat/>
    <w:rsid w:val="0017788D"/>
    <w:pPr>
      <w:tabs>
        <w:tab w:val="center" w:pos="4419"/>
        <w:tab w:val="right" w:pos="8838"/>
      </w:tabs>
    </w:pPr>
  </w:style>
  <w:style w:type="character" w:customStyle="1" w:styleId="PiedepginaCar">
    <w:name w:val="Pie de página Car"/>
    <w:basedOn w:val="Fuentedeprrafopredeter"/>
    <w:link w:val="Piedepgina"/>
    <w:uiPriority w:val="99"/>
    <w:rsid w:val="0017788D"/>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julio,Ref"/>
    <w:link w:val="4GChar"/>
    <w:uiPriority w:val="99"/>
    <w:qFormat/>
    <w:rsid w:val="0017788D"/>
    <w:rPr>
      <w:rFonts w:cs="Times New Roman"/>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Ref. de nota al pi"/>
    <w:basedOn w:val="Normal"/>
    <w:link w:val="TextonotapieCar"/>
    <w:uiPriority w:val="99"/>
    <w:qFormat/>
    <w:rsid w:val="0017788D"/>
    <w:rPr>
      <w:rFonts w:eastAsia="Calibri"/>
      <w:sz w:val="20"/>
      <w:szCs w:val="20"/>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7788D"/>
    <w:rPr>
      <w:rFonts w:ascii="Times New Roman" w:eastAsia="Calibri" w:hAnsi="Times New Roman" w:cs="Times New Roman"/>
      <w:sz w:val="20"/>
      <w:szCs w:val="20"/>
      <w:lang w:val="es-ES" w:eastAsia="es-MX"/>
    </w:rPr>
  </w:style>
  <w:style w:type="paragraph" w:styleId="Prrafodelista">
    <w:name w:val="List Paragraph"/>
    <w:aliases w:val="CNBV Parrafo1,Párrafo de lista1,Parrafo 1,Lista multicolor - Énfasis 11,Lista vistosa - Énfasis 11,Cuadrícula media 1 - Énfasis 21,Cita texto,List Paragraph-Thesis,Footnote,AB List 1,Bullet Points,Bullet List,FooterText,numbered,Listas"/>
    <w:basedOn w:val="Normal"/>
    <w:link w:val="PrrafodelistaCar"/>
    <w:uiPriority w:val="34"/>
    <w:qFormat/>
    <w:rsid w:val="0017788D"/>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AB List 1 Car"/>
    <w:link w:val="Prrafodelista"/>
    <w:uiPriority w:val="34"/>
    <w:qFormat/>
    <w:locked/>
    <w:rsid w:val="0017788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788D"/>
    <w:pPr>
      <w:spacing w:after="160" w:line="259" w:lineRule="auto"/>
      <w:jc w:val="both"/>
    </w:pPr>
    <w:rPr>
      <w:rFonts w:asciiTheme="minorHAnsi" w:eastAsiaTheme="minorHAnsi" w:hAnsiTheme="minorHAnsi"/>
      <w:sz w:val="22"/>
      <w:szCs w:val="22"/>
      <w:vertAlign w:val="superscript"/>
      <w:lang w:val="es-MX" w:eastAsia="en-US"/>
    </w:rPr>
  </w:style>
  <w:style w:type="character" w:customStyle="1" w:styleId="Ninguno">
    <w:name w:val="Ninguno"/>
    <w:rsid w:val="0017788D"/>
    <w:rPr>
      <w:lang w:val="es-ES_tradnl"/>
    </w:rPr>
  </w:style>
  <w:style w:type="paragraph" w:styleId="Sinespaciado">
    <w:name w:val="No Spacing"/>
    <w:link w:val="SinespaciadoCar"/>
    <w:uiPriority w:val="1"/>
    <w:qFormat/>
    <w:rsid w:val="0017788D"/>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17788D"/>
    <w:rPr>
      <w:rFonts w:ascii="Times New Roman" w:eastAsia="Times New Roman" w:hAnsi="Times New Roman" w:cs="Times New Roman"/>
      <w:sz w:val="24"/>
      <w:szCs w:val="24"/>
      <w:lang w:val="es-ES" w:eastAsia="es-ES"/>
    </w:rPr>
  </w:style>
  <w:style w:type="paragraph" w:customStyle="1" w:styleId="numerados">
    <w:name w:val="numerados"/>
    <w:basedOn w:val="Normal"/>
    <w:qFormat/>
    <w:rsid w:val="0017788D"/>
    <w:pPr>
      <w:numPr>
        <w:numId w:val="3"/>
      </w:numPr>
      <w:spacing w:after="240" w:line="360" w:lineRule="auto"/>
      <w:jc w:val="both"/>
    </w:pPr>
    <w:rPr>
      <w:rFonts w:ascii="Univers" w:hAnsi="Univers"/>
      <w:sz w:val="28"/>
      <w:szCs w:val="28"/>
      <w:lang w:val="es-MX" w:eastAsia="en-US"/>
    </w:rPr>
  </w:style>
  <w:style w:type="paragraph" w:customStyle="1" w:styleId="corte4fondo">
    <w:name w:val="corte4 fondo"/>
    <w:basedOn w:val="Normal"/>
    <w:link w:val="corte4fondoCar"/>
    <w:qFormat/>
    <w:rsid w:val="007F3E9F"/>
    <w:pPr>
      <w:spacing w:line="360" w:lineRule="auto"/>
      <w:ind w:firstLine="709"/>
      <w:jc w:val="both"/>
    </w:pPr>
    <w:rPr>
      <w:rFonts w:ascii="Arial" w:hAnsi="Arial"/>
      <w:sz w:val="30"/>
      <w:lang w:val="es-MX"/>
    </w:rPr>
  </w:style>
  <w:style w:type="character" w:customStyle="1" w:styleId="corte4fondoCar">
    <w:name w:val="corte4 fondo Car"/>
    <w:link w:val="corte4fondo"/>
    <w:rsid w:val="007F3E9F"/>
    <w:rPr>
      <w:rFonts w:ascii="Arial" w:eastAsia="Times New Roman" w:hAnsi="Arial" w:cs="Times New Roman"/>
      <w:sz w:val="30"/>
      <w:szCs w:val="24"/>
      <w:lang w:eastAsia="es-ES"/>
    </w:rPr>
  </w:style>
  <w:style w:type="character" w:styleId="Hipervnculo">
    <w:name w:val="Hyperlink"/>
    <w:basedOn w:val="Fuentedeprrafopredeter"/>
    <w:uiPriority w:val="99"/>
    <w:unhideWhenUsed/>
    <w:rsid w:val="004A25AD"/>
    <w:rPr>
      <w:color w:val="0563C1" w:themeColor="hyperlink"/>
      <w:u w:val="single"/>
    </w:rPr>
  </w:style>
  <w:style w:type="table" w:customStyle="1" w:styleId="Tablaconcuadrcula3">
    <w:name w:val="Tabla con cuadrícula3"/>
    <w:basedOn w:val="Tablanormal"/>
    <w:next w:val="Tablaconcuadrcula"/>
    <w:rsid w:val="00E1434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14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61DD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1DD4"/>
    <w:rPr>
      <w:rFonts w:asciiTheme="majorHAnsi" w:eastAsiaTheme="majorEastAsia" w:hAnsiTheme="majorHAnsi" w:cstheme="majorBidi"/>
      <w:spacing w:val="-10"/>
      <w:kern w:val="28"/>
      <w:sz w:val="56"/>
      <w:szCs w:val="56"/>
      <w:lang w:val="es-ES" w:eastAsia="es-ES"/>
    </w:rPr>
  </w:style>
  <w:style w:type="character" w:styleId="Mencinsinresolver">
    <w:name w:val="Unresolved Mention"/>
    <w:basedOn w:val="Fuentedeprrafopredeter"/>
    <w:uiPriority w:val="99"/>
    <w:semiHidden/>
    <w:unhideWhenUsed/>
    <w:rsid w:val="00693019"/>
    <w:rPr>
      <w:color w:val="605E5C"/>
      <w:shd w:val="clear" w:color="auto" w:fill="E1DFDD"/>
    </w:rPr>
  </w:style>
  <w:style w:type="character" w:styleId="Hipervnculovisitado">
    <w:name w:val="FollowedHyperlink"/>
    <w:basedOn w:val="Fuentedeprrafopredeter"/>
    <w:uiPriority w:val="99"/>
    <w:semiHidden/>
    <w:unhideWhenUsed/>
    <w:rsid w:val="00693019"/>
    <w:rPr>
      <w:color w:val="954F72" w:themeColor="followedHyperlink"/>
      <w:u w:val="single"/>
    </w:rPr>
  </w:style>
  <w:style w:type="paragraph" w:styleId="Textodeglobo">
    <w:name w:val="Balloon Text"/>
    <w:basedOn w:val="Normal"/>
    <w:link w:val="TextodegloboCar"/>
    <w:uiPriority w:val="99"/>
    <w:semiHidden/>
    <w:unhideWhenUsed/>
    <w:rsid w:val="00FE61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17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03010">
      <w:bodyDiv w:val="1"/>
      <w:marLeft w:val="0"/>
      <w:marRight w:val="0"/>
      <w:marTop w:val="0"/>
      <w:marBottom w:val="0"/>
      <w:divBdr>
        <w:top w:val="none" w:sz="0" w:space="0" w:color="auto"/>
        <w:left w:val="none" w:sz="0" w:space="0" w:color="auto"/>
        <w:bottom w:val="none" w:sz="0" w:space="0" w:color="auto"/>
        <w:right w:val="none" w:sz="0" w:space="0" w:color="auto"/>
      </w:divBdr>
      <w:divsChild>
        <w:div w:id="130616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ronaviru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8F80486F7B114695A8C3D4D9D85BC2" ma:contentTypeVersion="13" ma:contentTypeDescription="Crear nuevo documento." ma:contentTypeScope="" ma:versionID="c35facbe8f252e780b329f1bb9c71094">
  <xsd:schema xmlns:xsd="http://www.w3.org/2001/XMLSchema" xmlns:xs="http://www.w3.org/2001/XMLSchema" xmlns:p="http://schemas.microsoft.com/office/2006/metadata/properties" xmlns:ns3="863b7cb5-ef38-4d60-aafb-47f6b334edf2" xmlns:ns4="3a1c2aee-9d0a-42d2-a891-bb0ddf1cc6b1" targetNamespace="http://schemas.microsoft.com/office/2006/metadata/properties" ma:root="true" ma:fieldsID="93029b4a887e665873429058a608f8b4" ns3:_="" ns4:_="">
    <xsd:import namespace="863b7cb5-ef38-4d60-aafb-47f6b334edf2"/>
    <xsd:import namespace="3a1c2aee-9d0a-42d2-a891-bb0ddf1cc6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b7cb5-ef38-4d60-aafb-47f6b334e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c2aee-9d0a-42d2-a891-bb0ddf1cc6b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E858-06C8-4B8F-AFB3-D463835B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b7cb5-ef38-4d60-aafb-47f6b334edf2"/>
    <ds:schemaRef ds:uri="3a1c2aee-9d0a-42d2-a891-bb0ddf1cc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106FF-BEA0-438A-B583-94612FE4678E}">
  <ds:schemaRefs>
    <ds:schemaRef ds:uri="http://schemas.microsoft.com/sharepoint/v3/contenttype/forms"/>
  </ds:schemaRefs>
</ds:datastoreItem>
</file>

<file path=customXml/itemProps3.xml><?xml version="1.0" encoding="utf-8"?>
<ds:datastoreItem xmlns:ds="http://schemas.openxmlformats.org/officeDocument/2006/customXml" ds:itemID="{1FDB5B81-99EA-4B87-BD73-159B7DB6B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7FC6FB-F308-4B24-8129-1F034491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4114</Words>
  <Characters>22628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Moreno Trujillo</dc:creator>
  <cp:keywords/>
  <dc:description/>
  <cp:lastModifiedBy>Sergio Moreno Trujillo</cp:lastModifiedBy>
  <cp:revision>11</cp:revision>
  <dcterms:created xsi:type="dcterms:W3CDTF">2020-11-11T20:07:00Z</dcterms:created>
  <dcterms:modified xsi:type="dcterms:W3CDTF">2020-11-12T20:34:00Z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0x010100688F80486F7B114695A8C3D4D9D85BC2</vt:lpwstr>
  </property>
</Properties>
</file>